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Clinara Integration Playbook (version 2, approved by the ELT, May 2024)</w:t>
      </w:r>
    </w:p>
    <w:p>
      <w:r>
        <w:t>Fictional demonstration document.</w:t>
      </w:r>
    </w:p>
    <w:p>
      <w:pPr>
        <w:pStyle w:val="Heading1"/>
      </w:pPr>
      <w:r>
        <w:t>Integration philosophy</w:t>
      </w:r>
    </w:p>
    <w:p>
      <w:pPr>
        <w:pStyle w:val="ListBullet"/>
      </w:pPr>
      <w:r>
        <w:t>We buy specialist clinic software and integrate it onto the Clinara platform: one product, one CRM, one billing engine.</w:t>
      </w:r>
    </w:p>
    <w:p>
      <w:pPr>
        <w:pStyle w:val="ListBullet"/>
      </w:pPr>
      <w:r>
        <w:t>Customers come first: no customer should experience disruption in the first 100 days.</w:t>
      </w:r>
    </w:p>
    <w:p>
      <w:pPr>
        <w:pStyle w:val="ListBullet"/>
      </w:pPr>
      <w:r>
        <w:t>Acquired brands are retired within 12 months unless the Board agrees a standalone or partial integration.</w:t>
      </w:r>
    </w:p>
    <w:p>
      <w:pPr>
        <w:pStyle w:val="ListBullet"/>
      </w:pPr>
      <w:r>
        <w:t>We integrate fully by default; partial integration (keep brand and product, integrate finance and sales) applies to capability acquisitions.</w:t>
      </w:r>
    </w:p>
    <w:p>
      <w:pPr>
        <w:pStyle w:val="Heading1"/>
      </w:pPr>
      <w:r>
        <w:t>Acquisition types</w:t>
      </w:r>
    </w:p>
    <w:p>
      <w:pPr>
        <w:pStyle w:val="ListBullet"/>
      </w:pPr>
      <w:r>
        <w:t>Full integration: specialist software with overlapping customers; migrate onto the Clinara platform within 12 months.</w:t>
      </w:r>
    </w:p>
    <w:p>
      <w:pPr>
        <w:pStyle w:val="ListBullet"/>
      </w:pPr>
      <w:r>
        <w:t>Partial integration: capability acquisition where the product and brand stay separate; integrate finance, people and go-to-market.</w:t>
      </w:r>
    </w:p>
    <w:p>
      <w:pPr>
        <w:pStyle w:val="Heading1"/>
      </w:pPr>
      <w:r>
        <w:t>Workstream: Strategy and governance</w:t>
      </w:r>
    </w:p>
    <w:p>
      <w:pPr>
        <w:pStyle w:val="ListBullet"/>
      </w:pPr>
      <w:r>
        <w:t>Pre-completion: appoint integration leader and sponsor (Owner: CEO). Completion criteria: named leader with at least 50% of their time allocated.</w:t>
      </w:r>
    </w:p>
    <w:p>
      <w:pPr>
        <w:pStyle w:val="ListBullet"/>
      </w:pPr>
      <w:r>
        <w:t>Day 1: hold integration steering committee kick-off (Owner: Integration leader). Milestone.</w:t>
      </w:r>
    </w:p>
    <w:p>
      <w:pPr>
        <w:pStyle w:val="ListBullet"/>
      </w:pPr>
      <w:r>
        <w:t>First 30 days: agree target operating model and decision rights (Owner: CEO). Approval: CEO. Completion criteria: TOM signed off by the ELT.</w:t>
      </w:r>
    </w:p>
    <w:p>
      <w:pPr>
        <w:pStyle w:val="ListBullet"/>
      </w:pPr>
      <w:r>
        <w:t>Weekly: integration status report to the ELT (Owner: Integration leader).</w:t>
      </w:r>
    </w:p>
    <w:p>
      <w:pPr>
        <w:pStyle w:val="Heading1"/>
      </w:pPr>
      <w:r>
        <w:t>Workstream: Finance</w:t>
      </w:r>
    </w:p>
    <w:p>
      <w:pPr>
        <w:pStyle w:val="ListBullet"/>
      </w:pPr>
      <w:r>
        <w:t>Day 1: take control of bank accounts and payment authorities (Owner: CFO). Critical path. Completion criteria: dual signatories from Clinara on every account.</w:t>
      </w:r>
    </w:p>
    <w:p>
      <w:pPr>
        <w:pStyle w:val="ListBullet"/>
      </w:pPr>
      <w:r>
        <w:t>First 30 days: align month-end reporting to the Clinara calendar (Owner: CFO). Completion criteria: first month-end closed within 5 working days.</w:t>
      </w:r>
    </w:p>
    <w:p>
      <w:pPr>
        <w:pStyle w:val="ListBullet"/>
      </w:pPr>
      <w:r>
        <w:t>First 100 days: migrate billing onto Clinara Pay (Owner: CFO). Depends on: CRM migration. Completion criteria: 100% of invoices issued from Clinara Pay.</w:t>
      </w:r>
    </w:p>
    <w:p>
      <w:pPr>
        <w:pStyle w:val="Heading1"/>
      </w:pPr>
      <w:r>
        <w:t>Workstream: Commercial</w:t>
      </w:r>
    </w:p>
    <w:p>
      <w:pPr>
        <w:pStyle w:val="ListBullet"/>
      </w:pPr>
      <w:r>
        <w:t>Day 1: customer announcement email from both CEOs (Owner: CCO). Approval: CEO.</w:t>
      </w:r>
    </w:p>
    <w:p>
      <w:pPr>
        <w:pStyle w:val="ListBullet"/>
      </w:pPr>
      <w:r>
        <w:t>First 30 days: assign account owners for every acquired customer (Owner: CCO). Completion criteria: every active customer has a named Clinara account owner in the CRM.</w:t>
      </w:r>
    </w:p>
    <w:p>
      <w:pPr>
        <w:pStyle w:val="ListBullet"/>
      </w:pPr>
      <w:r>
        <w:t>Day 60: migrate customer records into the Clinara CRM (Owner: Head of RevOps). Critical path. Completion criteria: all active accounts, contacts and open opportunities migrated and reconciled.</w:t>
      </w:r>
    </w:p>
    <w:p>
      <w:pPr>
        <w:pStyle w:val="ListBullet"/>
      </w:pPr>
      <w:r>
        <w:t>First 100 days: launch cross-selling of Clinara modules to acquired customers (Owner: CCO). Depends on: CRM migration. Completion criteria: cross-sell pipeline reported weekly.</w:t>
      </w:r>
    </w:p>
    <w:p>
      <w:pPr>
        <w:pStyle w:val="Heading1"/>
      </w:pPr>
      <w:r>
        <w:t>Workstream: People</w:t>
      </w:r>
    </w:p>
    <w:p>
      <w:pPr>
        <w:pStyle w:val="ListBullet"/>
      </w:pPr>
      <w:r>
        <w:t>Pre-completion: identify key employees and agree retention arrangements (Owner: People Director). Approval: CEO.</w:t>
      </w:r>
    </w:p>
    <w:p>
      <w:pPr>
        <w:pStyle w:val="ListBullet"/>
      </w:pPr>
      <w:r>
        <w:t>Day 1: all-hands announcement to acquired employees (Owner: CEO).</w:t>
      </w:r>
    </w:p>
    <w:p>
      <w:pPr>
        <w:pStyle w:val="ListBullet"/>
      </w:pPr>
      <w:r>
        <w:t>First 30 days: payroll and benefits mapped onto Clinara providers (Owner: People Director). Completion criteria: first payroll run without errors.</w:t>
      </w:r>
    </w:p>
    <w:p>
      <w:pPr>
        <w:pStyle w:val="Heading1"/>
      </w:pPr>
      <w:r>
        <w:t>Workstream: Technology</w:t>
      </w:r>
    </w:p>
    <w:p>
      <w:pPr>
        <w:pStyle w:val="ListBullet"/>
      </w:pPr>
      <w:r>
        <w:t>Pre-completion: systems inventory of the target (Owner: CTO).</w:t>
      </w:r>
    </w:p>
    <w:p>
      <w:pPr>
        <w:pStyle w:val="ListBullet"/>
      </w:pPr>
      <w:r>
        <w:t>First 30 days: single sign-on and identity onto Clinara Entra ID (Owner: CTO). Completion criteria: all acquired staff on Clinara identity with MFA enforced.</w:t>
      </w:r>
    </w:p>
    <w:p>
      <w:pPr>
        <w:pStyle w:val="ListBullet"/>
      </w:pPr>
      <w:r>
        <w:t>First 100 days: product migration plan agreed (Owner: CPTO). Approval: CEO.</w:t>
      </w:r>
    </w:p>
    <w:p>
      <w:pPr>
        <w:pStyle w:val="Heading1"/>
      </w:pPr>
      <w:r>
        <w:t>Workstream: Legal and compliance</w:t>
      </w:r>
    </w:p>
    <w:p>
      <w:pPr>
        <w:pStyle w:val="ListBullet"/>
      </w:pPr>
      <w:r>
        <w:t>Pre-completion: change-of-control consents from key customers and suppliers (Owner: General Counsel). Critical path.</w:t>
      </w:r>
    </w:p>
    <w:p>
      <w:pPr>
        <w:pStyle w:val="ListBullet"/>
      </w:pPr>
      <w:r>
        <w:t>First 30 days: insurance policies extended to the acquired company (Owner: CFO).</w:t>
      </w:r>
    </w:p>
    <w:p>
      <w:pPr>
        <w:pStyle w:val="ListBullet"/>
      </w:pPr>
      <w:r>
        <w:t>First 30 days: data protection review and ICO registration updated (Owner: General Counsel).</w:t>
      </w:r>
    </w:p>
    <w:p>
      <w:pPr>
        <w:pStyle w:val="Heading1"/>
      </w:pPr>
      <w:r>
        <w:t>Risks and escalation</w:t>
      </w:r>
    </w:p>
    <w:p>
      <w:pPr>
        <w:pStyle w:val="ListBullet"/>
      </w:pPr>
      <w:r>
        <w:t>Risk: customer churn after announcement. Escalate to the CEO if more than 2% of ARR gives notice in the first 100 days.</w:t>
      </w:r>
    </w:p>
    <w:p>
      <w:pPr>
        <w:pStyle w:val="ListBullet"/>
      </w:pPr>
      <w:r>
        <w:t>Risk: loss of key engineers. Escalate to the CEO on any resignation of a key employee.</w:t>
      </w:r>
    </w:p>
    <w:p>
      <w:pPr>
        <w:pStyle w:val="ListBullet"/>
      </w:pPr>
      <w:r>
        <w:t>Risk: CRM migration slips and delays cross-selling. Escalate to the steering committee if the migration is more than two weeks late.</w:t>
      </w:r>
    </w:p>
    <w:p>
      <w:pPr>
        <w:pStyle w:val="Heading1"/>
      </w:pPr>
      <w:r>
        <w:t>Integration KPIs</w:t>
      </w:r>
    </w:p>
    <w:p>
      <w:pPr>
        <w:pStyle w:val="ListBullet"/>
      </w:pPr>
      <w:r>
        <w:t>Gross revenue retention of acquired customers (target at least 95%).</w:t>
      </w:r>
    </w:p>
    <w:p>
      <w:pPr>
        <w:pStyle w:val="ListBullet"/>
      </w:pPr>
      <w:r>
        <w:t>Cross-sell ARR from acquired customers.</w:t>
      </w:r>
    </w:p>
    <w:p>
      <w:pPr>
        <w:pStyle w:val="ListBullet"/>
      </w:pPr>
      <w:r>
        <w:t>Integration milestones achieved on time (target at least 80%).</w:t>
      </w:r>
    </w:p>
    <w:p>
      <w:pPr>
        <w:pStyle w:val="Heading1"/>
      </w:pPr>
      <w:r>
        <w:t>Synergy tracking</w:t>
      </w:r>
    </w:p>
    <w:p>
      <w:pPr>
        <w:pStyle w:val="ListBullet"/>
      </w:pPr>
      <w:r>
        <w:t>Synergies are tracked monthly by the CFO against the investment case.</w:t>
      </w:r>
    </w:p>
    <w:p>
      <w:pPr>
        <w:pStyle w:val="ListBullet"/>
      </w:pPr>
      <w:r>
        <w:t>Only invoiced revenue and booked savings count as realised; forecasts are reported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