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Post-acquisition review: DentalDesk (presented to the Board, March 2024)</w:t>
      </w:r>
    </w:p>
    <w:p>
      <w:r>
        <w:t>Fictional demonstration document.</w:t>
      </w:r>
    </w:p>
    <w:p>
      <w:pPr>
        <w:pStyle w:val="Heading1"/>
      </w:pPr>
      <w:r>
        <w:t>What went well</w:t>
      </w:r>
    </w:p>
    <w:p>
      <w:pPr>
        <w:pStyle w:val="ListBullet"/>
      </w:pPr>
      <w:r>
        <w:t>Day 1 finance controls were in place on completion.</w:t>
      </w:r>
    </w:p>
    <w:p>
      <w:pPr>
        <w:pStyle w:val="ListBullet"/>
      </w:pPr>
      <w:r>
        <w:t>Retention of acquired customers was 97% of ARR.</w:t>
      </w:r>
    </w:p>
    <w:p>
      <w:pPr>
        <w:pStyle w:val="Heading1"/>
      </w:pPr>
      <w:r>
        <w:t>What went wrong</w:t>
      </w:r>
    </w:p>
    <w:p>
      <w:pPr>
        <w:pStyle w:val="ListBullet"/>
      </w:pPr>
      <w:r>
        <w:t>Customer data cleansing took six weeks longer than planned and delayed the CRM migration by seven weeks.</w:t>
      </w:r>
    </w:p>
    <w:p>
      <w:pPr>
        <w:pStyle w:val="ListBullet"/>
      </w:pPr>
      <w:r>
        <w:t>Cross-selling started on day 153 instead of day 100 because account owners could not see acquired customers in the CRM.</w:t>
      </w:r>
    </w:p>
    <w:p>
      <w:pPr>
        <w:pStyle w:val="ListBullet"/>
      </w:pPr>
      <w:r>
        <w:t>Cross-sell revenue reached £310k in year one against a plan of £600k.</w:t>
      </w:r>
    </w:p>
    <w:p>
      <w:pPr>
        <w:pStyle w:val="Heading1"/>
      </w:pPr>
      <w:r>
        <w:t>Lessons</w:t>
      </w:r>
    </w:p>
    <w:p>
      <w:pPr>
        <w:pStyle w:val="ListBullet"/>
      </w:pPr>
      <w:r>
        <w:t>Lesson: assess customer data quality before completion, during diligence.</w:t>
      </w:r>
    </w:p>
    <w:p>
      <w:pPr>
        <w:pStyle w:val="ListBullet"/>
      </w:pPr>
      <w:r>
        <w:t>Lesson: do not start cross-selling until account ownership is visible in the 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