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31942" w14:textId="2903EC94" w:rsidR="00794C55" w:rsidRDefault="00AD3C8B" w:rsidP="00D5169E">
      <w:pPr>
        <w:jc w:val="both"/>
      </w:pPr>
      <w:r>
        <w:t xml:space="preserve">Datos: </w:t>
      </w:r>
      <w:hyperlink r:id="rId5" w:history="1">
        <w:r w:rsidRPr="005D23B9">
          <w:rPr>
            <w:rStyle w:val="Hipervnculo"/>
          </w:rPr>
          <w:t>https://www.kaggle.com/mrsantos/hcc-dataset</w:t>
        </w:r>
      </w:hyperlink>
    </w:p>
    <w:p w14:paraId="4ACAB3F3" w14:textId="77777777" w:rsidR="00AD3C8B" w:rsidRDefault="00AD3C8B" w:rsidP="00D5169E">
      <w:pPr>
        <w:jc w:val="both"/>
      </w:pPr>
    </w:p>
    <w:p w14:paraId="5070A6EF" w14:textId="3B2DC24F" w:rsidR="00971DD5" w:rsidRPr="00AD3C8B" w:rsidRDefault="00971DD5" w:rsidP="00D5169E">
      <w:pPr>
        <w:jc w:val="both"/>
        <w:rPr>
          <w:b/>
          <w:bCs/>
          <w:sz w:val="28"/>
          <w:szCs w:val="28"/>
          <w:u w:val="single"/>
        </w:rPr>
      </w:pPr>
      <w:r w:rsidRPr="00AD3C8B">
        <w:rPr>
          <w:b/>
          <w:bCs/>
          <w:sz w:val="28"/>
          <w:szCs w:val="28"/>
          <w:u w:val="single"/>
        </w:rPr>
        <w:t>Carcinoma hepatocelular</w:t>
      </w:r>
    </w:p>
    <w:p w14:paraId="621BE2E9" w14:textId="54832226" w:rsidR="00971DD5" w:rsidRDefault="00AD3C8B" w:rsidP="00D5169E">
      <w:pPr>
        <w:jc w:val="both"/>
      </w:pPr>
      <w:r w:rsidRPr="00AD3C8B">
        <w:t>El carcinoma hepatocelular es un cáncer que se origina en las células del hígado</w:t>
      </w:r>
      <w:r>
        <w:t>.</w:t>
      </w:r>
    </w:p>
    <w:p w14:paraId="4F3A1AF5" w14:textId="36E77829" w:rsidR="00AD3C8B" w:rsidRPr="00AD3C8B" w:rsidRDefault="00713621" w:rsidP="00D5169E">
      <w:pPr>
        <w:jc w:val="both"/>
      </w:pPr>
      <w:hyperlink r:id="rId6" w:history="1">
        <w:r w:rsidR="00AD3C8B">
          <w:rPr>
            <w:rStyle w:val="Hipervnculo"/>
          </w:rPr>
          <w:t>https://www.msdmanuals.com/es/hogar/trastornos-del-h%C3%ADgado-y-de-la-ves%C3%ADcula-biliar/tumores-del-h%C3%ADgado/carcinoma-hepatocelular</w:t>
        </w:r>
      </w:hyperlink>
    </w:p>
    <w:p w14:paraId="62DCF3E9" w14:textId="739B4637" w:rsidR="00971DD5" w:rsidRPr="00AD3C8B" w:rsidRDefault="00AD3C8B" w:rsidP="00D5169E">
      <w:pPr>
        <w:pStyle w:val="Prrafodelista"/>
        <w:numPr>
          <w:ilvl w:val="0"/>
          <w:numId w:val="7"/>
        </w:numPr>
        <w:jc w:val="both"/>
        <w:rPr>
          <w:b/>
          <w:bCs/>
        </w:rPr>
      </w:pPr>
      <w:r w:rsidRPr="00AD3C8B">
        <w:rPr>
          <w:b/>
          <w:bCs/>
        </w:rPr>
        <w:t>Etiología:</w:t>
      </w:r>
    </w:p>
    <w:p w14:paraId="22AF14F7" w14:textId="5156331F" w:rsidR="00971DD5" w:rsidRPr="00971DD5" w:rsidRDefault="00135BA1" w:rsidP="00D5169E">
      <w:pPr>
        <w:jc w:val="both"/>
      </w:pPr>
      <w:r>
        <w:t>Su principal causa es la cirrosis. Tendremos que puntualizar que e</w:t>
      </w:r>
      <w:r w:rsidR="00971DD5" w:rsidRPr="00971DD5">
        <w:t>l carcinoma hepatocelular no es lo mismo que el </w:t>
      </w:r>
      <w:r w:rsidR="00971DD5" w:rsidRPr="00135BA1">
        <w:t>cáncer de hígado metastásico</w:t>
      </w:r>
      <w:r w:rsidR="00971DD5" w:rsidRPr="00971DD5">
        <w:t>, que comienza en otro órgano (como el seno o el colon) y se extiende al hígado.</w:t>
      </w:r>
    </w:p>
    <w:p w14:paraId="7AD7E18A" w14:textId="77777777" w:rsidR="00536D0C" w:rsidRPr="00971DD5" w:rsidRDefault="00536D0C" w:rsidP="00D5169E">
      <w:pPr>
        <w:jc w:val="both"/>
      </w:pPr>
    </w:p>
    <w:p w14:paraId="1967AF75" w14:textId="799D1DE8" w:rsidR="00971DD5" w:rsidRDefault="00971DD5" w:rsidP="00D5169E">
      <w:pPr>
        <w:pStyle w:val="Prrafodelista"/>
        <w:numPr>
          <w:ilvl w:val="0"/>
          <w:numId w:val="7"/>
        </w:numPr>
        <w:jc w:val="both"/>
        <w:rPr>
          <w:b/>
          <w:bCs/>
        </w:rPr>
      </w:pPr>
      <w:r w:rsidRPr="00B72AD6">
        <w:rPr>
          <w:b/>
          <w:bCs/>
        </w:rPr>
        <w:t>S</w:t>
      </w:r>
      <w:r w:rsidR="00B72AD6" w:rsidRPr="00B72AD6">
        <w:rPr>
          <w:b/>
          <w:bCs/>
        </w:rPr>
        <w:t>intomatología:</w:t>
      </w:r>
    </w:p>
    <w:p w14:paraId="39C2C803" w14:textId="2F862602" w:rsidR="00971DD5" w:rsidRPr="00971DD5" w:rsidRDefault="00B72AD6" w:rsidP="00D5169E">
      <w:pPr>
        <w:jc w:val="both"/>
      </w:pPr>
      <w:r>
        <w:t>Algunos de los síntomas más comunes son:</w:t>
      </w:r>
    </w:p>
    <w:p w14:paraId="007FF0E3" w14:textId="002A1822" w:rsidR="00971DD5" w:rsidRPr="00971DD5" w:rsidRDefault="00971DD5" w:rsidP="00D5169E">
      <w:pPr>
        <w:pStyle w:val="Prrafodelista"/>
        <w:numPr>
          <w:ilvl w:val="0"/>
          <w:numId w:val="8"/>
        </w:numPr>
        <w:jc w:val="both"/>
      </w:pPr>
      <w:r w:rsidRPr="00BF059C">
        <w:t>Dolor</w:t>
      </w:r>
      <w:r w:rsidRPr="00971DD5">
        <w:t> o sensibilidad </w:t>
      </w:r>
      <w:r w:rsidRPr="00BF059C">
        <w:t>abdominal</w:t>
      </w:r>
      <w:r w:rsidRPr="00971DD5">
        <w:t>, especialmente en la parte superior derecha.</w:t>
      </w:r>
    </w:p>
    <w:p w14:paraId="4748E71E" w14:textId="77777777" w:rsidR="00971DD5" w:rsidRPr="00971DD5" w:rsidRDefault="00971DD5" w:rsidP="00D5169E">
      <w:pPr>
        <w:pStyle w:val="Prrafodelista"/>
        <w:numPr>
          <w:ilvl w:val="0"/>
          <w:numId w:val="8"/>
        </w:numPr>
        <w:jc w:val="both"/>
      </w:pPr>
      <w:r w:rsidRPr="00971DD5">
        <w:t>Moretones o sangrado fácil</w:t>
      </w:r>
    </w:p>
    <w:p w14:paraId="52D73BA5" w14:textId="5C334BC9" w:rsidR="00971DD5" w:rsidRPr="00971DD5" w:rsidRDefault="00971DD5" w:rsidP="00D5169E">
      <w:pPr>
        <w:pStyle w:val="Prrafodelista"/>
        <w:numPr>
          <w:ilvl w:val="0"/>
          <w:numId w:val="8"/>
        </w:numPr>
        <w:jc w:val="both"/>
      </w:pPr>
      <w:r w:rsidRPr="00971DD5">
        <w:t>Abdomen agrandado (</w:t>
      </w:r>
      <w:r w:rsidRPr="00BF059C">
        <w:t>ascitis</w:t>
      </w:r>
      <w:r w:rsidRPr="00971DD5">
        <w:t>)</w:t>
      </w:r>
    </w:p>
    <w:p w14:paraId="261814C4" w14:textId="36EF5515" w:rsidR="00971DD5" w:rsidRPr="00971DD5" w:rsidRDefault="00971DD5" w:rsidP="00D5169E">
      <w:pPr>
        <w:pStyle w:val="Prrafodelista"/>
        <w:numPr>
          <w:ilvl w:val="0"/>
          <w:numId w:val="8"/>
        </w:numPr>
        <w:jc w:val="both"/>
      </w:pPr>
      <w:r w:rsidRPr="00971DD5">
        <w:t>Piel u ojos amarillos (</w:t>
      </w:r>
      <w:r w:rsidRPr="00BF059C">
        <w:t>ictericia</w:t>
      </w:r>
      <w:r w:rsidRPr="00971DD5">
        <w:t>)</w:t>
      </w:r>
    </w:p>
    <w:p w14:paraId="04E1654B" w14:textId="34D082C3" w:rsidR="00971DD5" w:rsidRDefault="00971DD5" w:rsidP="00D5169E">
      <w:pPr>
        <w:pStyle w:val="Prrafodelista"/>
        <w:numPr>
          <w:ilvl w:val="0"/>
          <w:numId w:val="8"/>
        </w:numPr>
        <w:jc w:val="both"/>
      </w:pPr>
      <w:r w:rsidRPr="00971DD5">
        <w:t>Pérdida de peso inexplicable</w:t>
      </w:r>
    </w:p>
    <w:p w14:paraId="3E35347A" w14:textId="77777777" w:rsidR="00BF059C" w:rsidRPr="00971DD5" w:rsidRDefault="00BF059C" w:rsidP="00D5169E">
      <w:pPr>
        <w:jc w:val="both"/>
      </w:pPr>
    </w:p>
    <w:p w14:paraId="6615969F" w14:textId="77777777" w:rsidR="00BF059C" w:rsidRPr="00B72AD6" w:rsidRDefault="00BF059C" w:rsidP="00D5169E">
      <w:pPr>
        <w:pStyle w:val="Prrafodelista"/>
        <w:numPr>
          <w:ilvl w:val="0"/>
          <w:numId w:val="7"/>
        </w:numPr>
        <w:jc w:val="both"/>
        <w:rPr>
          <w:b/>
          <w:bCs/>
        </w:rPr>
      </w:pPr>
      <w:r>
        <w:rPr>
          <w:b/>
          <w:bCs/>
        </w:rPr>
        <w:t>Epidemiología:</w:t>
      </w:r>
    </w:p>
    <w:p w14:paraId="6A8304AA" w14:textId="66962742" w:rsidR="00BF059C" w:rsidRPr="00971DD5" w:rsidRDefault="00BF059C" w:rsidP="00D5169E">
      <w:pPr>
        <w:jc w:val="both"/>
      </w:pPr>
      <w:r w:rsidRPr="00971DD5">
        <w:t>El carcinoma hepatocelular es el tipo más frecuente de cáncer originado en el hígado. Este tipo de cáncer ocurre con mayor frecuencia en hombres que en mujeres. Por lo general, se diagnostica en personas de 50 años o más.</w:t>
      </w:r>
    </w:p>
    <w:p w14:paraId="3881C955" w14:textId="77777777" w:rsidR="00BF059C" w:rsidRPr="00BF059C" w:rsidRDefault="00BF059C" w:rsidP="00D5169E">
      <w:pPr>
        <w:jc w:val="both"/>
      </w:pPr>
    </w:p>
    <w:p w14:paraId="55F7A9AA" w14:textId="52734009" w:rsidR="00971DD5" w:rsidRPr="00135BA1" w:rsidRDefault="00CE2CBD" w:rsidP="00D5169E">
      <w:pPr>
        <w:pStyle w:val="Prrafodelista"/>
        <w:numPr>
          <w:ilvl w:val="0"/>
          <w:numId w:val="7"/>
        </w:numPr>
        <w:jc w:val="both"/>
        <w:rPr>
          <w:b/>
          <w:bCs/>
        </w:rPr>
      </w:pPr>
      <w:r>
        <w:rPr>
          <w:b/>
          <w:bCs/>
        </w:rPr>
        <w:t>Diagnóstico</w:t>
      </w:r>
      <w:r w:rsidR="00135BA1">
        <w:rPr>
          <w:b/>
          <w:bCs/>
        </w:rPr>
        <w:t>:</w:t>
      </w:r>
    </w:p>
    <w:p w14:paraId="1934BA2C" w14:textId="334514F5" w:rsidR="00971DD5" w:rsidRDefault="00971DD5" w:rsidP="00D5169E">
      <w:pPr>
        <w:jc w:val="both"/>
      </w:pPr>
      <w:r w:rsidRPr="00971DD5">
        <w:t>El proveedor de atención médica realizará un examen físico y le preguntará acerca de sus síntomas. El examen físico puede mostrar un hígado sensible y agrandado u otros signos de cirrosis.</w:t>
      </w:r>
    </w:p>
    <w:p w14:paraId="7C41DB0F" w14:textId="60AC2DC2" w:rsidR="00FE47AB" w:rsidRPr="00971DD5" w:rsidRDefault="00FE47AB" w:rsidP="00D5169E">
      <w:pPr>
        <w:jc w:val="both"/>
      </w:pPr>
      <w:r>
        <w:t>El procedimiento habitual consiste en el análisis de los síntomas y un examen físico, en el que se busca hipersensibilidad en la zona del hígado y hepatomegalia; para proceder en caso de sospecha de cáncer a pruebas como:</w:t>
      </w:r>
    </w:p>
    <w:p w14:paraId="4F7021B5" w14:textId="1404EF90" w:rsidR="00971DD5" w:rsidRPr="00971DD5" w:rsidRDefault="00971DD5" w:rsidP="00D5169E">
      <w:pPr>
        <w:pStyle w:val="Prrafodelista"/>
        <w:numPr>
          <w:ilvl w:val="0"/>
          <w:numId w:val="9"/>
        </w:numPr>
        <w:jc w:val="both"/>
      </w:pPr>
      <w:r w:rsidRPr="00E60743">
        <w:t xml:space="preserve">Tomografía computarizada </w:t>
      </w:r>
    </w:p>
    <w:p w14:paraId="1BC9F2D9" w14:textId="74D2782B" w:rsidR="00971DD5" w:rsidRPr="00971DD5" w:rsidRDefault="00971DD5" w:rsidP="00D5169E">
      <w:pPr>
        <w:pStyle w:val="Prrafodelista"/>
        <w:numPr>
          <w:ilvl w:val="0"/>
          <w:numId w:val="9"/>
        </w:numPr>
        <w:jc w:val="both"/>
      </w:pPr>
      <w:r w:rsidRPr="00E60743">
        <w:t xml:space="preserve">Resonancia magnética </w:t>
      </w:r>
    </w:p>
    <w:p w14:paraId="2D763D5C" w14:textId="60715849" w:rsidR="00971DD5" w:rsidRPr="00971DD5" w:rsidRDefault="00971DD5" w:rsidP="00D5169E">
      <w:pPr>
        <w:pStyle w:val="Prrafodelista"/>
        <w:numPr>
          <w:ilvl w:val="0"/>
          <w:numId w:val="9"/>
        </w:numPr>
        <w:jc w:val="both"/>
      </w:pPr>
      <w:r w:rsidRPr="00E60743">
        <w:t>Ultrasonido abdominal</w:t>
      </w:r>
    </w:p>
    <w:p w14:paraId="2C1CB3B0" w14:textId="7EB5F9CD" w:rsidR="00971DD5" w:rsidRPr="00971DD5" w:rsidRDefault="00971DD5" w:rsidP="00D5169E">
      <w:pPr>
        <w:pStyle w:val="Prrafodelista"/>
        <w:numPr>
          <w:ilvl w:val="0"/>
          <w:numId w:val="9"/>
        </w:numPr>
        <w:jc w:val="both"/>
      </w:pPr>
      <w:r w:rsidRPr="00E60743">
        <w:t xml:space="preserve">Biopsia </w:t>
      </w:r>
      <w:r w:rsidR="003A7486" w:rsidRPr="00E60743">
        <w:t>hepática</w:t>
      </w:r>
    </w:p>
    <w:p w14:paraId="6426226E" w14:textId="414510CE" w:rsidR="00971DD5" w:rsidRPr="00971DD5" w:rsidRDefault="00971DD5" w:rsidP="00D5169E">
      <w:pPr>
        <w:pStyle w:val="Prrafodelista"/>
        <w:numPr>
          <w:ilvl w:val="0"/>
          <w:numId w:val="9"/>
        </w:numPr>
        <w:jc w:val="both"/>
      </w:pPr>
      <w:r w:rsidRPr="00E60743">
        <w:t>Pruebas de función hepática</w:t>
      </w:r>
    </w:p>
    <w:p w14:paraId="2603B858" w14:textId="23650664" w:rsidR="00971DD5" w:rsidRPr="00971DD5" w:rsidRDefault="00971DD5" w:rsidP="00D5169E">
      <w:pPr>
        <w:pStyle w:val="Prrafodelista"/>
        <w:numPr>
          <w:ilvl w:val="0"/>
          <w:numId w:val="9"/>
        </w:numPr>
        <w:jc w:val="both"/>
      </w:pPr>
      <w:r w:rsidRPr="00E60743">
        <w:t>Alfa fetoproteína sérica</w:t>
      </w:r>
    </w:p>
    <w:p w14:paraId="2DD2155E" w14:textId="1A56F358" w:rsidR="00971DD5" w:rsidRPr="00971DD5" w:rsidRDefault="00FE47AB" w:rsidP="00D5169E">
      <w:pPr>
        <w:jc w:val="both"/>
      </w:pPr>
      <w:r>
        <w:lastRenderedPageBreak/>
        <w:t>En el caso de los grupos de riesgo, se les suele incluir en un programa de</w:t>
      </w:r>
      <w:r w:rsidR="00971DD5" w:rsidRPr="00971DD5">
        <w:t xml:space="preserve"> análisis de sangre y ultrasonidos </w:t>
      </w:r>
      <w:r w:rsidR="001E25E9">
        <w:t>periódicos</w:t>
      </w:r>
      <w:r>
        <w:t>,</w:t>
      </w:r>
      <w:r w:rsidR="00971DD5" w:rsidRPr="00971DD5">
        <w:t xml:space="preserve"> </w:t>
      </w:r>
      <w:r>
        <w:t>de forma que se tenga un seguimiento</w:t>
      </w:r>
      <w:r w:rsidR="00BC7956">
        <w:t>,</w:t>
      </w:r>
      <w:r>
        <w:t xml:space="preserve"> y</w:t>
      </w:r>
      <w:r w:rsidR="00BC7956">
        <w:t xml:space="preserve"> así</w:t>
      </w:r>
      <w:r>
        <w:t xml:space="preserve"> poder hacer un diagnóstico precoz.</w:t>
      </w:r>
      <w:r w:rsidR="006C71C7">
        <w:t xml:space="preserve"> </w:t>
      </w:r>
      <w:r w:rsidR="00971DD5" w:rsidRPr="00971DD5">
        <w:t>Par</w:t>
      </w:r>
      <w:r w:rsidR="00FE0B8F">
        <w:t>a</w:t>
      </w:r>
      <w:r w:rsidR="00971DD5" w:rsidRPr="00971DD5">
        <w:t xml:space="preserve"> </w:t>
      </w:r>
      <w:r w:rsidR="007B1B9E">
        <w:t xml:space="preserve">un </w:t>
      </w:r>
      <w:r w:rsidR="006C71C7" w:rsidRPr="00971DD5">
        <w:t>diagnóstic</w:t>
      </w:r>
      <w:r w:rsidR="006C71C7">
        <w:t>o</w:t>
      </w:r>
      <w:r w:rsidR="00971DD5" w:rsidRPr="00971DD5">
        <w:t xml:space="preserve"> precis</w:t>
      </w:r>
      <w:r w:rsidR="007B1B9E">
        <w:t>o</w:t>
      </w:r>
      <w:r w:rsidR="00971DD5" w:rsidRPr="00971DD5">
        <w:t>, </w:t>
      </w:r>
      <w:r w:rsidR="00971DD5" w:rsidRPr="00E60743">
        <w:t>se</w:t>
      </w:r>
      <w:r w:rsidR="00971DD5" w:rsidRPr="00971DD5">
        <w:t> debe realizar una </w:t>
      </w:r>
      <w:r w:rsidR="00971DD5" w:rsidRPr="00E60743">
        <w:t>biopsia</w:t>
      </w:r>
      <w:r w:rsidR="00971DD5" w:rsidRPr="00971DD5">
        <w:t> del tumor.</w:t>
      </w:r>
    </w:p>
    <w:p w14:paraId="6F8A89CB" w14:textId="3EBA007C" w:rsidR="00971DD5" w:rsidRPr="00E60743" w:rsidRDefault="00971DD5" w:rsidP="00D5169E">
      <w:pPr>
        <w:pStyle w:val="Prrafodelista"/>
        <w:numPr>
          <w:ilvl w:val="0"/>
          <w:numId w:val="7"/>
        </w:numPr>
        <w:jc w:val="both"/>
        <w:rPr>
          <w:b/>
          <w:bCs/>
        </w:rPr>
      </w:pPr>
      <w:r w:rsidRPr="00E60743">
        <w:rPr>
          <w:b/>
          <w:bCs/>
        </w:rPr>
        <w:t>Tratamiento</w:t>
      </w:r>
      <w:r w:rsidR="00E60743">
        <w:rPr>
          <w:b/>
          <w:bCs/>
        </w:rPr>
        <w:t>:</w:t>
      </w:r>
    </w:p>
    <w:p w14:paraId="30D51800" w14:textId="6859BC55" w:rsidR="00971DD5" w:rsidRPr="00971DD5" w:rsidRDefault="00971DD5" w:rsidP="00D5169E">
      <w:pPr>
        <w:jc w:val="both"/>
      </w:pPr>
      <w:r w:rsidRPr="00971DD5">
        <w:t>El tratamiento depende de qué tan avanzado esté el cáncer.</w:t>
      </w:r>
      <w:r w:rsidR="00D73C27">
        <w:t xml:space="preserve"> Siendo en un primer momento el tratamiento mediante quimioterapia o radioterapia, para reducir su tamaño; de forma que se pueda abordar quirúrgicamente con posterioridad.</w:t>
      </w:r>
    </w:p>
    <w:p w14:paraId="6CFB8A3A" w14:textId="55D70D65" w:rsidR="00971DD5" w:rsidRPr="00971DD5" w:rsidRDefault="00971DD5" w:rsidP="00D5169E">
      <w:pPr>
        <w:jc w:val="both"/>
      </w:pPr>
      <w:r w:rsidRPr="00971DD5">
        <w:t>Si el cáncer no se puede extirpar quirúrgicamente o se diseminó fuera del hígado, generalmente no hay posibilidad de cura a largo plazo</w:t>
      </w:r>
      <w:r w:rsidR="00D73C27">
        <w:t>; teniendo que recurrir a los cuidados paliativos.</w:t>
      </w:r>
    </w:p>
    <w:p w14:paraId="3EBF5063" w14:textId="77777777" w:rsidR="00971DD5" w:rsidRPr="00F33804" w:rsidRDefault="00971DD5" w:rsidP="00D5169E">
      <w:pPr>
        <w:pStyle w:val="Prrafodelista"/>
        <w:numPr>
          <w:ilvl w:val="0"/>
          <w:numId w:val="7"/>
        </w:numPr>
        <w:jc w:val="both"/>
        <w:rPr>
          <w:b/>
          <w:bCs/>
        </w:rPr>
      </w:pPr>
      <w:r w:rsidRPr="00F33804">
        <w:rPr>
          <w:b/>
          <w:bCs/>
        </w:rPr>
        <w:t>Prevención</w:t>
      </w:r>
    </w:p>
    <w:p w14:paraId="4C7BB89C" w14:textId="77777777" w:rsidR="00971DD5" w:rsidRPr="00971DD5" w:rsidRDefault="00971DD5" w:rsidP="00D5169E">
      <w:pPr>
        <w:jc w:val="both"/>
      </w:pPr>
      <w:r w:rsidRPr="00971DD5">
        <w:t>Las medidas preventivas incluyen:</w:t>
      </w:r>
    </w:p>
    <w:p w14:paraId="41661FEC" w14:textId="77777777" w:rsidR="00971DD5" w:rsidRPr="00971DD5" w:rsidRDefault="00971DD5" w:rsidP="00D5169E">
      <w:pPr>
        <w:pStyle w:val="Prrafodelista"/>
        <w:numPr>
          <w:ilvl w:val="0"/>
          <w:numId w:val="11"/>
        </w:numPr>
        <w:jc w:val="both"/>
      </w:pPr>
      <w:r w:rsidRPr="00971DD5">
        <w:t>Prevenir y tratar la hepatitis viral puede ayudar a reducir su riesgo. La vacunación infantil contra la hepatitis B puede reducir el riesgo de cáncer de hígado en el futuro.</w:t>
      </w:r>
    </w:p>
    <w:p w14:paraId="05E3861E" w14:textId="0256E7C7" w:rsidR="00971DD5" w:rsidRPr="00971DD5" w:rsidRDefault="00971DD5" w:rsidP="00D5169E">
      <w:pPr>
        <w:pStyle w:val="Prrafodelista"/>
        <w:numPr>
          <w:ilvl w:val="0"/>
          <w:numId w:val="11"/>
        </w:numPr>
        <w:jc w:val="both"/>
      </w:pPr>
      <w:r w:rsidRPr="00971DD5">
        <w:t xml:space="preserve">No </w:t>
      </w:r>
      <w:r w:rsidR="001E76DB">
        <w:t>ingerir</w:t>
      </w:r>
      <w:r w:rsidRPr="00971DD5">
        <w:t xml:space="preserve"> cantidades excesivas de alcohol.</w:t>
      </w:r>
    </w:p>
    <w:p w14:paraId="049CD729" w14:textId="77777777" w:rsidR="00971DD5" w:rsidRPr="00971DD5" w:rsidRDefault="00971DD5" w:rsidP="00D5169E">
      <w:pPr>
        <w:pStyle w:val="Prrafodelista"/>
        <w:numPr>
          <w:ilvl w:val="0"/>
          <w:numId w:val="11"/>
        </w:numPr>
        <w:jc w:val="both"/>
      </w:pPr>
      <w:r w:rsidRPr="00971DD5">
        <w:t>Es posible que las personas con ciertos tipos de hemocromatosis (sobrecarga de hierro) deban someterse a pruebas de detección de cáncer de hígado.</w:t>
      </w:r>
    </w:p>
    <w:p w14:paraId="0FF70475" w14:textId="77777777" w:rsidR="00971DD5" w:rsidRPr="00971DD5" w:rsidRDefault="00971DD5" w:rsidP="00D5169E">
      <w:pPr>
        <w:pStyle w:val="Prrafodelista"/>
        <w:numPr>
          <w:ilvl w:val="0"/>
          <w:numId w:val="11"/>
        </w:numPr>
        <w:jc w:val="both"/>
      </w:pPr>
      <w:r w:rsidRPr="00971DD5">
        <w:t>Las personas que tienen hepatitis B o C o cirrosis pueden ser recomendadas para la detección del cáncer de hígado.</w:t>
      </w:r>
    </w:p>
    <w:p w14:paraId="36CC90B8" w14:textId="11023BDF" w:rsidR="00971DD5" w:rsidRDefault="00713621" w:rsidP="00D5169E">
      <w:pPr>
        <w:jc w:val="both"/>
      </w:pPr>
      <w:hyperlink r:id="rId7" w:history="1">
        <w:r w:rsidR="00AD3C8B">
          <w:rPr>
            <w:rStyle w:val="Hipervnculo"/>
          </w:rPr>
          <w:t>https://medlineplus.gov/ency/article/000280.htm</w:t>
        </w:r>
      </w:hyperlink>
    </w:p>
    <w:p w14:paraId="038BCE8D" w14:textId="6401B53C" w:rsidR="00BA403C" w:rsidRPr="00BA403C" w:rsidRDefault="00BA403C" w:rsidP="00D5169E">
      <w:pPr>
        <w:pStyle w:val="Prrafodelista"/>
        <w:numPr>
          <w:ilvl w:val="0"/>
          <w:numId w:val="7"/>
        </w:numPr>
        <w:jc w:val="both"/>
        <w:rPr>
          <w:b/>
          <w:bCs/>
        </w:rPr>
      </w:pPr>
      <w:r w:rsidRPr="00BA403C">
        <w:rPr>
          <w:b/>
          <w:bCs/>
        </w:rPr>
        <w:t>Justificación:</w:t>
      </w:r>
    </w:p>
    <w:p w14:paraId="1DBF9CDA" w14:textId="4A16B99C" w:rsidR="00B4480E" w:rsidRPr="00971DD5" w:rsidRDefault="00B4480E" w:rsidP="00D5169E">
      <w:pPr>
        <w:jc w:val="both"/>
      </w:pPr>
      <w:r>
        <w:t xml:space="preserve">Por todo esto, podemos concluir que un </w:t>
      </w:r>
      <w:r w:rsidR="00C2026B">
        <w:t>diagnóstico</w:t>
      </w:r>
      <w:r>
        <w:t xml:space="preserve"> temprano es fundamental</w:t>
      </w:r>
      <w:r w:rsidR="00C2257D">
        <w:t>,</w:t>
      </w:r>
      <w:r>
        <w:t xml:space="preserve"> tanto </w:t>
      </w:r>
      <w:r w:rsidR="0095300A">
        <w:t xml:space="preserve">en </w:t>
      </w:r>
      <w:r>
        <w:t>el plano humano, es decir, para evitar una mayor morbilidad en estadios altos</w:t>
      </w:r>
      <w:r w:rsidR="00A53701">
        <w:t>;</w:t>
      </w:r>
      <w:r>
        <w:t xml:space="preserve"> </w:t>
      </w:r>
      <w:r w:rsidR="00D43C9F">
        <w:t>y</w:t>
      </w:r>
      <w:r>
        <w:t xml:space="preserve"> mortalidad. </w:t>
      </w:r>
      <w:r w:rsidR="00A07A5C">
        <w:t>Como en e</w:t>
      </w:r>
      <w:r>
        <w:t>l plano</w:t>
      </w:r>
      <w:r w:rsidR="00A07A5C">
        <w:t xml:space="preserve"> </w:t>
      </w:r>
      <w:r>
        <w:t>económico, ya que es más rentable tratar pacientes en fases tempranas de una enfermedad</w:t>
      </w:r>
      <w:r w:rsidR="00713621">
        <w:t>,</w:t>
      </w:r>
      <w:bookmarkStart w:id="0" w:name="_GoBack"/>
      <w:bookmarkEnd w:id="0"/>
      <w:r>
        <w:t xml:space="preserve"> que en una avanzada.</w:t>
      </w:r>
    </w:p>
    <w:sectPr w:rsidR="00B4480E" w:rsidRPr="00971DD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C37"/>
    <w:multiLevelType w:val="multilevel"/>
    <w:tmpl w:val="5ED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F60CB2"/>
    <w:multiLevelType w:val="hybridMultilevel"/>
    <w:tmpl w:val="94B46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E13A2C"/>
    <w:multiLevelType w:val="hybridMultilevel"/>
    <w:tmpl w:val="61240B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7A1C9F"/>
    <w:multiLevelType w:val="multilevel"/>
    <w:tmpl w:val="5A92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F19DA"/>
    <w:multiLevelType w:val="hybridMultilevel"/>
    <w:tmpl w:val="D82225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486883"/>
    <w:multiLevelType w:val="multilevel"/>
    <w:tmpl w:val="4CA2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1B08F2"/>
    <w:multiLevelType w:val="multilevel"/>
    <w:tmpl w:val="A522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6C14F7"/>
    <w:multiLevelType w:val="hybridMultilevel"/>
    <w:tmpl w:val="1DF8FB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728543D"/>
    <w:multiLevelType w:val="multilevel"/>
    <w:tmpl w:val="EE3E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AA5883"/>
    <w:multiLevelType w:val="hybridMultilevel"/>
    <w:tmpl w:val="E12E43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01071CC"/>
    <w:multiLevelType w:val="hybridMultilevel"/>
    <w:tmpl w:val="C6C05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8"/>
  </w:num>
  <w:num w:numId="5">
    <w:abstractNumId w:val="3"/>
  </w:num>
  <w:num w:numId="6">
    <w:abstractNumId w:val="10"/>
  </w:num>
  <w:num w:numId="7">
    <w:abstractNumId w:val="2"/>
  </w:num>
  <w:num w:numId="8">
    <w:abstractNumId w:val="7"/>
  </w:num>
  <w:num w:numId="9">
    <w:abstractNumId w:val="9"/>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DD5"/>
    <w:rsid w:val="00095A28"/>
    <w:rsid w:val="00135BA1"/>
    <w:rsid w:val="001837A5"/>
    <w:rsid w:val="001B7CF8"/>
    <w:rsid w:val="001E25E9"/>
    <w:rsid w:val="001E76DB"/>
    <w:rsid w:val="00206EB9"/>
    <w:rsid w:val="003818C9"/>
    <w:rsid w:val="003A3362"/>
    <w:rsid w:val="003A7486"/>
    <w:rsid w:val="004150EA"/>
    <w:rsid w:val="00536D0C"/>
    <w:rsid w:val="00601AD4"/>
    <w:rsid w:val="00604F3F"/>
    <w:rsid w:val="0064795E"/>
    <w:rsid w:val="006853B4"/>
    <w:rsid w:val="006C71C7"/>
    <w:rsid w:val="00713621"/>
    <w:rsid w:val="00794C55"/>
    <w:rsid w:val="007B1B9E"/>
    <w:rsid w:val="008B646E"/>
    <w:rsid w:val="0095300A"/>
    <w:rsid w:val="00971DD5"/>
    <w:rsid w:val="009A0499"/>
    <w:rsid w:val="00A07A5C"/>
    <w:rsid w:val="00A51843"/>
    <w:rsid w:val="00A53701"/>
    <w:rsid w:val="00A604E4"/>
    <w:rsid w:val="00A66A14"/>
    <w:rsid w:val="00AD3C8B"/>
    <w:rsid w:val="00B4480E"/>
    <w:rsid w:val="00B72AD6"/>
    <w:rsid w:val="00BA403C"/>
    <w:rsid w:val="00BC7956"/>
    <w:rsid w:val="00BF059C"/>
    <w:rsid w:val="00C2026B"/>
    <w:rsid w:val="00C2257D"/>
    <w:rsid w:val="00C91141"/>
    <w:rsid w:val="00CE2CBD"/>
    <w:rsid w:val="00D171E8"/>
    <w:rsid w:val="00D43C9F"/>
    <w:rsid w:val="00D5169E"/>
    <w:rsid w:val="00D73C27"/>
    <w:rsid w:val="00DC39A0"/>
    <w:rsid w:val="00E03C16"/>
    <w:rsid w:val="00E60743"/>
    <w:rsid w:val="00E96CF0"/>
    <w:rsid w:val="00F33804"/>
    <w:rsid w:val="00F463E6"/>
    <w:rsid w:val="00F464A3"/>
    <w:rsid w:val="00F86AAD"/>
    <w:rsid w:val="00FE0B8F"/>
    <w:rsid w:val="00FE47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8D8F"/>
  <w15:chartTrackingRefBased/>
  <w15:docId w15:val="{1051FB24-B989-42C5-A151-0671C327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1D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971DD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71DD5"/>
    <w:rPr>
      <w:color w:val="0000FF"/>
      <w:u w:val="single"/>
    </w:rPr>
  </w:style>
  <w:style w:type="character" w:customStyle="1" w:styleId="Ttulo1Car">
    <w:name w:val="Título 1 Car"/>
    <w:basedOn w:val="Fuentedeprrafopredeter"/>
    <w:link w:val="Ttulo1"/>
    <w:uiPriority w:val="9"/>
    <w:rsid w:val="00971DD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971DD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971DD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71DD5"/>
    <w:pPr>
      <w:ind w:left="720"/>
      <w:contextualSpacing/>
    </w:pPr>
  </w:style>
  <w:style w:type="character" w:styleId="Mencinsinresolver">
    <w:name w:val="Unresolved Mention"/>
    <w:basedOn w:val="Fuentedeprrafopredeter"/>
    <w:uiPriority w:val="99"/>
    <w:semiHidden/>
    <w:unhideWhenUsed/>
    <w:rsid w:val="00AD3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13680">
      <w:bodyDiv w:val="1"/>
      <w:marLeft w:val="0"/>
      <w:marRight w:val="0"/>
      <w:marTop w:val="0"/>
      <w:marBottom w:val="0"/>
      <w:divBdr>
        <w:top w:val="none" w:sz="0" w:space="0" w:color="auto"/>
        <w:left w:val="none" w:sz="0" w:space="0" w:color="auto"/>
        <w:bottom w:val="none" w:sz="0" w:space="0" w:color="auto"/>
        <w:right w:val="none" w:sz="0" w:space="0" w:color="auto"/>
      </w:divBdr>
      <w:divsChild>
        <w:div w:id="1767916978">
          <w:marLeft w:val="0"/>
          <w:marRight w:val="0"/>
          <w:marTop w:val="0"/>
          <w:marBottom w:val="0"/>
          <w:divBdr>
            <w:top w:val="none" w:sz="0" w:space="0" w:color="auto"/>
            <w:left w:val="none" w:sz="0" w:space="0" w:color="auto"/>
            <w:bottom w:val="none" w:sz="0" w:space="0" w:color="auto"/>
            <w:right w:val="none" w:sz="0" w:space="0" w:color="auto"/>
          </w:divBdr>
          <w:divsChild>
            <w:div w:id="749347795">
              <w:marLeft w:val="0"/>
              <w:marRight w:val="0"/>
              <w:marTop w:val="0"/>
              <w:marBottom w:val="288"/>
              <w:divBdr>
                <w:top w:val="none" w:sz="0" w:space="0" w:color="auto"/>
                <w:left w:val="none" w:sz="0" w:space="0" w:color="auto"/>
                <w:bottom w:val="none" w:sz="0" w:space="0" w:color="auto"/>
                <w:right w:val="none" w:sz="0" w:space="0" w:color="auto"/>
              </w:divBdr>
            </w:div>
            <w:div w:id="1934125476">
              <w:marLeft w:val="0"/>
              <w:marRight w:val="0"/>
              <w:marTop w:val="0"/>
              <w:marBottom w:val="0"/>
              <w:divBdr>
                <w:top w:val="none" w:sz="0" w:space="0" w:color="auto"/>
                <w:left w:val="none" w:sz="0" w:space="0" w:color="auto"/>
                <w:bottom w:val="none" w:sz="0" w:space="0" w:color="auto"/>
                <w:right w:val="none" w:sz="0" w:space="0" w:color="auto"/>
              </w:divBdr>
            </w:div>
          </w:divsChild>
        </w:div>
        <w:div w:id="2041585579">
          <w:marLeft w:val="0"/>
          <w:marRight w:val="0"/>
          <w:marTop w:val="0"/>
          <w:marBottom w:val="0"/>
          <w:divBdr>
            <w:top w:val="none" w:sz="0" w:space="0" w:color="auto"/>
            <w:left w:val="none" w:sz="0" w:space="0" w:color="auto"/>
            <w:bottom w:val="none" w:sz="0" w:space="0" w:color="auto"/>
            <w:right w:val="none" w:sz="0" w:space="0" w:color="auto"/>
          </w:divBdr>
          <w:divsChild>
            <w:div w:id="1445030034">
              <w:marLeft w:val="0"/>
              <w:marRight w:val="0"/>
              <w:marTop w:val="0"/>
              <w:marBottom w:val="0"/>
              <w:divBdr>
                <w:top w:val="none" w:sz="0" w:space="0" w:color="auto"/>
                <w:left w:val="none" w:sz="0" w:space="0" w:color="auto"/>
                <w:bottom w:val="none" w:sz="0" w:space="0" w:color="auto"/>
                <w:right w:val="none" w:sz="0" w:space="0" w:color="auto"/>
              </w:divBdr>
            </w:div>
            <w:div w:id="182132714">
              <w:marLeft w:val="0"/>
              <w:marRight w:val="0"/>
              <w:marTop w:val="0"/>
              <w:marBottom w:val="0"/>
              <w:divBdr>
                <w:top w:val="none" w:sz="0" w:space="0" w:color="auto"/>
                <w:left w:val="none" w:sz="0" w:space="0" w:color="auto"/>
                <w:bottom w:val="none" w:sz="0" w:space="0" w:color="auto"/>
                <w:right w:val="none" w:sz="0" w:space="0" w:color="auto"/>
              </w:divBdr>
              <w:divsChild>
                <w:div w:id="181944578">
                  <w:marLeft w:val="0"/>
                  <w:marRight w:val="0"/>
                  <w:marTop w:val="0"/>
                  <w:marBottom w:val="171"/>
                  <w:divBdr>
                    <w:top w:val="none" w:sz="0" w:space="0" w:color="auto"/>
                    <w:left w:val="none" w:sz="0" w:space="0" w:color="auto"/>
                    <w:bottom w:val="none" w:sz="0" w:space="0" w:color="auto"/>
                    <w:right w:val="none" w:sz="0" w:space="0" w:color="auto"/>
                  </w:divBdr>
                  <w:divsChild>
                    <w:div w:id="1234463051">
                      <w:marLeft w:val="0"/>
                      <w:marRight w:val="0"/>
                      <w:marTop w:val="0"/>
                      <w:marBottom w:val="0"/>
                      <w:divBdr>
                        <w:top w:val="none" w:sz="0" w:space="0" w:color="auto"/>
                        <w:left w:val="none" w:sz="0" w:space="0" w:color="auto"/>
                        <w:bottom w:val="none" w:sz="0" w:space="0" w:color="auto"/>
                        <w:right w:val="none" w:sz="0" w:space="0" w:color="auto"/>
                      </w:divBdr>
                    </w:div>
                  </w:divsChild>
                </w:div>
                <w:div w:id="2106414066">
                  <w:marLeft w:val="0"/>
                  <w:marRight w:val="0"/>
                  <w:marTop w:val="0"/>
                  <w:marBottom w:val="0"/>
                  <w:divBdr>
                    <w:top w:val="none" w:sz="0" w:space="0" w:color="auto"/>
                    <w:left w:val="none" w:sz="0" w:space="0" w:color="auto"/>
                    <w:bottom w:val="none" w:sz="0" w:space="0" w:color="auto"/>
                    <w:right w:val="none" w:sz="0" w:space="0" w:color="auto"/>
                  </w:divBdr>
                </w:div>
              </w:divsChild>
            </w:div>
            <w:div w:id="348066471">
              <w:marLeft w:val="0"/>
              <w:marRight w:val="0"/>
              <w:marTop w:val="0"/>
              <w:marBottom w:val="0"/>
              <w:divBdr>
                <w:top w:val="none" w:sz="0" w:space="0" w:color="auto"/>
                <w:left w:val="none" w:sz="0" w:space="0" w:color="auto"/>
                <w:bottom w:val="none" w:sz="0" w:space="0" w:color="auto"/>
                <w:right w:val="none" w:sz="0" w:space="0" w:color="auto"/>
              </w:divBdr>
              <w:divsChild>
                <w:div w:id="1311326668">
                  <w:marLeft w:val="0"/>
                  <w:marRight w:val="0"/>
                  <w:marTop w:val="0"/>
                  <w:marBottom w:val="171"/>
                  <w:divBdr>
                    <w:top w:val="none" w:sz="0" w:space="0" w:color="auto"/>
                    <w:left w:val="none" w:sz="0" w:space="0" w:color="auto"/>
                    <w:bottom w:val="none" w:sz="0" w:space="0" w:color="auto"/>
                    <w:right w:val="none" w:sz="0" w:space="0" w:color="auto"/>
                  </w:divBdr>
                  <w:divsChild>
                    <w:div w:id="1630359076">
                      <w:marLeft w:val="0"/>
                      <w:marRight w:val="0"/>
                      <w:marTop w:val="0"/>
                      <w:marBottom w:val="0"/>
                      <w:divBdr>
                        <w:top w:val="none" w:sz="0" w:space="0" w:color="auto"/>
                        <w:left w:val="none" w:sz="0" w:space="0" w:color="auto"/>
                        <w:bottom w:val="none" w:sz="0" w:space="0" w:color="auto"/>
                        <w:right w:val="none" w:sz="0" w:space="0" w:color="auto"/>
                      </w:divBdr>
                    </w:div>
                  </w:divsChild>
                </w:div>
                <w:div w:id="1106193281">
                  <w:marLeft w:val="0"/>
                  <w:marRight w:val="0"/>
                  <w:marTop w:val="0"/>
                  <w:marBottom w:val="0"/>
                  <w:divBdr>
                    <w:top w:val="none" w:sz="0" w:space="0" w:color="auto"/>
                    <w:left w:val="none" w:sz="0" w:space="0" w:color="auto"/>
                    <w:bottom w:val="none" w:sz="0" w:space="0" w:color="auto"/>
                    <w:right w:val="none" w:sz="0" w:space="0" w:color="auto"/>
                  </w:divBdr>
                </w:div>
              </w:divsChild>
            </w:div>
            <w:div w:id="2034264898">
              <w:marLeft w:val="0"/>
              <w:marRight w:val="0"/>
              <w:marTop w:val="0"/>
              <w:marBottom w:val="0"/>
              <w:divBdr>
                <w:top w:val="none" w:sz="0" w:space="0" w:color="auto"/>
                <w:left w:val="none" w:sz="0" w:space="0" w:color="auto"/>
                <w:bottom w:val="none" w:sz="0" w:space="0" w:color="auto"/>
                <w:right w:val="none" w:sz="0" w:space="0" w:color="auto"/>
              </w:divBdr>
              <w:divsChild>
                <w:div w:id="1607538861">
                  <w:marLeft w:val="0"/>
                  <w:marRight w:val="0"/>
                  <w:marTop w:val="0"/>
                  <w:marBottom w:val="171"/>
                  <w:divBdr>
                    <w:top w:val="none" w:sz="0" w:space="0" w:color="auto"/>
                    <w:left w:val="none" w:sz="0" w:space="0" w:color="auto"/>
                    <w:bottom w:val="none" w:sz="0" w:space="0" w:color="auto"/>
                    <w:right w:val="none" w:sz="0" w:space="0" w:color="auto"/>
                  </w:divBdr>
                  <w:divsChild>
                    <w:div w:id="760754929">
                      <w:marLeft w:val="0"/>
                      <w:marRight w:val="0"/>
                      <w:marTop w:val="0"/>
                      <w:marBottom w:val="0"/>
                      <w:divBdr>
                        <w:top w:val="none" w:sz="0" w:space="0" w:color="auto"/>
                        <w:left w:val="none" w:sz="0" w:space="0" w:color="auto"/>
                        <w:bottom w:val="none" w:sz="0" w:space="0" w:color="auto"/>
                        <w:right w:val="none" w:sz="0" w:space="0" w:color="auto"/>
                      </w:divBdr>
                    </w:div>
                  </w:divsChild>
                </w:div>
                <w:div w:id="1639992375">
                  <w:marLeft w:val="0"/>
                  <w:marRight w:val="0"/>
                  <w:marTop w:val="0"/>
                  <w:marBottom w:val="0"/>
                  <w:divBdr>
                    <w:top w:val="none" w:sz="0" w:space="0" w:color="auto"/>
                    <w:left w:val="none" w:sz="0" w:space="0" w:color="auto"/>
                    <w:bottom w:val="none" w:sz="0" w:space="0" w:color="auto"/>
                    <w:right w:val="none" w:sz="0" w:space="0" w:color="auto"/>
                  </w:divBdr>
                </w:div>
              </w:divsChild>
            </w:div>
            <w:div w:id="50084690">
              <w:marLeft w:val="0"/>
              <w:marRight w:val="0"/>
              <w:marTop w:val="0"/>
              <w:marBottom w:val="0"/>
              <w:divBdr>
                <w:top w:val="none" w:sz="0" w:space="0" w:color="auto"/>
                <w:left w:val="none" w:sz="0" w:space="0" w:color="auto"/>
                <w:bottom w:val="none" w:sz="0" w:space="0" w:color="auto"/>
                <w:right w:val="none" w:sz="0" w:space="0" w:color="auto"/>
              </w:divBdr>
              <w:divsChild>
                <w:div w:id="883904777">
                  <w:marLeft w:val="0"/>
                  <w:marRight w:val="0"/>
                  <w:marTop w:val="0"/>
                  <w:marBottom w:val="171"/>
                  <w:divBdr>
                    <w:top w:val="none" w:sz="0" w:space="0" w:color="auto"/>
                    <w:left w:val="none" w:sz="0" w:space="0" w:color="auto"/>
                    <w:bottom w:val="none" w:sz="0" w:space="0" w:color="auto"/>
                    <w:right w:val="none" w:sz="0" w:space="0" w:color="auto"/>
                  </w:divBdr>
                  <w:divsChild>
                    <w:div w:id="1725791986">
                      <w:marLeft w:val="0"/>
                      <w:marRight w:val="0"/>
                      <w:marTop w:val="0"/>
                      <w:marBottom w:val="0"/>
                      <w:divBdr>
                        <w:top w:val="none" w:sz="0" w:space="0" w:color="auto"/>
                        <w:left w:val="none" w:sz="0" w:space="0" w:color="auto"/>
                        <w:bottom w:val="none" w:sz="0" w:space="0" w:color="auto"/>
                        <w:right w:val="none" w:sz="0" w:space="0" w:color="auto"/>
                      </w:divBdr>
                    </w:div>
                  </w:divsChild>
                </w:div>
                <w:div w:id="294720557">
                  <w:marLeft w:val="0"/>
                  <w:marRight w:val="0"/>
                  <w:marTop w:val="0"/>
                  <w:marBottom w:val="0"/>
                  <w:divBdr>
                    <w:top w:val="none" w:sz="0" w:space="0" w:color="auto"/>
                    <w:left w:val="none" w:sz="0" w:space="0" w:color="auto"/>
                    <w:bottom w:val="none" w:sz="0" w:space="0" w:color="auto"/>
                    <w:right w:val="none" w:sz="0" w:space="0" w:color="auto"/>
                  </w:divBdr>
                </w:div>
              </w:divsChild>
            </w:div>
            <w:div w:id="1756513827">
              <w:marLeft w:val="0"/>
              <w:marRight w:val="0"/>
              <w:marTop w:val="0"/>
              <w:marBottom w:val="0"/>
              <w:divBdr>
                <w:top w:val="none" w:sz="0" w:space="0" w:color="auto"/>
                <w:left w:val="none" w:sz="0" w:space="0" w:color="auto"/>
                <w:bottom w:val="none" w:sz="0" w:space="0" w:color="auto"/>
                <w:right w:val="none" w:sz="0" w:space="0" w:color="auto"/>
              </w:divBdr>
              <w:divsChild>
                <w:div w:id="1705668762">
                  <w:marLeft w:val="0"/>
                  <w:marRight w:val="0"/>
                  <w:marTop w:val="0"/>
                  <w:marBottom w:val="171"/>
                  <w:divBdr>
                    <w:top w:val="none" w:sz="0" w:space="0" w:color="auto"/>
                    <w:left w:val="none" w:sz="0" w:space="0" w:color="auto"/>
                    <w:bottom w:val="none" w:sz="0" w:space="0" w:color="auto"/>
                    <w:right w:val="none" w:sz="0" w:space="0" w:color="auto"/>
                  </w:divBdr>
                  <w:divsChild>
                    <w:div w:id="1072582477">
                      <w:marLeft w:val="0"/>
                      <w:marRight w:val="0"/>
                      <w:marTop w:val="0"/>
                      <w:marBottom w:val="0"/>
                      <w:divBdr>
                        <w:top w:val="none" w:sz="0" w:space="0" w:color="auto"/>
                        <w:left w:val="none" w:sz="0" w:space="0" w:color="auto"/>
                        <w:bottom w:val="none" w:sz="0" w:space="0" w:color="auto"/>
                        <w:right w:val="none" w:sz="0" w:space="0" w:color="auto"/>
                      </w:divBdr>
                    </w:div>
                  </w:divsChild>
                </w:div>
                <w:div w:id="1842700124">
                  <w:marLeft w:val="0"/>
                  <w:marRight w:val="0"/>
                  <w:marTop w:val="0"/>
                  <w:marBottom w:val="0"/>
                  <w:divBdr>
                    <w:top w:val="none" w:sz="0" w:space="0" w:color="auto"/>
                    <w:left w:val="none" w:sz="0" w:space="0" w:color="auto"/>
                    <w:bottom w:val="none" w:sz="0" w:space="0" w:color="auto"/>
                    <w:right w:val="none" w:sz="0" w:space="0" w:color="auto"/>
                  </w:divBdr>
                </w:div>
              </w:divsChild>
            </w:div>
            <w:div w:id="891577340">
              <w:marLeft w:val="0"/>
              <w:marRight w:val="0"/>
              <w:marTop w:val="0"/>
              <w:marBottom w:val="0"/>
              <w:divBdr>
                <w:top w:val="none" w:sz="0" w:space="0" w:color="auto"/>
                <w:left w:val="none" w:sz="0" w:space="0" w:color="auto"/>
                <w:bottom w:val="none" w:sz="0" w:space="0" w:color="auto"/>
                <w:right w:val="none" w:sz="0" w:space="0" w:color="auto"/>
              </w:divBdr>
              <w:divsChild>
                <w:div w:id="1005590036">
                  <w:marLeft w:val="0"/>
                  <w:marRight w:val="0"/>
                  <w:marTop w:val="0"/>
                  <w:marBottom w:val="171"/>
                  <w:divBdr>
                    <w:top w:val="none" w:sz="0" w:space="0" w:color="auto"/>
                    <w:left w:val="none" w:sz="0" w:space="0" w:color="auto"/>
                    <w:bottom w:val="none" w:sz="0" w:space="0" w:color="auto"/>
                    <w:right w:val="none" w:sz="0" w:space="0" w:color="auto"/>
                  </w:divBdr>
                  <w:divsChild>
                    <w:div w:id="1157571638">
                      <w:marLeft w:val="0"/>
                      <w:marRight w:val="0"/>
                      <w:marTop w:val="0"/>
                      <w:marBottom w:val="0"/>
                      <w:divBdr>
                        <w:top w:val="none" w:sz="0" w:space="0" w:color="auto"/>
                        <w:left w:val="none" w:sz="0" w:space="0" w:color="auto"/>
                        <w:bottom w:val="none" w:sz="0" w:space="0" w:color="auto"/>
                        <w:right w:val="none" w:sz="0" w:space="0" w:color="auto"/>
                      </w:divBdr>
                    </w:div>
                  </w:divsChild>
                </w:div>
                <w:div w:id="76172842">
                  <w:marLeft w:val="0"/>
                  <w:marRight w:val="0"/>
                  <w:marTop w:val="0"/>
                  <w:marBottom w:val="0"/>
                  <w:divBdr>
                    <w:top w:val="none" w:sz="0" w:space="0" w:color="auto"/>
                    <w:left w:val="none" w:sz="0" w:space="0" w:color="auto"/>
                    <w:bottom w:val="none" w:sz="0" w:space="0" w:color="auto"/>
                    <w:right w:val="none" w:sz="0" w:space="0" w:color="auto"/>
                  </w:divBdr>
                </w:div>
              </w:divsChild>
            </w:div>
            <w:div w:id="138501005">
              <w:marLeft w:val="0"/>
              <w:marRight w:val="0"/>
              <w:marTop w:val="0"/>
              <w:marBottom w:val="0"/>
              <w:divBdr>
                <w:top w:val="none" w:sz="0" w:space="0" w:color="auto"/>
                <w:left w:val="none" w:sz="0" w:space="0" w:color="auto"/>
                <w:bottom w:val="none" w:sz="0" w:space="0" w:color="auto"/>
                <w:right w:val="none" w:sz="0" w:space="0" w:color="auto"/>
              </w:divBdr>
              <w:divsChild>
                <w:div w:id="712269767">
                  <w:marLeft w:val="0"/>
                  <w:marRight w:val="0"/>
                  <w:marTop w:val="0"/>
                  <w:marBottom w:val="171"/>
                  <w:divBdr>
                    <w:top w:val="none" w:sz="0" w:space="0" w:color="auto"/>
                    <w:left w:val="none" w:sz="0" w:space="0" w:color="auto"/>
                    <w:bottom w:val="none" w:sz="0" w:space="0" w:color="auto"/>
                    <w:right w:val="none" w:sz="0" w:space="0" w:color="auto"/>
                  </w:divBdr>
                  <w:divsChild>
                    <w:div w:id="1594430556">
                      <w:marLeft w:val="0"/>
                      <w:marRight w:val="0"/>
                      <w:marTop w:val="0"/>
                      <w:marBottom w:val="0"/>
                      <w:divBdr>
                        <w:top w:val="none" w:sz="0" w:space="0" w:color="auto"/>
                        <w:left w:val="none" w:sz="0" w:space="0" w:color="auto"/>
                        <w:bottom w:val="none" w:sz="0" w:space="0" w:color="auto"/>
                        <w:right w:val="none" w:sz="0" w:space="0" w:color="auto"/>
                      </w:divBdr>
                    </w:div>
                  </w:divsChild>
                </w:div>
                <w:div w:id="102308749">
                  <w:marLeft w:val="0"/>
                  <w:marRight w:val="0"/>
                  <w:marTop w:val="0"/>
                  <w:marBottom w:val="0"/>
                  <w:divBdr>
                    <w:top w:val="none" w:sz="0" w:space="0" w:color="auto"/>
                    <w:left w:val="none" w:sz="0" w:space="0" w:color="auto"/>
                    <w:bottom w:val="none" w:sz="0" w:space="0" w:color="auto"/>
                    <w:right w:val="none" w:sz="0" w:space="0" w:color="auto"/>
                  </w:divBdr>
                </w:div>
              </w:divsChild>
            </w:div>
            <w:div w:id="891961855">
              <w:marLeft w:val="0"/>
              <w:marRight w:val="0"/>
              <w:marTop w:val="0"/>
              <w:marBottom w:val="0"/>
              <w:divBdr>
                <w:top w:val="none" w:sz="0" w:space="0" w:color="auto"/>
                <w:left w:val="none" w:sz="0" w:space="0" w:color="auto"/>
                <w:bottom w:val="none" w:sz="0" w:space="0" w:color="auto"/>
                <w:right w:val="none" w:sz="0" w:space="0" w:color="auto"/>
              </w:divBdr>
              <w:divsChild>
                <w:div w:id="29770167">
                  <w:marLeft w:val="0"/>
                  <w:marRight w:val="0"/>
                  <w:marTop w:val="0"/>
                  <w:marBottom w:val="171"/>
                  <w:divBdr>
                    <w:top w:val="none" w:sz="0" w:space="0" w:color="auto"/>
                    <w:left w:val="none" w:sz="0" w:space="0" w:color="auto"/>
                    <w:bottom w:val="none" w:sz="0" w:space="0" w:color="auto"/>
                    <w:right w:val="none" w:sz="0" w:space="0" w:color="auto"/>
                  </w:divBdr>
                  <w:divsChild>
                    <w:div w:id="1647393319">
                      <w:marLeft w:val="0"/>
                      <w:marRight w:val="0"/>
                      <w:marTop w:val="0"/>
                      <w:marBottom w:val="0"/>
                      <w:divBdr>
                        <w:top w:val="none" w:sz="0" w:space="0" w:color="auto"/>
                        <w:left w:val="none" w:sz="0" w:space="0" w:color="auto"/>
                        <w:bottom w:val="none" w:sz="0" w:space="0" w:color="auto"/>
                        <w:right w:val="none" w:sz="0" w:space="0" w:color="auto"/>
                      </w:divBdr>
                    </w:div>
                  </w:divsChild>
                </w:div>
                <w:div w:id="2076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lineplus.gov/ency/article/00028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sdmanuals.com/es/hogar/trastornos-del-h%C3%ADgado-y-de-la-ves%C3%ADcula-biliar/tumores-del-h%C3%ADgado/carcinoma-hepatocelular" TargetMode="External"/><Relationship Id="rId5" Type="http://schemas.openxmlformats.org/officeDocument/2006/relationships/hyperlink" Target="https://www.kaggle.com/mrsantos/hcc-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532</Words>
  <Characters>2926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Arroyo Blanco</dc:creator>
  <cp:keywords/>
  <dc:description/>
  <cp:lastModifiedBy>Jorge Arroyo Blanco</cp:lastModifiedBy>
  <cp:revision>40</cp:revision>
  <dcterms:created xsi:type="dcterms:W3CDTF">2020-03-23T18:02:00Z</dcterms:created>
  <dcterms:modified xsi:type="dcterms:W3CDTF">2020-03-24T17:36:00Z</dcterms:modified>
</cp:coreProperties>
</file>