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05DD8" w:rsidRPr="005E7631" w:rsidRDefault="00214A7C" w:rsidP="0032341D">
      <w:pPr>
        <w:spacing w:line="240" w:lineRule="auto"/>
        <w:jc w:val="both"/>
        <w:rPr>
          <w:rStyle w:val="IntenseEmphasis"/>
        </w:rPr>
      </w:pPr>
      <w:proofErr w:type="spellStart"/>
      <w:r w:rsidRPr="005E7631">
        <w:rPr>
          <w:rStyle w:val="IntenseEmphasis"/>
        </w:rPr>
        <w:t>Sulodexina</w:t>
      </w:r>
      <w:proofErr w:type="spellEnd"/>
      <w:r w:rsidRPr="005E7631">
        <w:rPr>
          <w:rStyle w:val="IntenseEmphasis"/>
        </w:rPr>
        <w:t xml:space="preserve"> para la Enfermedad Venosa Crónica:</w:t>
      </w:r>
    </w:p>
    <w:p w:rsidR="00305DD8" w:rsidRPr="005E7631" w:rsidRDefault="00214A7C" w:rsidP="0032341D">
      <w:pPr>
        <w:spacing w:line="240" w:lineRule="auto"/>
        <w:jc w:val="both"/>
        <w:rPr>
          <w:rStyle w:val="IntenseEmphasis"/>
        </w:rPr>
      </w:pPr>
      <w:r w:rsidRPr="005E7631">
        <w:rPr>
          <w:rStyle w:val="IntenseEmphasis"/>
        </w:rPr>
        <w:t>Cuando los infomerciales invaden la literatura médica</w:t>
      </w:r>
    </w:p>
    <w:p w:rsidR="00305DD8" w:rsidRPr="0070230A" w:rsidRDefault="00305DD8" w:rsidP="0032341D">
      <w:pPr>
        <w:spacing w:line="240" w:lineRule="auto"/>
        <w:jc w:val="both"/>
        <w:rPr>
          <w:rFonts w:ascii="Times New Roman" w:hAnsi="Times New Roman" w:cs="Times New Roman"/>
          <w:color w:val="auto"/>
          <w:sz w:val="24"/>
          <w:szCs w:val="24"/>
        </w:rPr>
      </w:pPr>
    </w:p>
    <w:p w:rsidR="0032341D" w:rsidRPr="0070230A" w:rsidRDefault="0032341D"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 xml:space="preserve">La presentación </w:t>
      </w:r>
      <w:r w:rsidR="001A1D2F">
        <w:rPr>
          <w:rFonts w:ascii="Times New Roman" w:hAnsi="Times New Roman" w:cs="Times New Roman"/>
          <w:color w:val="auto"/>
          <w:sz w:val="24"/>
          <w:szCs w:val="24"/>
        </w:rPr>
        <w:t xml:space="preserve">gráfica </w:t>
      </w:r>
      <w:r w:rsidRPr="0070230A">
        <w:rPr>
          <w:rFonts w:ascii="Times New Roman" w:hAnsi="Times New Roman" w:cs="Times New Roman"/>
          <w:color w:val="auto"/>
          <w:sz w:val="24"/>
          <w:szCs w:val="24"/>
        </w:rPr>
        <w:t>de datos en los artículos científicos es la mejor forma que tiene el investigador para comunicar una gran cantidad de información, sin embargo cuando no se realiza de forma adecuada puede alterar el mensaje.</w:t>
      </w:r>
    </w:p>
    <w:p w:rsidR="0032341D" w:rsidRPr="0070230A" w:rsidRDefault="0032341D" w:rsidP="0032341D">
      <w:pPr>
        <w:spacing w:line="240" w:lineRule="auto"/>
        <w:jc w:val="both"/>
        <w:rPr>
          <w:rFonts w:ascii="Times New Roman" w:hAnsi="Times New Roman" w:cs="Times New Roman"/>
          <w:color w:val="auto"/>
          <w:sz w:val="24"/>
          <w:szCs w:val="24"/>
        </w:rPr>
      </w:pPr>
    </w:p>
    <w:p w:rsidR="00305DD8" w:rsidRPr="0070230A" w:rsidRDefault="001A1D2F" w:rsidP="0032341D">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E</w:t>
      </w:r>
      <w:r w:rsidR="00214A7C" w:rsidRPr="0070230A">
        <w:rPr>
          <w:rFonts w:ascii="Times New Roman" w:hAnsi="Times New Roman" w:cs="Times New Roman"/>
          <w:color w:val="auto"/>
          <w:sz w:val="24"/>
          <w:szCs w:val="24"/>
        </w:rPr>
        <w:t xml:space="preserve">l artículo </w:t>
      </w:r>
      <w:proofErr w:type="spellStart"/>
      <w:r w:rsidR="00214A7C" w:rsidRPr="0070230A">
        <w:rPr>
          <w:rFonts w:ascii="Times New Roman" w:hAnsi="Times New Roman" w:cs="Times New Roman"/>
          <w:b/>
          <w:color w:val="auto"/>
          <w:sz w:val="24"/>
          <w:szCs w:val="24"/>
        </w:rPr>
        <w:t>Sulodexina</w:t>
      </w:r>
      <w:proofErr w:type="spellEnd"/>
      <w:r w:rsidR="00214A7C" w:rsidRPr="0070230A">
        <w:rPr>
          <w:rFonts w:ascii="Times New Roman" w:hAnsi="Times New Roman" w:cs="Times New Roman"/>
          <w:b/>
          <w:color w:val="auto"/>
          <w:sz w:val="24"/>
          <w:szCs w:val="24"/>
        </w:rPr>
        <w:t xml:space="preserve"> para la Enfermedad Venosa Crónica: Experiencia Clínica en México</w:t>
      </w:r>
      <w:r w:rsidR="005E7631" w:rsidRPr="005E7631">
        <w:rPr>
          <w:rFonts w:ascii="Times New Roman" w:hAnsi="Times New Roman" w:cs="Times New Roman"/>
          <w:b/>
          <w:color w:val="auto"/>
          <w:sz w:val="24"/>
          <w:szCs w:val="24"/>
          <w:vertAlign w:val="superscript"/>
        </w:rPr>
        <w:t>1</w:t>
      </w:r>
      <w:r w:rsidR="00214A7C" w:rsidRPr="0070230A">
        <w:rPr>
          <w:rFonts w:ascii="Times New Roman" w:hAnsi="Times New Roman" w:cs="Times New Roman"/>
          <w:b/>
          <w:color w:val="auto"/>
          <w:sz w:val="24"/>
          <w:szCs w:val="24"/>
        </w:rPr>
        <w:t xml:space="preserve"> </w:t>
      </w:r>
      <w:r w:rsidR="00214A7C" w:rsidRPr="0070230A">
        <w:rPr>
          <w:rFonts w:ascii="Times New Roman" w:hAnsi="Times New Roman" w:cs="Times New Roman"/>
          <w:color w:val="auto"/>
          <w:sz w:val="24"/>
          <w:szCs w:val="24"/>
        </w:rPr>
        <w:t xml:space="preserve"> publicado en la revista Mexicana de Angiología que incluso mereció un sobretiro</w:t>
      </w:r>
      <w:r w:rsidR="0032341D" w:rsidRPr="0070230A">
        <w:rPr>
          <w:rFonts w:ascii="Times New Roman" w:hAnsi="Times New Roman" w:cs="Times New Roman"/>
          <w:color w:val="auto"/>
          <w:sz w:val="24"/>
          <w:szCs w:val="24"/>
        </w:rPr>
        <w:t xml:space="preserve"> es un claro ejemplo de manipulación de gráficos para enviar un mensaje inadecuado, </w:t>
      </w:r>
      <w:r w:rsidR="00214A7C" w:rsidRPr="0070230A">
        <w:rPr>
          <w:rFonts w:ascii="Times New Roman" w:hAnsi="Times New Roman" w:cs="Times New Roman"/>
          <w:color w:val="auto"/>
          <w:sz w:val="24"/>
          <w:szCs w:val="24"/>
        </w:rPr>
        <w:t xml:space="preserve"> desde el diseño hasta la presentación de datos fue </w:t>
      </w:r>
      <w:r w:rsidR="0032341D" w:rsidRPr="0070230A">
        <w:rPr>
          <w:rFonts w:ascii="Times New Roman" w:hAnsi="Times New Roman" w:cs="Times New Roman"/>
          <w:color w:val="auto"/>
          <w:sz w:val="24"/>
          <w:szCs w:val="24"/>
        </w:rPr>
        <w:t xml:space="preserve">alterado </w:t>
      </w:r>
      <w:r w:rsidR="00214A7C" w:rsidRPr="0070230A">
        <w:rPr>
          <w:rFonts w:ascii="Times New Roman" w:hAnsi="Times New Roman" w:cs="Times New Roman"/>
          <w:color w:val="auto"/>
          <w:sz w:val="24"/>
          <w:szCs w:val="24"/>
        </w:rPr>
        <w:t>para que encajara desde el punto de vista comercial y no científico, que es el objetivo de nuestra revista.</w:t>
      </w: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Sin demeritar el difícil trabajo que es para los colegas médicos el diseño y la adquisición de datos, si estos no son tratados adecuadamente no se convierten en información ni en conocimiento, y existen algunos puntos que considero son import</w:t>
      </w:r>
      <w:r w:rsidR="001A1D2F">
        <w:rPr>
          <w:rFonts w:ascii="Times New Roman" w:hAnsi="Times New Roman" w:cs="Times New Roman"/>
          <w:color w:val="auto"/>
          <w:sz w:val="24"/>
          <w:szCs w:val="24"/>
        </w:rPr>
        <w:t>antes a tratar.</w:t>
      </w:r>
    </w:p>
    <w:p w:rsidR="00305DD8" w:rsidRPr="0070230A" w:rsidRDefault="00305DD8" w:rsidP="0032341D">
      <w:pPr>
        <w:spacing w:line="240" w:lineRule="auto"/>
        <w:jc w:val="both"/>
        <w:rPr>
          <w:rFonts w:ascii="Times New Roman" w:hAnsi="Times New Roman" w:cs="Times New Roman"/>
          <w:color w:val="auto"/>
          <w:sz w:val="24"/>
          <w:szCs w:val="24"/>
        </w:rPr>
      </w:pP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b/>
          <w:color w:val="auto"/>
          <w:sz w:val="24"/>
          <w:szCs w:val="24"/>
        </w:rPr>
        <w:t>Conflicto de interés</w:t>
      </w:r>
    </w:p>
    <w:p w:rsidR="00305DD8" w:rsidRPr="0070230A" w:rsidRDefault="00305DD8" w:rsidP="0032341D">
      <w:pPr>
        <w:spacing w:line="240" w:lineRule="auto"/>
        <w:jc w:val="both"/>
        <w:rPr>
          <w:rFonts w:ascii="Times New Roman" w:hAnsi="Times New Roman" w:cs="Times New Roman"/>
          <w:color w:val="auto"/>
          <w:sz w:val="24"/>
          <w:szCs w:val="24"/>
        </w:rPr>
      </w:pP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El primer punto a considerar es el conflicto de interés que no se declara en ningún momento, si bien la industria farmacéutica invierte y apoya la investigación clínica de forma ética y profesional, siempre debe indicarse el tipo de participación dentro de los estudios, este estudio no solo  fue apoyado por la industria farmacéutica, sino que uno de los autores e incluso el análisis de los datos fue realizado directamente por el laboratorio.</w:t>
      </w:r>
    </w:p>
    <w:p w:rsidR="00305DD8" w:rsidRPr="0070230A" w:rsidRDefault="00305DD8" w:rsidP="0032341D">
      <w:pPr>
        <w:spacing w:line="240" w:lineRule="auto"/>
        <w:jc w:val="both"/>
        <w:rPr>
          <w:rFonts w:ascii="Times New Roman" w:hAnsi="Times New Roman" w:cs="Times New Roman"/>
          <w:color w:val="auto"/>
          <w:sz w:val="24"/>
          <w:szCs w:val="24"/>
        </w:rPr>
      </w:pP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b/>
          <w:color w:val="auto"/>
          <w:sz w:val="24"/>
          <w:szCs w:val="24"/>
        </w:rPr>
        <w:t>Instrumentos de medición</w:t>
      </w: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 xml:space="preserve">Para el diseño del estudio se utiliza un formato de recolección de datos que incluye una escala sintomática de la enfermedad venosa con 10 rubros a los que se les asigna una puntuación de 1 a 5. </w:t>
      </w:r>
      <w:r w:rsidR="0070230A" w:rsidRPr="0070230A">
        <w:rPr>
          <w:rFonts w:ascii="Times New Roman" w:hAnsi="Times New Roman" w:cs="Times New Roman"/>
          <w:color w:val="auto"/>
          <w:sz w:val="24"/>
          <w:szCs w:val="24"/>
          <w:highlight w:val="white"/>
        </w:rPr>
        <w:t xml:space="preserve">Aunque la escala utilizada </w:t>
      </w:r>
      <w:r w:rsidR="001A1D2F">
        <w:rPr>
          <w:rFonts w:ascii="Times New Roman" w:hAnsi="Times New Roman" w:cs="Times New Roman"/>
          <w:color w:val="auto"/>
          <w:sz w:val="24"/>
          <w:szCs w:val="24"/>
          <w:highlight w:val="white"/>
        </w:rPr>
        <w:t>incluye</w:t>
      </w:r>
      <w:r w:rsidR="0070230A" w:rsidRPr="0070230A">
        <w:rPr>
          <w:rFonts w:ascii="Times New Roman" w:hAnsi="Times New Roman" w:cs="Times New Roman"/>
          <w:color w:val="auto"/>
          <w:sz w:val="24"/>
          <w:szCs w:val="24"/>
          <w:highlight w:val="white"/>
        </w:rPr>
        <w:t xml:space="preserve"> la mayoría de los síntomas relacionados con la enfermedad venosa crónica se desconoce su validez y reproductibilidad</w:t>
      </w:r>
      <w:r w:rsidR="0070230A" w:rsidRPr="0070230A">
        <w:rPr>
          <w:rFonts w:ascii="Times New Roman" w:hAnsi="Times New Roman" w:cs="Times New Roman"/>
          <w:color w:val="auto"/>
          <w:sz w:val="24"/>
          <w:szCs w:val="24"/>
        </w:rPr>
        <w:t>, e</w:t>
      </w:r>
      <w:r w:rsidRPr="0070230A">
        <w:rPr>
          <w:rFonts w:ascii="Times New Roman" w:hAnsi="Times New Roman" w:cs="Times New Roman"/>
          <w:color w:val="auto"/>
          <w:sz w:val="24"/>
          <w:szCs w:val="24"/>
        </w:rPr>
        <w:t>n un estudio de esta magnitud, se requiere de un instrumento estandariz</w:t>
      </w:r>
      <w:r w:rsidR="001A1D2F">
        <w:rPr>
          <w:rFonts w:ascii="Times New Roman" w:hAnsi="Times New Roman" w:cs="Times New Roman"/>
          <w:color w:val="auto"/>
          <w:sz w:val="24"/>
          <w:szCs w:val="24"/>
        </w:rPr>
        <w:t>ado y adecuadamente validado  (T</w:t>
      </w:r>
      <w:r w:rsidRPr="0070230A">
        <w:rPr>
          <w:rFonts w:ascii="Times New Roman" w:hAnsi="Times New Roman" w:cs="Times New Roman"/>
          <w:color w:val="auto"/>
          <w:sz w:val="24"/>
          <w:szCs w:val="24"/>
        </w:rPr>
        <w:t>abla</w:t>
      </w:r>
      <w:r w:rsidRPr="0070230A">
        <w:rPr>
          <w:rFonts w:ascii="Times New Roman" w:hAnsi="Times New Roman" w:cs="Times New Roman"/>
          <w:color w:val="auto"/>
          <w:sz w:val="24"/>
          <w:szCs w:val="24"/>
          <w:highlight w:val="white"/>
        </w:rPr>
        <w:t>1).</w:t>
      </w:r>
    </w:p>
    <w:p w:rsidR="00305DD8" w:rsidRPr="0070230A" w:rsidRDefault="00305DD8" w:rsidP="0032341D">
      <w:pPr>
        <w:spacing w:line="240" w:lineRule="auto"/>
        <w:jc w:val="both"/>
        <w:rPr>
          <w:rFonts w:ascii="Times New Roman" w:hAnsi="Times New Roman" w:cs="Times New Roman"/>
          <w:color w:val="auto"/>
          <w:sz w:val="24"/>
          <w:szCs w:val="24"/>
        </w:rPr>
      </w:pPr>
    </w:p>
    <w:p w:rsidR="005E7631" w:rsidRDefault="005E7631" w:rsidP="005E7631">
      <w:pPr>
        <w:pStyle w:val="Caption"/>
        <w:keepNext/>
      </w:pPr>
      <w:r>
        <w:t xml:space="preserve">Tabla </w:t>
      </w:r>
      <w:r>
        <w:fldChar w:fldCharType="begin"/>
      </w:r>
      <w:r>
        <w:instrText xml:space="preserve"> SEQ Tabla \* ARABIC </w:instrText>
      </w:r>
      <w:r>
        <w:fldChar w:fldCharType="separate"/>
      </w:r>
      <w:r>
        <w:rPr>
          <w:noProof/>
        </w:rPr>
        <w:t>1</w:t>
      </w:r>
      <w:r>
        <w:fldChar w:fldCharType="end"/>
      </w:r>
      <w:r>
        <w:t>. Instrumentos de medición de la calidad de vida en pacientes con insuficiencia venosa</w:t>
      </w:r>
      <w:r w:rsidRPr="005E7631">
        <w:rPr>
          <w:vertAlign w:val="superscript"/>
        </w:rPr>
        <w:t>2</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5805"/>
      </w:tblGrid>
      <w:tr w:rsidR="0070230A" w:rsidRPr="0070230A">
        <w:tc>
          <w:tcPr>
            <w:tcW w:w="3195" w:type="dxa"/>
            <w:tcMar>
              <w:top w:w="100" w:type="dxa"/>
              <w:left w:w="100" w:type="dxa"/>
              <w:bottom w:w="100" w:type="dxa"/>
              <w:right w:w="100" w:type="dxa"/>
            </w:tcMar>
          </w:tcPr>
          <w:p w:rsidR="00305DD8" w:rsidRPr="0070230A" w:rsidRDefault="00214A7C" w:rsidP="0032341D">
            <w:pPr>
              <w:spacing w:line="240" w:lineRule="auto"/>
              <w:jc w:val="center"/>
              <w:rPr>
                <w:rFonts w:ascii="Times New Roman" w:hAnsi="Times New Roman" w:cs="Times New Roman"/>
                <w:color w:val="auto"/>
                <w:sz w:val="24"/>
                <w:szCs w:val="24"/>
              </w:rPr>
            </w:pPr>
            <w:r w:rsidRPr="0070230A">
              <w:rPr>
                <w:rFonts w:ascii="Times New Roman" w:eastAsia="Calibri" w:hAnsi="Times New Roman" w:cs="Times New Roman"/>
                <w:b/>
                <w:color w:val="auto"/>
                <w:sz w:val="24"/>
                <w:szCs w:val="24"/>
                <w:highlight w:val="white"/>
              </w:rPr>
              <w:t>Instrumentos genéricos</w:t>
            </w:r>
          </w:p>
        </w:tc>
        <w:tc>
          <w:tcPr>
            <w:tcW w:w="5805" w:type="dxa"/>
            <w:tcMar>
              <w:top w:w="100" w:type="dxa"/>
              <w:left w:w="100" w:type="dxa"/>
              <w:bottom w:w="100" w:type="dxa"/>
              <w:right w:w="100" w:type="dxa"/>
            </w:tcMar>
          </w:tcPr>
          <w:p w:rsidR="00305DD8" w:rsidRPr="0070230A" w:rsidRDefault="00214A7C" w:rsidP="0032341D">
            <w:pPr>
              <w:spacing w:line="240" w:lineRule="auto"/>
              <w:jc w:val="center"/>
              <w:rPr>
                <w:rFonts w:ascii="Times New Roman" w:hAnsi="Times New Roman" w:cs="Times New Roman"/>
                <w:color w:val="auto"/>
                <w:sz w:val="24"/>
                <w:szCs w:val="24"/>
              </w:rPr>
            </w:pPr>
            <w:r w:rsidRPr="0070230A">
              <w:rPr>
                <w:rFonts w:ascii="Times New Roman" w:eastAsia="Calibri" w:hAnsi="Times New Roman" w:cs="Times New Roman"/>
                <w:b/>
                <w:color w:val="auto"/>
                <w:sz w:val="24"/>
                <w:szCs w:val="24"/>
                <w:highlight w:val="white"/>
              </w:rPr>
              <w:t>Instrumentos Específicos</w:t>
            </w:r>
          </w:p>
        </w:tc>
      </w:tr>
      <w:tr w:rsidR="0070230A" w:rsidRPr="001A1D2F">
        <w:tc>
          <w:tcPr>
            <w:tcW w:w="3195" w:type="dxa"/>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lang w:val="en-US"/>
              </w:rPr>
            </w:pPr>
            <w:r w:rsidRPr="0070230A">
              <w:rPr>
                <w:rFonts w:ascii="Times New Roman" w:eastAsia="Calibri" w:hAnsi="Times New Roman" w:cs="Times New Roman"/>
                <w:color w:val="auto"/>
                <w:sz w:val="24"/>
                <w:szCs w:val="24"/>
                <w:highlight w:val="white"/>
                <w:lang w:val="en-US"/>
              </w:rPr>
              <w:t>Venous Severity Score (VSS)</w:t>
            </w:r>
          </w:p>
          <w:p w:rsidR="00305DD8" w:rsidRPr="0070230A" w:rsidRDefault="00214A7C" w:rsidP="0032341D">
            <w:pPr>
              <w:spacing w:line="240" w:lineRule="auto"/>
              <w:rPr>
                <w:rFonts w:ascii="Times New Roman" w:hAnsi="Times New Roman" w:cs="Times New Roman"/>
                <w:color w:val="auto"/>
                <w:sz w:val="24"/>
                <w:szCs w:val="24"/>
                <w:lang w:val="en-US"/>
              </w:rPr>
            </w:pPr>
            <w:r w:rsidRPr="0070230A">
              <w:rPr>
                <w:rFonts w:ascii="Times New Roman" w:eastAsia="Calibri" w:hAnsi="Times New Roman" w:cs="Times New Roman"/>
                <w:color w:val="auto"/>
                <w:sz w:val="24"/>
                <w:szCs w:val="24"/>
                <w:highlight w:val="white"/>
                <w:lang w:val="en-US"/>
              </w:rPr>
              <w:t>Venous Clinical Severity Score(VCSS)</w:t>
            </w:r>
          </w:p>
          <w:p w:rsidR="00305DD8" w:rsidRPr="0070230A" w:rsidRDefault="00214A7C" w:rsidP="0032341D">
            <w:pPr>
              <w:spacing w:line="240" w:lineRule="auto"/>
              <w:rPr>
                <w:rFonts w:ascii="Times New Roman" w:hAnsi="Times New Roman" w:cs="Times New Roman"/>
                <w:color w:val="auto"/>
                <w:sz w:val="24"/>
                <w:szCs w:val="24"/>
              </w:rPr>
            </w:pPr>
            <w:proofErr w:type="spellStart"/>
            <w:r w:rsidRPr="0070230A">
              <w:rPr>
                <w:rFonts w:ascii="Times New Roman" w:eastAsia="Calibri" w:hAnsi="Times New Roman" w:cs="Times New Roman"/>
                <w:color w:val="auto"/>
                <w:sz w:val="24"/>
                <w:szCs w:val="24"/>
                <w:highlight w:val="white"/>
              </w:rPr>
              <w:t>Venous</w:t>
            </w:r>
            <w:proofErr w:type="spellEnd"/>
            <w:r w:rsidRPr="0070230A">
              <w:rPr>
                <w:rFonts w:ascii="Times New Roman" w:eastAsia="Calibri" w:hAnsi="Times New Roman" w:cs="Times New Roman"/>
                <w:color w:val="auto"/>
                <w:sz w:val="24"/>
                <w:szCs w:val="24"/>
                <w:highlight w:val="white"/>
              </w:rPr>
              <w:t xml:space="preserve"> </w:t>
            </w:r>
            <w:proofErr w:type="spellStart"/>
            <w:r w:rsidRPr="0070230A">
              <w:rPr>
                <w:rFonts w:ascii="Times New Roman" w:eastAsia="Calibri" w:hAnsi="Times New Roman" w:cs="Times New Roman"/>
                <w:color w:val="auto"/>
                <w:sz w:val="24"/>
                <w:szCs w:val="24"/>
                <w:highlight w:val="white"/>
              </w:rPr>
              <w:t>Disability</w:t>
            </w:r>
            <w:proofErr w:type="spellEnd"/>
            <w:r w:rsidRPr="0070230A">
              <w:rPr>
                <w:rFonts w:ascii="Times New Roman" w:eastAsia="Calibri" w:hAnsi="Times New Roman" w:cs="Times New Roman"/>
                <w:color w:val="auto"/>
                <w:sz w:val="24"/>
                <w:szCs w:val="24"/>
                <w:highlight w:val="white"/>
              </w:rPr>
              <w:t xml:space="preserve"> Score (VDS)</w:t>
            </w:r>
          </w:p>
        </w:tc>
        <w:tc>
          <w:tcPr>
            <w:tcW w:w="5805" w:type="dxa"/>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lang w:val="en-US"/>
              </w:rPr>
            </w:pPr>
            <w:r w:rsidRPr="0070230A">
              <w:rPr>
                <w:rFonts w:ascii="Times New Roman" w:eastAsia="Calibri" w:hAnsi="Times New Roman" w:cs="Times New Roman"/>
                <w:color w:val="auto"/>
                <w:sz w:val="24"/>
                <w:szCs w:val="24"/>
                <w:highlight w:val="white"/>
                <w:lang w:val="en-US"/>
              </w:rPr>
              <w:t>Chronic Venous Insufficiency Questionnaire (CIVIQ)</w:t>
            </w:r>
          </w:p>
          <w:p w:rsidR="00305DD8" w:rsidRPr="0070230A" w:rsidRDefault="00214A7C" w:rsidP="0032341D">
            <w:pPr>
              <w:spacing w:line="240" w:lineRule="auto"/>
              <w:rPr>
                <w:rFonts w:ascii="Times New Roman" w:hAnsi="Times New Roman" w:cs="Times New Roman"/>
                <w:color w:val="auto"/>
                <w:sz w:val="24"/>
                <w:szCs w:val="24"/>
                <w:lang w:val="en-US"/>
              </w:rPr>
            </w:pPr>
            <w:r w:rsidRPr="0070230A">
              <w:rPr>
                <w:rFonts w:ascii="Times New Roman" w:eastAsia="Calibri" w:hAnsi="Times New Roman" w:cs="Times New Roman"/>
                <w:color w:val="auto"/>
                <w:sz w:val="24"/>
                <w:szCs w:val="24"/>
                <w:highlight w:val="white"/>
                <w:lang w:val="en-US"/>
              </w:rPr>
              <w:t>Venous Insufficiency Epidemiological and Economic Study (VEINES)</w:t>
            </w:r>
          </w:p>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eastAsia="Calibri" w:hAnsi="Times New Roman" w:cs="Times New Roman"/>
                <w:color w:val="auto"/>
                <w:sz w:val="24"/>
                <w:szCs w:val="24"/>
                <w:highlight w:val="white"/>
              </w:rPr>
              <w:t xml:space="preserve">Aberdeen </w:t>
            </w:r>
            <w:proofErr w:type="spellStart"/>
            <w:r w:rsidRPr="0070230A">
              <w:rPr>
                <w:rFonts w:ascii="Times New Roman" w:eastAsia="Calibri" w:hAnsi="Times New Roman" w:cs="Times New Roman"/>
                <w:color w:val="auto"/>
                <w:sz w:val="24"/>
                <w:szCs w:val="24"/>
                <w:highlight w:val="white"/>
              </w:rPr>
              <w:t>Varicose</w:t>
            </w:r>
            <w:proofErr w:type="spellEnd"/>
            <w:r w:rsidRPr="0070230A">
              <w:rPr>
                <w:rFonts w:ascii="Times New Roman" w:eastAsia="Calibri" w:hAnsi="Times New Roman" w:cs="Times New Roman"/>
                <w:color w:val="auto"/>
                <w:sz w:val="24"/>
                <w:szCs w:val="24"/>
                <w:highlight w:val="white"/>
              </w:rPr>
              <w:t xml:space="preserve"> </w:t>
            </w:r>
            <w:proofErr w:type="spellStart"/>
            <w:r w:rsidRPr="0070230A">
              <w:rPr>
                <w:rFonts w:ascii="Times New Roman" w:eastAsia="Calibri" w:hAnsi="Times New Roman" w:cs="Times New Roman"/>
                <w:color w:val="auto"/>
                <w:sz w:val="24"/>
                <w:szCs w:val="24"/>
                <w:highlight w:val="white"/>
              </w:rPr>
              <w:t>Vein</w:t>
            </w:r>
            <w:proofErr w:type="spellEnd"/>
            <w:r w:rsidRPr="0070230A">
              <w:rPr>
                <w:rFonts w:ascii="Times New Roman" w:eastAsia="Calibri" w:hAnsi="Times New Roman" w:cs="Times New Roman"/>
                <w:color w:val="auto"/>
                <w:sz w:val="24"/>
                <w:szCs w:val="24"/>
                <w:highlight w:val="white"/>
              </w:rPr>
              <w:t xml:space="preserve"> </w:t>
            </w:r>
            <w:proofErr w:type="spellStart"/>
            <w:r w:rsidRPr="0070230A">
              <w:rPr>
                <w:rFonts w:ascii="Times New Roman" w:eastAsia="Calibri" w:hAnsi="Times New Roman" w:cs="Times New Roman"/>
                <w:color w:val="auto"/>
                <w:sz w:val="24"/>
                <w:szCs w:val="24"/>
                <w:highlight w:val="white"/>
              </w:rPr>
              <w:t>Questionnaire</w:t>
            </w:r>
            <w:proofErr w:type="spellEnd"/>
            <w:r w:rsidRPr="0070230A">
              <w:rPr>
                <w:rFonts w:ascii="Times New Roman" w:eastAsia="Calibri" w:hAnsi="Times New Roman" w:cs="Times New Roman"/>
                <w:color w:val="auto"/>
                <w:sz w:val="24"/>
                <w:szCs w:val="24"/>
                <w:highlight w:val="white"/>
              </w:rPr>
              <w:t xml:space="preserve"> (AVVQ)</w:t>
            </w:r>
          </w:p>
          <w:p w:rsidR="00305DD8" w:rsidRPr="0070230A" w:rsidRDefault="00214A7C" w:rsidP="0032341D">
            <w:pPr>
              <w:spacing w:line="240" w:lineRule="auto"/>
              <w:rPr>
                <w:rFonts w:ascii="Times New Roman" w:hAnsi="Times New Roman" w:cs="Times New Roman"/>
                <w:color w:val="auto"/>
                <w:sz w:val="24"/>
                <w:szCs w:val="24"/>
                <w:lang w:val="en-US"/>
              </w:rPr>
            </w:pPr>
            <w:proofErr w:type="spellStart"/>
            <w:r w:rsidRPr="0070230A">
              <w:rPr>
                <w:rFonts w:ascii="Times New Roman" w:eastAsia="Calibri" w:hAnsi="Times New Roman" w:cs="Times New Roman"/>
                <w:color w:val="auto"/>
                <w:sz w:val="24"/>
                <w:szCs w:val="24"/>
                <w:highlight w:val="white"/>
                <w:lang w:val="en-US"/>
              </w:rPr>
              <w:t>Charing</w:t>
            </w:r>
            <w:proofErr w:type="spellEnd"/>
            <w:r w:rsidRPr="0070230A">
              <w:rPr>
                <w:rFonts w:ascii="Times New Roman" w:eastAsia="Calibri" w:hAnsi="Times New Roman" w:cs="Times New Roman"/>
                <w:color w:val="auto"/>
                <w:sz w:val="24"/>
                <w:szCs w:val="24"/>
                <w:highlight w:val="white"/>
                <w:lang w:val="en-US"/>
              </w:rPr>
              <w:t xml:space="preserve"> Cross Venous Ulceration Questionnaire (CXVUQ)</w:t>
            </w:r>
          </w:p>
        </w:tc>
      </w:tr>
    </w:tbl>
    <w:p w:rsidR="00305DD8" w:rsidRPr="0070230A" w:rsidRDefault="00305DD8" w:rsidP="0032341D">
      <w:pPr>
        <w:spacing w:line="240" w:lineRule="auto"/>
        <w:jc w:val="both"/>
        <w:rPr>
          <w:rFonts w:ascii="Times New Roman" w:hAnsi="Times New Roman" w:cs="Times New Roman"/>
          <w:color w:val="auto"/>
          <w:sz w:val="24"/>
          <w:szCs w:val="24"/>
          <w:lang w:val="en-US"/>
        </w:rPr>
      </w:pP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highlight w:val="white"/>
        </w:rPr>
        <w:t xml:space="preserve">Pero aún los propios autores la utilizan y reportan de forma incorrecta. </w:t>
      </w:r>
      <w:r w:rsidR="0070230A" w:rsidRPr="0070230A">
        <w:rPr>
          <w:rFonts w:ascii="Times New Roman" w:hAnsi="Times New Roman" w:cs="Times New Roman"/>
          <w:color w:val="auto"/>
          <w:sz w:val="24"/>
          <w:szCs w:val="24"/>
          <w:highlight w:val="white"/>
        </w:rPr>
        <w:t>La</w:t>
      </w:r>
      <w:r w:rsidRPr="0070230A">
        <w:rPr>
          <w:rFonts w:ascii="Times New Roman" w:hAnsi="Times New Roman" w:cs="Times New Roman"/>
          <w:color w:val="auto"/>
          <w:sz w:val="24"/>
          <w:szCs w:val="24"/>
          <w:highlight w:val="white"/>
        </w:rPr>
        <w:t xml:space="preserve"> escala mencionada parece </w:t>
      </w:r>
      <w:proofErr w:type="spellStart"/>
      <w:r w:rsidRPr="0070230A">
        <w:rPr>
          <w:rFonts w:ascii="Times New Roman" w:hAnsi="Times New Roman" w:cs="Times New Roman"/>
          <w:color w:val="auto"/>
          <w:sz w:val="24"/>
          <w:szCs w:val="24"/>
          <w:highlight w:val="white"/>
        </w:rPr>
        <w:t>semicuantitativa</w:t>
      </w:r>
      <w:proofErr w:type="spellEnd"/>
      <w:r w:rsidRPr="0070230A">
        <w:rPr>
          <w:rFonts w:ascii="Times New Roman" w:hAnsi="Times New Roman" w:cs="Times New Roman"/>
          <w:color w:val="auto"/>
          <w:sz w:val="24"/>
          <w:szCs w:val="24"/>
          <w:highlight w:val="white"/>
        </w:rPr>
        <w:t xml:space="preserve"> con un rango posible del 10 a 50, un convencionalismo en el reporte de literatura médica es no convertir las variables cuantitativas a categóricas. El primer error grave es manejar el puntaje como promedio y crear 6 categorías (&lt;1 a 5), sin embargo la categoría menor (&lt;1) es matemáticamente imposible de obtener, si un paciente refiere la menor sintomatología tendría una puntuación de 10 o un promedio de 1</w:t>
      </w:r>
      <w:r w:rsidR="0070230A">
        <w:rPr>
          <w:rFonts w:ascii="Times New Roman" w:hAnsi="Times New Roman" w:cs="Times New Roman"/>
          <w:color w:val="auto"/>
          <w:sz w:val="24"/>
          <w:szCs w:val="24"/>
          <w:highlight w:val="white"/>
        </w:rPr>
        <w:t xml:space="preserve"> </w:t>
      </w:r>
      <w:r w:rsidRPr="0070230A">
        <w:rPr>
          <w:rFonts w:ascii="Times New Roman" w:hAnsi="Times New Roman" w:cs="Times New Roman"/>
          <w:color w:val="auto"/>
          <w:sz w:val="24"/>
          <w:szCs w:val="24"/>
          <w:highlight w:val="white"/>
        </w:rPr>
        <w:t>según esta escala</w:t>
      </w:r>
      <w:r w:rsidR="0070230A">
        <w:rPr>
          <w:rFonts w:ascii="Times New Roman" w:hAnsi="Times New Roman" w:cs="Times New Roman"/>
          <w:color w:val="auto"/>
          <w:sz w:val="24"/>
          <w:szCs w:val="24"/>
          <w:highlight w:val="white"/>
        </w:rPr>
        <w:t xml:space="preserve"> (10/10=1)</w:t>
      </w:r>
      <w:r w:rsidRPr="0070230A">
        <w:rPr>
          <w:rFonts w:ascii="Times New Roman" w:hAnsi="Times New Roman" w:cs="Times New Roman"/>
          <w:color w:val="auto"/>
          <w:sz w:val="24"/>
          <w:szCs w:val="24"/>
          <w:highlight w:val="white"/>
        </w:rPr>
        <w:t>. Además no indica cual es el punto de corte para dividir cada una de las categorías</w:t>
      </w:r>
    </w:p>
    <w:p w:rsidR="00305DD8" w:rsidRPr="0070230A" w:rsidRDefault="00305DD8" w:rsidP="0032341D">
      <w:pPr>
        <w:spacing w:line="240" w:lineRule="auto"/>
        <w:jc w:val="both"/>
        <w:rPr>
          <w:rFonts w:ascii="Times New Roman" w:hAnsi="Times New Roman" w:cs="Times New Roman"/>
          <w:color w:val="auto"/>
          <w:sz w:val="24"/>
          <w:szCs w:val="24"/>
        </w:rPr>
      </w:pP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highlight w:val="white"/>
        </w:rPr>
        <w:lastRenderedPageBreak/>
        <w:t xml:space="preserve">Para ejemplificar mejor desde el punto de vista gráfico, </w:t>
      </w:r>
      <w:r w:rsidR="00284FC8">
        <w:rPr>
          <w:rFonts w:ascii="Times New Roman" w:hAnsi="Times New Roman" w:cs="Times New Roman"/>
          <w:color w:val="auto"/>
          <w:sz w:val="24"/>
          <w:szCs w:val="24"/>
          <w:highlight w:val="white"/>
        </w:rPr>
        <w:t>se creó</w:t>
      </w:r>
      <w:r w:rsidRPr="0070230A">
        <w:rPr>
          <w:rFonts w:ascii="Times New Roman" w:hAnsi="Times New Roman" w:cs="Times New Roman"/>
          <w:color w:val="auto"/>
          <w:sz w:val="24"/>
          <w:szCs w:val="24"/>
          <w:highlight w:val="white"/>
        </w:rPr>
        <w:t xml:space="preserve"> una base de datos con las características indicadas </w:t>
      </w:r>
      <w:r w:rsidR="0070230A">
        <w:rPr>
          <w:rFonts w:ascii="Times New Roman" w:hAnsi="Times New Roman" w:cs="Times New Roman"/>
          <w:color w:val="auto"/>
          <w:sz w:val="24"/>
          <w:szCs w:val="24"/>
          <w:highlight w:val="white"/>
        </w:rPr>
        <w:t>en el artículo original</w:t>
      </w:r>
      <w:r w:rsidRPr="0070230A">
        <w:rPr>
          <w:rFonts w:ascii="Times New Roman" w:hAnsi="Times New Roman" w:cs="Times New Roman"/>
          <w:color w:val="auto"/>
          <w:sz w:val="24"/>
          <w:szCs w:val="24"/>
          <w:highlight w:val="white"/>
        </w:rPr>
        <w:t xml:space="preserve"> respetando las proporciones y número de pacientes, eliminando la categoría &lt;1 por las razones previamente indicadas. El proceso completo</w:t>
      </w:r>
      <w:r w:rsidR="0070230A">
        <w:rPr>
          <w:rFonts w:ascii="Times New Roman" w:hAnsi="Times New Roman" w:cs="Times New Roman"/>
          <w:color w:val="auto"/>
          <w:sz w:val="24"/>
          <w:szCs w:val="24"/>
          <w:highlight w:val="white"/>
        </w:rPr>
        <w:t xml:space="preserve"> se realizó con el programa R versión 3.1.2 usando el paquete ggplot2 para la elaboración de los gráficos, el script del análisis</w:t>
      </w:r>
      <w:r w:rsidRPr="0070230A">
        <w:rPr>
          <w:rFonts w:ascii="Times New Roman" w:hAnsi="Times New Roman" w:cs="Times New Roman"/>
          <w:color w:val="auto"/>
          <w:sz w:val="24"/>
          <w:szCs w:val="24"/>
          <w:highlight w:val="white"/>
        </w:rPr>
        <w:t xml:space="preserve"> se puede revisar </w:t>
      </w:r>
      <w:r w:rsidR="0070230A">
        <w:rPr>
          <w:rFonts w:ascii="Times New Roman" w:hAnsi="Times New Roman" w:cs="Times New Roman"/>
          <w:color w:val="auto"/>
          <w:sz w:val="24"/>
          <w:szCs w:val="24"/>
          <w:highlight w:val="white"/>
        </w:rPr>
        <w:t xml:space="preserve">completo </w:t>
      </w:r>
      <w:r w:rsidRPr="0070230A">
        <w:rPr>
          <w:rFonts w:ascii="Times New Roman" w:hAnsi="Times New Roman" w:cs="Times New Roman"/>
          <w:color w:val="auto"/>
          <w:sz w:val="24"/>
          <w:szCs w:val="24"/>
          <w:highlight w:val="white"/>
        </w:rPr>
        <w:t xml:space="preserve">en </w:t>
      </w:r>
      <w:hyperlink r:id="rId6" w:history="1">
        <w:r w:rsidR="00CC1C0A" w:rsidRPr="0014051A">
          <w:rPr>
            <w:rStyle w:val="Hyperlink"/>
            <w:rFonts w:ascii="Times New Roman" w:hAnsi="Times New Roman" w:cs="Times New Roman"/>
            <w:sz w:val="24"/>
            <w:szCs w:val="24"/>
          </w:rPr>
          <w:t>https://github.com/cgarciduenas/Sulodexina</w:t>
        </w:r>
      </w:hyperlink>
      <w:r w:rsidR="00CC1C0A">
        <w:rPr>
          <w:rFonts w:ascii="Times New Roman" w:hAnsi="Times New Roman" w:cs="Times New Roman"/>
          <w:color w:val="auto"/>
          <w:sz w:val="24"/>
          <w:szCs w:val="24"/>
        </w:rPr>
        <w:t xml:space="preserve">. </w:t>
      </w:r>
    </w:p>
    <w:p w:rsidR="00305DD8" w:rsidRDefault="00284FC8" w:rsidP="0032341D">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highlight w:val="white"/>
        </w:rPr>
        <w:t>El Gráfico1</w:t>
      </w:r>
      <w:r w:rsidR="00214A7C" w:rsidRPr="0070230A">
        <w:rPr>
          <w:rFonts w:ascii="Times New Roman" w:hAnsi="Times New Roman" w:cs="Times New Roman"/>
          <w:color w:val="auto"/>
          <w:sz w:val="24"/>
          <w:szCs w:val="24"/>
          <w:highlight w:val="white"/>
        </w:rPr>
        <w:t xml:space="preserve"> muestra la distribución por</w:t>
      </w:r>
      <w:r>
        <w:rPr>
          <w:rFonts w:ascii="Times New Roman" w:hAnsi="Times New Roman" w:cs="Times New Roman"/>
          <w:color w:val="auto"/>
          <w:sz w:val="24"/>
          <w:szCs w:val="24"/>
          <w:highlight w:val="white"/>
        </w:rPr>
        <w:t xml:space="preserve"> de cada puntaje por visita</w:t>
      </w:r>
      <w:r w:rsidR="00214A7C" w:rsidRPr="0070230A">
        <w:rPr>
          <w:rFonts w:ascii="Times New Roman" w:hAnsi="Times New Roman" w:cs="Times New Roman"/>
          <w:color w:val="auto"/>
          <w:sz w:val="24"/>
          <w:szCs w:val="24"/>
          <w:highlight w:val="white"/>
        </w:rPr>
        <w:t>, pero el eje Y se reporte en frecuencia y no en porcentaje. Es evidente que en la visita 3 y 4 el número de pacientes disponibles es tan bajo que es difícil distinguir la diferencia entre los puntajes.</w:t>
      </w:r>
      <w:r>
        <w:rPr>
          <w:rFonts w:ascii="Times New Roman" w:hAnsi="Times New Roman" w:cs="Times New Roman"/>
          <w:color w:val="auto"/>
          <w:sz w:val="24"/>
          <w:szCs w:val="24"/>
        </w:rPr>
        <w:t xml:space="preserve"> Este gráfico intenta mostrar los cambios de los puntajes reportados por los pacientes, sin embargo lo que muestra solo los cambios </w:t>
      </w:r>
      <w:r w:rsidR="005E7631">
        <w:rPr>
          <w:rFonts w:ascii="Times New Roman" w:hAnsi="Times New Roman" w:cs="Times New Roman"/>
          <w:color w:val="auto"/>
          <w:sz w:val="24"/>
          <w:szCs w:val="24"/>
        </w:rPr>
        <w:t>en las proporciones de los puntajes.</w:t>
      </w:r>
    </w:p>
    <w:p w:rsidR="00284FC8" w:rsidRDefault="00284FC8" w:rsidP="00284FC8">
      <w:pPr>
        <w:keepNext/>
        <w:spacing w:line="240" w:lineRule="auto"/>
        <w:jc w:val="both"/>
      </w:pPr>
      <w:r>
        <w:rPr>
          <w:rFonts w:ascii="Times New Roman" w:hAnsi="Times New Roman" w:cs="Times New Roman"/>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5pt;height:292.5pt">
            <v:imagedata r:id="rId7" o:title="grafico1"/>
          </v:shape>
        </w:pict>
      </w:r>
    </w:p>
    <w:p w:rsidR="00284FC8" w:rsidRPr="0070230A" w:rsidRDefault="00284FC8" w:rsidP="00284FC8">
      <w:pPr>
        <w:pStyle w:val="Caption"/>
        <w:jc w:val="both"/>
        <w:rPr>
          <w:rFonts w:ascii="Times New Roman" w:hAnsi="Times New Roman" w:cs="Times New Roman"/>
          <w:color w:val="auto"/>
          <w:sz w:val="24"/>
          <w:szCs w:val="24"/>
        </w:rPr>
      </w:pPr>
      <w:r>
        <w:t xml:space="preserve">Gráfico </w:t>
      </w:r>
      <w:r>
        <w:fldChar w:fldCharType="begin"/>
      </w:r>
      <w:r>
        <w:instrText xml:space="preserve"> SEQ Gráfico \* ARABIC </w:instrText>
      </w:r>
      <w:r>
        <w:fldChar w:fldCharType="separate"/>
      </w:r>
      <w:r w:rsidR="005E7631">
        <w:rPr>
          <w:noProof/>
        </w:rPr>
        <w:t>1</w:t>
      </w:r>
      <w:r>
        <w:fldChar w:fldCharType="end"/>
      </w:r>
      <w:r>
        <w:t>. Histograma con la distribución indicada en el artículo original que muestra los cambios en las proporciones de los puntajes promedio de cada visita.</w:t>
      </w:r>
    </w:p>
    <w:p w:rsidR="00305DD8" w:rsidRPr="0070230A" w:rsidRDefault="00305DD8" w:rsidP="0032341D">
      <w:pPr>
        <w:spacing w:line="240" w:lineRule="auto"/>
        <w:jc w:val="both"/>
        <w:rPr>
          <w:rFonts w:ascii="Times New Roman" w:hAnsi="Times New Roman" w:cs="Times New Roman"/>
          <w:color w:val="auto"/>
          <w:sz w:val="24"/>
          <w:szCs w:val="24"/>
        </w:rPr>
      </w:pPr>
    </w:p>
    <w:p w:rsidR="00305DD8" w:rsidRDefault="00284FC8" w:rsidP="0032341D">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L</w:t>
      </w:r>
      <w:r w:rsidR="00214A7C" w:rsidRPr="0070230A">
        <w:rPr>
          <w:rFonts w:ascii="Times New Roman" w:hAnsi="Times New Roman" w:cs="Times New Roman"/>
          <w:color w:val="auto"/>
          <w:sz w:val="24"/>
          <w:szCs w:val="24"/>
        </w:rPr>
        <w:t>os datos son cuantitativos y del tipo de mediciones repetidas por lo que un gráfico tipo caja-bigote (</w:t>
      </w:r>
      <w:proofErr w:type="spellStart"/>
      <w:r w:rsidR="00214A7C" w:rsidRPr="0070230A">
        <w:rPr>
          <w:rFonts w:ascii="Times New Roman" w:hAnsi="Times New Roman" w:cs="Times New Roman"/>
          <w:color w:val="auto"/>
          <w:sz w:val="24"/>
          <w:szCs w:val="24"/>
        </w:rPr>
        <w:t>boxplot</w:t>
      </w:r>
      <w:proofErr w:type="spellEnd"/>
      <w:r w:rsidR="00214A7C" w:rsidRPr="0070230A">
        <w:rPr>
          <w:rFonts w:ascii="Times New Roman" w:hAnsi="Times New Roman" w:cs="Times New Roman"/>
          <w:color w:val="auto"/>
          <w:sz w:val="24"/>
          <w:szCs w:val="24"/>
        </w:rPr>
        <w:t>) podría brindar mejor información</w:t>
      </w:r>
    </w:p>
    <w:p w:rsidR="00284FC8" w:rsidRPr="0070230A" w:rsidRDefault="00284FC8" w:rsidP="0032341D">
      <w:pPr>
        <w:spacing w:line="240" w:lineRule="auto"/>
        <w:jc w:val="both"/>
        <w:rPr>
          <w:rFonts w:ascii="Times New Roman" w:hAnsi="Times New Roman" w:cs="Times New Roman"/>
          <w:color w:val="auto"/>
          <w:sz w:val="24"/>
          <w:szCs w:val="24"/>
        </w:rPr>
      </w:pPr>
    </w:p>
    <w:p w:rsidR="005E7631" w:rsidRDefault="00284FC8" w:rsidP="005E7631">
      <w:pPr>
        <w:keepNext/>
        <w:spacing w:line="240" w:lineRule="auto"/>
        <w:jc w:val="both"/>
      </w:pPr>
      <w:r>
        <w:rPr>
          <w:rFonts w:ascii="Times New Roman" w:hAnsi="Times New Roman" w:cs="Times New Roman"/>
          <w:noProof/>
          <w:color w:val="auto"/>
          <w:sz w:val="24"/>
          <w:szCs w:val="24"/>
        </w:rPr>
        <w:lastRenderedPageBreak/>
        <w:pict>
          <v:shape id="_x0000_i1025" type="#_x0000_t75" style="width:451.5pt;height:277.5pt">
            <v:imagedata r:id="rId8" o:title="visitas"/>
          </v:shape>
        </w:pict>
      </w:r>
    </w:p>
    <w:p w:rsidR="00305DD8" w:rsidRPr="0070230A" w:rsidRDefault="005E7631" w:rsidP="005E7631">
      <w:pPr>
        <w:pStyle w:val="Caption"/>
        <w:jc w:val="both"/>
        <w:rPr>
          <w:rFonts w:ascii="Times New Roman" w:hAnsi="Times New Roman" w:cs="Times New Roman"/>
          <w:color w:val="auto"/>
          <w:sz w:val="24"/>
          <w:szCs w:val="24"/>
        </w:rPr>
      </w:pPr>
      <w:r>
        <w:t xml:space="preserve">Gráfico </w:t>
      </w:r>
      <w:r>
        <w:fldChar w:fldCharType="begin"/>
      </w:r>
      <w:r>
        <w:instrText xml:space="preserve"> SEQ Gráfico \* ARABIC </w:instrText>
      </w:r>
      <w:r>
        <w:fldChar w:fldCharType="separate"/>
      </w:r>
      <w:r>
        <w:rPr>
          <w:noProof/>
        </w:rPr>
        <w:t>2</w:t>
      </w:r>
      <w:r>
        <w:fldChar w:fldCharType="end"/>
      </w:r>
      <w:r>
        <w:t>. Distribución de los puntajes de cada visita. Se puede observar una disminución de la mediana de puntos entre la visita 1 y 4.</w:t>
      </w: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En esta gráfica es más fácil observar el cambio en la puntuación y cómo desciende o mejora conforme avanzan las visitas. El análisis estadístico para este tipo de datos podría ser un ANOVA de medidas repetidas que en teoría determinará si existe o no diferencia entre los puntajes de las visitas, que claramente nos indica que existe una diferencia entre por lo menos un par de visitas</w:t>
      </w:r>
      <w:r w:rsidR="005E7631">
        <w:rPr>
          <w:rFonts w:ascii="Times New Roman" w:hAnsi="Times New Roman" w:cs="Times New Roman"/>
          <w:color w:val="auto"/>
          <w:sz w:val="24"/>
          <w:szCs w:val="24"/>
        </w:rPr>
        <w:t xml:space="preserve"> (Tabla 2).</w:t>
      </w:r>
      <w:r w:rsidRPr="0070230A">
        <w:rPr>
          <w:rFonts w:ascii="Times New Roman" w:hAnsi="Times New Roman" w:cs="Times New Roman"/>
          <w:color w:val="auto"/>
          <w:sz w:val="24"/>
          <w:szCs w:val="24"/>
        </w:rPr>
        <w:t xml:space="preserve">            </w:t>
      </w:r>
    </w:p>
    <w:p w:rsidR="00305DD8" w:rsidRPr="0070230A" w:rsidRDefault="00305DD8" w:rsidP="0032341D">
      <w:pPr>
        <w:spacing w:line="240" w:lineRule="auto"/>
        <w:jc w:val="both"/>
        <w:rPr>
          <w:rFonts w:ascii="Times New Roman" w:hAnsi="Times New Roman" w:cs="Times New Roman"/>
          <w:color w:val="auto"/>
          <w:sz w:val="24"/>
          <w:szCs w:val="24"/>
        </w:rPr>
      </w:pPr>
    </w:p>
    <w:p w:rsidR="00305DD8" w:rsidRPr="0070230A" w:rsidRDefault="00305DD8" w:rsidP="0032341D">
      <w:pPr>
        <w:spacing w:line="240" w:lineRule="auto"/>
        <w:jc w:val="both"/>
        <w:rPr>
          <w:rFonts w:ascii="Times New Roman" w:hAnsi="Times New Roman" w:cs="Times New Roman"/>
          <w:color w:val="auto"/>
          <w:sz w:val="24"/>
          <w:szCs w:val="24"/>
        </w:rPr>
      </w:pPr>
    </w:p>
    <w:p w:rsidR="005E7631" w:rsidRDefault="005E7631" w:rsidP="005E7631">
      <w:pPr>
        <w:pStyle w:val="Caption"/>
        <w:keepNext/>
      </w:pPr>
      <w:r>
        <w:t xml:space="preserve">Tabla </w:t>
      </w:r>
      <w:r>
        <w:fldChar w:fldCharType="begin"/>
      </w:r>
      <w:r>
        <w:instrText xml:space="preserve"> SEQ Tabla \* ARABIC </w:instrText>
      </w:r>
      <w:r>
        <w:fldChar w:fldCharType="separate"/>
      </w:r>
      <w:r>
        <w:rPr>
          <w:noProof/>
        </w:rPr>
        <w:t>2</w:t>
      </w:r>
      <w:r>
        <w:fldChar w:fldCharType="end"/>
      </w:r>
      <w:r>
        <w:t>. ANOVA del puntaje entre grupos</w:t>
      </w: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03"/>
        <w:gridCol w:w="640"/>
        <w:gridCol w:w="860"/>
        <w:gridCol w:w="983"/>
        <w:gridCol w:w="530"/>
        <w:gridCol w:w="710"/>
      </w:tblGrid>
      <w:tr w:rsidR="0070230A" w:rsidRPr="0070230A" w:rsidTr="005E7631">
        <w:trPr>
          <w:trHeight w:val="253"/>
        </w:trPr>
        <w:tc>
          <w:tcPr>
            <w:tcW w:w="0" w:type="auto"/>
            <w:tcMar>
              <w:top w:w="100" w:type="dxa"/>
              <w:left w:w="100" w:type="dxa"/>
              <w:bottom w:w="100" w:type="dxa"/>
              <w:right w:w="100" w:type="dxa"/>
            </w:tcMar>
          </w:tcPr>
          <w:p w:rsidR="00305DD8" w:rsidRPr="005E7631" w:rsidRDefault="00305DD8" w:rsidP="0032341D">
            <w:pPr>
              <w:spacing w:line="240" w:lineRule="auto"/>
              <w:rPr>
                <w:rFonts w:ascii="Times New Roman" w:hAnsi="Times New Roman" w:cs="Times New Roman"/>
                <w:b/>
                <w:color w:val="auto"/>
              </w:rPr>
            </w:pPr>
          </w:p>
        </w:tc>
        <w:tc>
          <w:tcPr>
            <w:tcW w:w="0" w:type="auto"/>
            <w:tcMar>
              <w:top w:w="100" w:type="dxa"/>
              <w:left w:w="100" w:type="dxa"/>
              <w:bottom w:w="100" w:type="dxa"/>
              <w:right w:w="100" w:type="dxa"/>
            </w:tcMar>
          </w:tcPr>
          <w:p w:rsidR="00305DD8" w:rsidRPr="005E7631" w:rsidRDefault="00214A7C" w:rsidP="0032341D">
            <w:pPr>
              <w:spacing w:line="240" w:lineRule="auto"/>
              <w:rPr>
                <w:rFonts w:ascii="Times New Roman" w:hAnsi="Times New Roman" w:cs="Times New Roman"/>
                <w:b/>
                <w:color w:val="auto"/>
              </w:rPr>
            </w:pPr>
            <w:proofErr w:type="spellStart"/>
            <w:r w:rsidRPr="005E7631">
              <w:rPr>
                <w:rFonts w:ascii="Times New Roman" w:hAnsi="Times New Roman" w:cs="Times New Roman"/>
                <w:b/>
                <w:color w:val="auto"/>
              </w:rPr>
              <w:t>Df</w:t>
            </w:r>
            <w:proofErr w:type="spellEnd"/>
          </w:p>
        </w:tc>
        <w:tc>
          <w:tcPr>
            <w:tcW w:w="0" w:type="auto"/>
            <w:tcMar>
              <w:top w:w="100" w:type="dxa"/>
              <w:left w:w="100" w:type="dxa"/>
              <w:bottom w:w="100" w:type="dxa"/>
              <w:right w:w="100" w:type="dxa"/>
            </w:tcMar>
          </w:tcPr>
          <w:p w:rsidR="00305DD8" w:rsidRPr="005E7631" w:rsidRDefault="00214A7C" w:rsidP="0032341D">
            <w:pPr>
              <w:spacing w:line="240" w:lineRule="auto"/>
              <w:rPr>
                <w:rFonts w:ascii="Times New Roman" w:hAnsi="Times New Roman" w:cs="Times New Roman"/>
                <w:b/>
                <w:color w:val="auto"/>
              </w:rPr>
            </w:pPr>
            <w:r w:rsidRPr="005E7631">
              <w:rPr>
                <w:rFonts w:ascii="Times New Roman" w:hAnsi="Times New Roman" w:cs="Times New Roman"/>
                <w:b/>
                <w:color w:val="auto"/>
              </w:rPr>
              <w:t>Sum</w:t>
            </w:r>
          </w:p>
        </w:tc>
        <w:tc>
          <w:tcPr>
            <w:tcW w:w="0" w:type="auto"/>
            <w:tcMar>
              <w:top w:w="100" w:type="dxa"/>
              <w:left w:w="100" w:type="dxa"/>
              <w:bottom w:w="100" w:type="dxa"/>
              <w:right w:w="100" w:type="dxa"/>
            </w:tcMar>
          </w:tcPr>
          <w:p w:rsidR="00305DD8" w:rsidRPr="005E7631" w:rsidRDefault="00214A7C" w:rsidP="0032341D">
            <w:pPr>
              <w:spacing w:line="240" w:lineRule="auto"/>
              <w:rPr>
                <w:rFonts w:ascii="Times New Roman" w:hAnsi="Times New Roman" w:cs="Times New Roman"/>
                <w:b/>
                <w:color w:val="auto"/>
              </w:rPr>
            </w:pPr>
            <w:proofErr w:type="spellStart"/>
            <w:r w:rsidRPr="005E7631">
              <w:rPr>
                <w:rFonts w:ascii="Times New Roman" w:hAnsi="Times New Roman" w:cs="Times New Roman"/>
                <w:b/>
                <w:color w:val="auto"/>
              </w:rPr>
              <w:t>MeanSq</w:t>
            </w:r>
            <w:proofErr w:type="spellEnd"/>
          </w:p>
        </w:tc>
        <w:tc>
          <w:tcPr>
            <w:tcW w:w="0" w:type="auto"/>
            <w:tcMar>
              <w:top w:w="100" w:type="dxa"/>
              <w:left w:w="100" w:type="dxa"/>
              <w:bottom w:w="100" w:type="dxa"/>
              <w:right w:w="100" w:type="dxa"/>
            </w:tcMar>
          </w:tcPr>
          <w:p w:rsidR="00305DD8" w:rsidRPr="005E7631" w:rsidRDefault="00214A7C" w:rsidP="0032341D">
            <w:pPr>
              <w:spacing w:line="240" w:lineRule="auto"/>
              <w:rPr>
                <w:rFonts w:ascii="Times New Roman" w:hAnsi="Times New Roman" w:cs="Times New Roman"/>
                <w:b/>
                <w:color w:val="auto"/>
              </w:rPr>
            </w:pPr>
            <w:r w:rsidRPr="005E7631">
              <w:rPr>
                <w:rFonts w:ascii="Times New Roman" w:hAnsi="Times New Roman" w:cs="Times New Roman"/>
                <w:b/>
                <w:color w:val="auto"/>
              </w:rPr>
              <w:t>F</w:t>
            </w:r>
          </w:p>
        </w:tc>
        <w:tc>
          <w:tcPr>
            <w:tcW w:w="0" w:type="auto"/>
            <w:tcMar>
              <w:top w:w="100" w:type="dxa"/>
              <w:left w:w="100" w:type="dxa"/>
              <w:bottom w:w="100" w:type="dxa"/>
              <w:right w:w="100" w:type="dxa"/>
            </w:tcMar>
          </w:tcPr>
          <w:p w:rsidR="00305DD8" w:rsidRPr="005E7631" w:rsidRDefault="00214A7C" w:rsidP="0032341D">
            <w:pPr>
              <w:spacing w:line="240" w:lineRule="auto"/>
              <w:rPr>
                <w:rFonts w:ascii="Times New Roman" w:hAnsi="Times New Roman" w:cs="Times New Roman"/>
                <w:b/>
                <w:color w:val="auto"/>
              </w:rPr>
            </w:pPr>
            <w:r w:rsidRPr="005E7631">
              <w:rPr>
                <w:rFonts w:ascii="Times New Roman" w:hAnsi="Times New Roman" w:cs="Times New Roman"/>
                <w:b/>
                <w:color w:val="auto"/>
              </w:rPr>
              <w:t>P</w:t>
            </w:r>
          </w:p>
        </w:tc>
      </w:tr>
      <w:tr w:rsidR="0070230A" w:rsidRPr="0070230A" w:rsidTr="005E7631">
        <w:trPr>
          <w:trHeight w:val="253"/>
        </w:trPr>
        <w:tc>
          <w:tcPr>
            <w:tcW w:w="0" w:type="auto"/>
            <w:tcMar>
              <w:top w:w="100" w:type="dxa"/>
              <w:left w:w="100" w:type="dxa"/>
              <w:bottom w:w="100" w:type="dxa"/>
              <w:right w:w="100" w:type="dxa"/>
            </w:tcMar>
          </w:tcPr>
          <w:p w:rsidR="00305DD8" w:rsidRPr="005E7631" w:rsidRDefault="005E7631" w:rsidP="0032341D">
            <w:pPr>
              <w:spacing w:line="240" w:lineRule="auto"/>
              <w:rPr>
                <w:rFonts w:ascii="Times New Roman" w:hAnsi="Times New Roman" w:cs="Times New Roman"/>
                <w:b/>
                <w:color w:val="auto"/>
              </w:rPr>
            </w:pPr>
            <w:r w:rsidRPr="005E7631">
              <w:rPr>
                <w:rFonts w:ascii="Times New Roman" w:hAnsi="Times New Roman" w:cs="Times New Roman"/>
                <w:b/>
                <w:color w:val="auto"/>
              </w:rPr>
              <w:t>Grupo</w:t>
            </w:r>
          </w:p>
        </w:tc>
        <w:tc>
          <w:tcPr>
            <w:tcW w:w="0" w:type="auto"/>
            <w:tcMar>
              <w:top w:w="100" w:type="dxa"/>
              <w:left w:w="100" w:type="dxa"/>
              <w:bottom w:w="100" w:type="dxa"/>
              <w:right w:w="100" w:type="dxa"/>
            </w:tcMar>
          </w:tcPr>
          <w:p w:rsidR="00305DD8" w:rsidRPr="005E7631" w:rsidRDefault="00214A7C" w:rsidP="0032341D">
            <w:pPr>
              <w:spacing w:line="240" w:lineRule="auto"/>
              <w:rPr>
                <w:rFonts w:ascii="Times New Roman" w:hAnsi="Times New Roman" w:cs="Times New Roman"/>
                <w:color w:val="auto"/>
              </w:rPr>
            </w:pPr>
            <w:r w:rsidRPr="005E7631">
              <w:rPr>
                <w:rFonts w:ascii="Times New Roman" w:hAnsi="Times New Roman" w:cs="Times New Roman"/>
                <w:color w:val="auto"/>
              </w:rPr>
              <w:t>3</w:t>
            </w:r>
          </w:p>
        </w:tc>
        <w:tc>
          <w:tcPr>
            <w:tcW w:w="0" w:type="auto"/>
            <w:tcMar>
              <w:top w:w="100" w:type="dxa"/>
              <w:left w:w="100" w:type="dxa"/>
              <w:bottom w:w="100" w:type="dxa"/>
              <w:right w:w="100" w:type="dxa"/>
            </w:tcMar>
          </w:tcPr>
          <w:p w:rsidR="00305DD8" w:rsidRPr="005E7631" w:rsidRDefault="005E7631" w:rsidP="0032341D">
            <w:pPr>
              <w:spacing w:line="240" w:lineRule="auto"/>
              <w:rPr>
                <w:rFonts w:ascii="Times New Roman" w:hAnsi="Times New Roman" w:cs="Times New Roman"/>
                <w:color w:val="auto"/>
              </w:rPr>
            </w:pPr>
            <w:r w:rsidRPr="005E7631">
              <w:rPr>
                <w:rFonts w:ascii="Times New Roman" w:hAnsi="Times New Roman" w:cs="Times New Roman"/>
                <w:color w:val="auto"/>
              </w:rPr>
              <w:t>48301</w:t>
            </w:r>
          </w:p>
        </w:tc>
        <w:tc>
          <w:tcPr>
            <w:tcW w:w="0" w:type="auto"/>
            <w:tcMar>
              <w:top w:w="100" w:type="dxa"/>
              <w:left w:w="100" w:type="dxa"/>
              <w:bottom w:w="100" w:type="dxa"/>
              <w:right w:w="100" w:type="dxa"/>
            </w:tcMar>
          </w:tcPr>
          <w:p w:rsidR="00305DD8" w:rsidRPr="005E7631" w:rsidRDefault="005E7631" w:rsidP="0032341D">
            <w:pPr>
              <w:spacing w:line="240" w:lineRule="auto"/>
              <w:rPr>
                <w:rFonts w:ascii="Times New Roman" w:hAnsi="Times New Roman" w:cs="Times New Roman"/>
                <w:color w:val="auto"/>
              </w:rPr>
            </w:pPr>
            <w:r w:rsidRPr="005E7631">
              <w:rPr>
                <w:rFonts w:ascii="Times New Roman" w:hAnsi="Times New Roman" w:cs="Times New Roman"/>
                <w:color w:val="auto"/>
              </w:rPr>
              <w:t>16100</w:t>
            </w:r>
          </w:p>
        </w:tc>
        <w:tc>
          <w:tcPr>
            <w:tcW w:w="0" w:type="auto"/>
            <w:tcMar>
              <w:top w:w="100" w:type="dxa"/>
              <w:left w:w="100" w:type="dxa"/>
              <w:bottom w:w="100" w:type="dxa"/>
              <w:right w:w="100" w:type="dxa"/>
            </w:tcMar>
          </w:tcPr>
          <w:p w:rsidR="00305DD8" w:rsidRPr="005E7631" w:rsidRDefault="005E7631" w:rsidP="0032341D">
            <w:pPr>
              <w:spacing w:line="240" w:lineRule="auto"/>
              <w:rPr>
                <w:rFonts w:ascii="Times New Roman" w:hAnsi="Times New Roman" w:cs="Times New Roman"/>
                <w:color w:val="auto"/>
              </w:rPr>
            </w:pPr>
            <w:r w:rsidRPr="005E7631">
              <w:rPr>
                <w:rFonts w:ascii="Times New Roman" w:hAnsi="Times New Roman" w:cs="Times New Roman"/>
                <w:color w:val="auto"/>
              </w:rPr>
              <w:t>182</w:t>
            </w:r>
          </w:p>
        </w:tc>
        <w:tc>
          <w:tcPr>
            <w:tcW w:w="0" w:type="auto"/>
            <w:tcMar>
              <w:top w:w="100" w:type="dxa"/>
              <w:left w:w="100" w:type="dxa"/>
              <w:bottom w:w="100" w:type="dxa"/>
              <w:right w:w="100" w:type="dxa"/>
            </w:tcMar>
          </w:tcPr>
          <w:p w:rsidR="00305DD8" w:rsidRPr="005E7631" w:rsidRDefault="00214A7C" w:rsidP="0032341D">
            <w:pPr>
              <w:spacing w:line="240" w:lineRule="auto"/>
              <w:rPr>
                <w:rFonts w:ascii="Times New Roman" w:hAnsi="Times New Roman" w:cs="Times New Roman"/>
                <w:color w:val="auto"/>
              </w:rPr>
            </w:pPr>
            <w:r w:rsidRPr="005E7631">
              <w:rPr>
                <w:rFonts w:ascii="Times New Roman" w:hAnsi="Times New Roman" w:cs="Times New Roman"/>
                <w:color w:val="auto"/>
              </w:rPr>
              <w:t>&lt;.001</w:t>
            </w:r>
          </w:p>
        </w:tc>
      </w:tr>
      <w:tr w:rsidR="0070230A" w:rsidRPr="0070230A" w:rsidTr="005E7631">
        <w:trPr>
          <w:trHeight w:val="253"/>
        </w:trPr>
        <w:tc>
          <w:tcPr>
            <w:tcW w:w="0" w:type="auto"/>
            <w:tcMar>
              <w:top w:w="100" w:type="dxa"/>
              <w:left w:w="100" w:type="dxa"/>
              <w:bottom w:w="100" w:type="dxa"/>
              <w:right w:w="100" w:type="dxa"/>
            </w:tcMar>
          </w:tcPr>
          <w:p w:rsidR="00305DD8" w:rsidRPr="005E7631" w:rsidRDefault="00214A7C" w:rsidP="0032341D">
            <w:pPr>
              <w:spacing w:line="240" w:lineRule="auto"/>
              <w:rPr>
                <w:rFonts w:ascii="Times New Roman" w:hAnsi="Times New Roman" w:cs="Times New Roman"/>
                <w:b/>
                <w:color w:val="auto"/>
              </w:rPr>
            </w:pPr>
            <w:r w:rsidRPr="005E7631">
              <w:rPr>
                <w:rFonts w:ascii="Times New Roman" w:hAnsi="Times New Roman" w:cs="Times New Roman"/>
                <w:b/>
                <w:color w:val="auto"/>
              </w:rPr>
              <w:t>Residuales</w:t>
            </w:r>
          </w:p>
        </w:tc>
        <w:tc>
          <w:tcPr>
            <w:tcW w:w="0" w:type="auto"/>
            <w:tcMar>
              <w:top w:w="100" w:type="dxa"/>
              <w:left w:w="100" w:type="dxa"/>
              <w:bottom w:w="100" w:type="dxa"/>
              <w:right w:w="100" w:type="dxa"/>
            </w:tcMar>
          </w:tcPr>
          <w:p w:rsidR="00305DD8" w:rsidRPr="005E7631" w:rsidRDefault="005E7631" w:rsidP="0032341D">
            <w:pPr>
              <w:spacing w:line="240" w:lineRule="auto"/>
              <w:rPr>
                <w:rFonts w:ascii="Times New Roman" w:hAnsi="Times New Roman" w:cs="Times New Roman"/>
                <w:color w:val="auto"/>
              </w:rPr>
            </w:pPr>
            <w:r w:rsidRPr="005E7631">
              <w:rPr>
                <w:rFonts w:ascii="Times New Roman" w:hAnsi="Times New Roman" w:cs="Times New Roman"/>
                <w:color w:val="auto"/>
              </w:rPr>
              <w:t>2126</w:t>
            </w:r>
          </w:p>
        </w:tc>
        <w:tc>
          <w:tcPr>
            <w:tcW w:w="0" w:type="auto"/>
            <w:tcMar>
              <w:top w:w="100" w:type="dxa"/>
              <w:left w:w="100" w:type="dxa"/>
              <w:bottom w:w="100" w:type="dxa"/>
              <w:right w:w="100" w:type="dxa"/>
            </w:tcMar>
          </w:tcPr>
          <w:p w:rsidR="00305DD8" w:rsidRPr="005E7631" w:rsidRDefault="005E7631" w:rsidP="0032341D">
            <w:pPr>
              <w:spacing w:line="240" w:lineRule="auto"/>
              <w:rPr>
                <w:rFonts w:ascii="Times New Roman" w:hAnsi="Times New Roman" w:cs="Times New Roman"/>
                <w:color w:val="auto"/>
              </w:rPr>
            </w:pPr>
            <w:r w:rsidRPr="005E7631">
              <w:rPr>
                <w:rFonts w:ascii="Times New Roman" w:hAnsi="Times New Roman" w:cs="Times New Roman"/>
                <w:color w:val="auto"/>
              </w:rPr>
              <w:t>188023</w:t>
            </w:r>
          </w:p>
        </w:tc>
        <w:tc>
          <w:tcPr>
            <w:tcW w:w="0" w:type="auto"/>
            <w:tcMar>
              <w:top w:w="100" w:type="dxa"/>
              <w:left w:w="100" w:type="dxa"/>
              <w:bottom w:w="100" w:type="dxa"/>
              <w:right w:w="100" w:type="dxa"/>
            </w:tcMar>
          </w:tcPr>
          <w:p w:rsidR="00305DD8" w:rsidRPr="005E7631" w:rsidRDefault="005E7631" w:rsidP="0032341D">
            <w:pPr>
              <w:spacing w:line="240" w:lineRule="auto"/>
              <w:rPr>
                <w:rFonts w:ascii="Times New Roman" w:hAnsi="Times New Roman" w:cs="Times New Roman"/>
                <w:color w:val="auto"/>
              </w:rPr>
            </w:pPr>
            <w:r w:rsidRPr="005E7631">
              <w:rPr>
                <w:rFonts w:ascii="Times New Roman" w:hAnsi="Times New Roman" w:cs="Times New Roman"/>
                <w:color w:val="auto"/>
              </w:rPr>
              <w:t>88</w:t>
            </w:r>
          </w:p>
        </w:tc>
        <w:tc>
          <w:tcPr>
            <w:tcW w:w="0" w:type="auto"/>
            <w:tcMar>
              <w:top w:w="100" w:type="dxa"/>
              <w:left w:w="100" w:type="dxa"/>
              <w:bottom w:w="100" w:type="dxa"/>
              <w:right w:w="100" w:type="dxa"/>
            </w:tcMar>
          </w:tcPr>
          <w:p w:rsidR="00305DD8" w:rsidRPr="005E7631" w:rsidRDefault="00305DD8" w:rsidP="0032341D">
            <w:pPr>
              <w:spacing w:line="240" w:lineRule="auto"/>
              <w:rPr>
                <w:rFonts w:ascii="Times New Roman" w:hAnsi="Times New Roman" w:cs="Times New Roman"/>
                <w:color w:val="auto"/>
              </w:rPr>
            </w:pPr>
          </w:p>
        </w:tc>
        <w:tc>
          <w:tcPr>
            <w:tcW w:w="0" w:type="auto"/>
            <w:tcMar>
              <w:top w:w="100" w:type="dxa"/>
              <w:left w:w="100" w:type="dxa"/>
              <w:bottom w:w="100" w:type="dxa"/>
              <w:right w:w="100" w:type="dxa"/>
            </w:tcMar>
          </w:tcPr>
          <w:p w:rsidR="00305DD8" w:rsidRPr="005E7631" w:rsidRDefault="00305DD8" w:rsidP="0032341D">
            <w:pPr>
              <w:spacing w:line="240" w:lineRule="auto"/>
              <w:rPr>
                <w:rFonts w:ascii="Times New Roman" w:hAnsi="Times New Roman" w:cs="Times New Roman"/>
                <w:color w:val="auto"/>
              </w:rPr>
            </w:pPr>
          </w:p>
        </w:tc>
      </w:tr>
    </w:tbl>
    <w:p w:rsidR="00305DD8" w:rsidRPr="0070230A" w:rsidRDefault="00305DD8" w:rsidP="0032341D">
      <w:pPr>
        <w:spacing w:line="240" w:lineRule="auto"/>
        <w:jc w:val="both"/>
        <w:rPr>
          <w:rFonts w:ascii="Times New Roman" w:hAnsi="Times New Roman" w:cs="Times New Roman"/>
          <w:color w:val="auto"/>
          <w:sz w:val="24"/>
          <w:szCs w:val="24"/>
        </w:rPr>
      </w:pP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Un análisis Pos</w:t>
      </w:r>
      <w:r w:rsidR="005E7631">
        <w:rPr>
          <w:rFonts w:ascii="Times New Roman" w:hAnsi="Times New Roman" w:cs="Times New Roman"/>
          <w:color w:val="auto"/>
          <w:sz w:val="24"/>
          <w:szCs w:val="24"/>
        </w:rPr>
        <w:t xml:space="preserve">t </w:t>
      </w:r>
      <w:r w:rsidRPr="0070230A">
        <w:rPr>
          <w:rFonts w:ascii="Times New Roman" w:hAnsi="Times New Roman" w:cs="Times New Roman"/>
          <w:color w:val="auto"/>
          <w:sz w:val="24"/>
          <w:szCs w:val="24"/>
        </w:rPr>
        <w:t xml:space="preserve">Hoc tipo </w:t>
      </w:r>
      <w:proofErr w:type="spellStart"/>
      <w:r w:rsidRPr="0070230A">
        <w:rPr>
          <w:rFonts w:ascii="Times New Roman" w:hAnsi="Times New Roman" w:cs="Times New Roman"/>
          <w:color w:val="auto"/>
          <w:sz w:val="24"/>
          <w:szCs w:val="24"/>
        </w:rPr>
        <w:t>Tukey</w:t>
      </w:r>
      <w:proofErr w:type="spellEnd"/>
      <w:r w:rsidRPr="0070230A">
        <w:rPr>
          <w:rFonts w:ascii="Times New Roman" w:hAnsi="Times New Roman" w:cs="Times New Roman"/>
          <w:color w:val="auto"/>
          <w:sz w:val="24"/>
          <w:szCs w:val="24"/>
        </w:rPr>
        <w:t xml:space="preserve"> </w:t>
      </w:r>
      <w:r w:rsidR="005E7631">
        <w:rPr>
          <w:rFonts w:ascii="Times New Roman" w:hAnsi="Times New Roman" w:cs="Times New Roman"/>
          <w:color w:val="auto"/>
          <w:sz w:val="24"/>
          <w:szCs w:val="24"/>
        </w:rPr>
        <w:t xml:space="preserve"> muestra una diferencia estadísticamente significativa entre todos los pares excepto entre la visita 3 y 4 (Tabla 3)</w:t>
      </w:r>
    </w:p>
    <w:p w:rsidR="00305DD8" w:rsidRPr="0070230A" w:rsidRDefault="00305DD8" w:rsidP="0032341D">
      <w:pPr>
        <w:spacing w:line="240" w:lineRule="auto"/>
        <w:jc w:val="both"/>
        <w:rPr>
          <w:rFonts w:ascii="Times New Roman" w:hAnsi="Times New Roman" w:cs="Times New Roman"/>
          <w:color w:val="auto"/>
          <w:sz w:val="24"/>
          <w:szCs w:val="24"/>
        </w:rPr>
      </w:pPr>
    </w:p>
    <w:p w:rsidR="005E7631" w:rsidRPr="005E7631" w:rsidRDefault="005E7631" w:rsidP="005E7631">
      <w:pPr>
        <w:pStyle w:val="Caption"/>
        <w:keepNext/>
      </w:pPr>
      <w:r>
        <w:t xml:space="preserve">Tabla </w:t>
      </w:r>
      <w:r>
        <w:fldChar w:fldCharType="begin"/>
      </w:r>
      <w:r>
        <w:instrText xml:space="preserve"> SEQ Tabla \* ARABIC </w:instrText>
      </w:r>
      <w:r>
        <w:fldChar w:fldCharType="separate"/>
      </w:r>
      <w:r>
        <w:rPr>
          <w:noProof/>
        </w:rPr>
        <w:t>3</w:t>
      </w:r>
      <w:r>
        <w:fldChar w:fldCharType="end"/>
      </w:r>
      <w:r>
        <w:t xml:space="preserve">. </w:t>
      </w:r>
      <w:r w:rsidRPr="005E7631">
        <w:t xml:space="preserve">Análisis Post Hoc tipo </w:t>
      </w:r>
      <w:proofErr w:type="spellStart"/>
      <w:r w:rsidRPr="005E7631">
        <w:t>Tykey</w:t>
      </w:r>
      <w:proofErr w:type="spellEnd"/>
      <w:r w:rsidRPr="005E7631">
        <w:t xml:space="preserve"> HSD, par</w:t>
      </w:r>
      <w:r>
        <w:t>a determinar si existe una diferencia estadísticamente significativa entre los puntajes de cada visita.</w:t>
      </w:r>
    </w:p>
    <w:tbl>
      <w:tblPr>
        <w:tblStyle w:val="a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520"/>
        <w:gridCol w:w="1267"/>
        <w:gridCol w:w="967"/>
        <w:gridCol w:w="1048"/>
        <w:gridCol w:w="740"/>
      </w:tblGrid>
      <w:tr w:rsidR="0070230A" w:rsidRPr="0070230A" w:rsidTr="005E76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b/>
                <w:color w:val="auto"/>
                <w:sz w:val="24"/>
                <w:szCs w:val="24"/>
              </w:rPr>
              <w:t>Comparación de pares</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b/>
                <w:color w:val="auto"/>
                <w:sz w:val="24"/>
                <w:szCs w:val="24"/>
              </w:rPr>
              <w:t>Diferencia</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proofErr w:type="spellStart"/>
            <w:r w:rsidRPr="0070230A">
              <w:rPr>
                <w:rFonts w:ascii="Times New Roman" w:eastAsia="Courier New" w:hAnsi="Times New Roman" w:cs="Times New Roman"/>
                <w:b/>
                <w:color w:val="auto"/>
                <w:sz w:val="24"/>
                <w:szCs w:val="24"/>
              </w:rPr>
              <w:t>Lim</w:t>
            </w:r>
            <w:proofErr w:type="spellEnd"/>
            <w:r w:rsidRPr="0070230A">
              <w:rPr>
                <w:rFonts w:ascii="Times New Roman" w:eastAsia="Courier New" w:hAnsi="Times New Roman" w:cs="Times New Roman"/>
                <w:b/>
                <w:color w:val="auto"/>
                <w:sz w:val="24"/>
                <w:szCs w:val="24"/>
              </w:rPr>
              <w:t xml:space="preserve"> </w:t>
            </w:r>
            <w:proofErr w:type="spellStart"/>
            <w:r w:rsidRPr="0070230A">
              <w:rPr>
                <w:rFonts w:ascii="Times New Roman" w:eastAsia="Courier New" w:hAnsi="Times New Roman" w:cs="Times New Roman"/>
                <w:b/>
                <w:color w:val="auto"/>
                <w:sz w:val="24"/>
                <w:szCs w:val="24"/>
              </w:rPr>
              <w:t>inf</w:t>
            </w:r>
            <w:proofErr w:type="spellEnd"/>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proofErr w:type="spellStart"/>
            <w:r w:rsidRPr="0070230A">
              <w:rPr>
                <w:rFonts w:ascii="Times New Roman" w:eastAsia="Courier New" w:hAnsi="Times New Roman" w:cs="Times New Roman"/>
                <w:b/>
                <w:color w:val="auto"/>
                <w:sz w:val="24"/>
                <w:szCs w:val="24"/>
              </w:rPr>
              <w:t>Lim</w:t>
            </w:r>
            <w:proofErr w:type="spellEnd"/>
            <w:r w:rsidRPr="0070230A">
              <w:rPr>
                <w:rFonts w:ascii="Times New Roman" w:eastAsia="Courier New" w:hAnsi="Times New Roman" w:cs="Times New Roman"/>
                <w:b/>
                <w:color w:val="auto"/>
                <w:sz w:val="24"/>
                <w:szCs w:val="24"/>
              </w:rPr>
              <w:t xml:space="preserve"> </w:t>
            </w:r>
            <w:proofErr w:type="spellStart"/>
            <w:r w:rsidRPr="0070230A">
              <w:rPr>
                <w:rFonts w:ascii="Times New Roman" w:eastAsia="Courier New" w:hAnsi="Times New Roman" w:cs="Times New Roman"/>
                <w:b/>
                <w:color w:val="auto"/>
                <w:sz w:val="24"/>
                <w:szCs w:val="24"/>
              </w:rPr>
              <w:t>sup</w:t>
            </w:r>
            <w:proofErr w:type="spellEnd"/>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b/>
                <w:color w:val="auto"/>
                <w:sz w:val="24"/>
                <w:szCs w:val="24"/>
              </w:rPr>
              <w:t xml:space="preserve">P </w:t>
            </w:r>
            <w:proofErr w:type="spellStart"/>
            <w:r w:rsidRPr="0070230A">
              <w:rPr>
                <w:rFonts w:ascii="Times New Roman" w:eastAsia="Courier New" w:hAnsi="Times New Roman" w:cs="Times New Roman"/>
                <w:b/>
                <w:color w:val="auto"/>
                <w:sz w:val="24"/>
                <w:szCs w:val="24"/>
              </w:rPr>
              <w:t>adj</w:t>
            </w:r>
            <w:proofErr w:type="spellEnd"/>
          </w:p>
        </w:tc>
      </w:tr>
      <w:tr w:rsidR="0070230A" w:rsidRPr="0070230A" w:rsidTr="005E7631">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1</w:t>
            </w:r>
            <w:r w:rsidR="00214A7C" w:rsidRPr="0070230A">
              <w:rPr>
                <w:rFonts w:ascii="Times New Roman" w:eastAsia="Courier New" w:hAnsi="Times New Roman" w:cs="Times New Roman"/>
                <w:color w:val="auto"/>
                <w:sz w:val="24"/>
                <w:szCs w:val="24"/>
              </w:rPr>
              <w:t xml:space="preserve"> vs 2</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-8.29</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-9.53</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-7.06</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&lt;.01</w:t>
            </w:r>
          </w:p>
        </w:tc>
      </w:tr>
      <w:tr w:rsidR="0070230A" w:rsidRPr="0070230A" w:rsidTr="005E7631">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1</w:t>
            </w:r>
            <w:r w:rsidR="00214A7C" w:rsidRPr="0070230A">
              <w:rPr>
                <w:rFonts w:ascii="Times New Roman" w:eastAsia="Courier New" w:hAnsi="Times New Roman" w:cs="Times New Roman"/>
                <w:color w:val="auto"/>
                <w:sz w:val="24"/>
                <w:szCs w:val="24"/>
              </w:rPr>
              <w:t>vs 3</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-10.7</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-12.15</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-9.25</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&lt;.01</w:t>
            </w:r>
          </w:p>
        </w:tc>
      </w:tr>
      <w:tr w:rsidR="0070230A" w:rsidRPr="0070230A" w:rsidTr="005E7631">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1</w:t>
            </w:r>
            <w:r w:rsidR="00214A7C" w:rsidRPr="0070230A">
              <w:rPr>
                <w:rFonts w:ascii="Times New Roman" w:eastAsia="Courier New" w:hAnsi="Times New Roman" w:cs="Times New Roman"/>
                <w:color w:val="auto"/>
                <w:sz w:val="24"/>
                <w:szCs w:val="24"/>
              </w:rPr>
              <w:t xml:space="preserve"> vs 4</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-10.77</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-12.98</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-8.56</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&lt;.01</w:t>
            </w:r>
          </w:p>
        </w:tc>
      </w:tr>
      <w:tr w:rsidR="0070230A" w:rsidRPr="0070230A" w:rsidTr="005E7631">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lastRenderedPageBreak/>
              <w:t>3 vs 2</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5E7631">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-2.40</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-3.95</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-0.85</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&lt;.01</w:t>
            </w:r>
          </w:p>
        </w:tc>
      </w:tr>
      <w:tr w:rsidR="0070230A" w:rsidRPr="0070230A" w:rsidTr="005E7631">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4 vs 2</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-2.47</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-4.75</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-0.20</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&lt;.01</w:t>
            </w:r>
          </w:p>
        </w:tc>
      </w:tr>
      <w:tr w:rsidR="0070230A" w:rsidRPr="0070230A" w:rsidTr="005E7631">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4 vs 3</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-.07</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-2.47</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2.32</w:t>
            </w:r>
          </w:p>
        </w:tc>
        <w:tc>
          <w:tcPr>
            <w:tcW w:w="0" w:type="auto"/>
            <w:tcBorders>
              <w:bottom w:val="single" w:sz="8" w:space="0" w:color="000000"/>
              <w:right w:val="single" w:sz="8" w:space="0" w:color="000000"/>
            </w:tcBorders>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.99</w:t>
            </w:r>
          </w:p>
        </w:tc>
      </w:tr>
    </w:tbl>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 xml:space="preserve"> </w:t>
      </w:r>
    </w:p>
    <w:p w:rsidR="005E7631"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Hasta ahora todo parece marchar sobre ruedas, incluso el análisis mostró una diferencia estadísticamente significativa, al igual que el análisis original pla</w:t>
      </w:r>
      <w:r w:rsidR="005E7631">
        <w:rPr>
          <w:rFonts w:ascii="Times New Roman" w:hAnsi="Times New Roman" w:cs="Times New Roman"/>
          <w:color w:val="auto"/>
          <w:sz w:val="24"/>
          <w:szCs w:val="24"/>
        </w:rPr>
        <w:t>n</w:t>
      </w:r>
      <w:r w:rsidRPr="0070230A">
        <w:rPr>
          <w:rFonts w:ascii="Times New Roman" w:hAnsi="Times New Roman" w:cs="Times New Roman"/>
          <w:color w:val="auto"/>
          <w:sz w:val="24"/>
          <w:szCs w:val="24"/>
        </w:rPr>
        <w:t>teado por el grupo Ciencia, innovación y Mercadotecnia, entonces ¿para qué molestarse?</w:t>
      </w:r>
    </w:p>
    <w:p w:rsidR="00305DD8" w:rsidRPr="0070230A" w:rsidRDefault="005E7631" w:rsidP="0032341D">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U</w:t>
      </w:r>
      <w:r w:rsidR="00214A7C" w:rsidRPr="0070230A">
        <w:rPr>
          <w:rFonts w:ascii="Times New Roman" w:hAnsi="Times New Roman" w:cs="Times New Roman"/>
          <w:color w:val="auto"/>
          <w:sz w:val="24"/>
          <w:szCs w:val="24"/>
        </w:rPr>
        <w:t xml:space="preserve">n análisis más detallado, mostró un heterogeneidad de varianzas entre grupos o </w:t>
      </w:r>
      <w:proofErr w:type="spellStart"/>
      <w:r w:rsidR="00214A7C" w:rsidRPr="0070230A">
        <w:rPr>
          <w:rFonts w:ascii="Times New Roman" w:hAnsi="Times New Roman" w:cs="Times New Roman"/>
          <w:color w:val="auto"/>
          <w:sz w:val="24"/>
          <w:szCs w:val="24"/>
        </w:rPr>
        <w:t>heteroscedasticidad</w:t>
      </w:r>
      <w:proofErr w:type="spellEnd"/>
      <w:r w:rsidR="00214A7C" w:rsidRPr="0070230A">
        <w:rPr>
          <w:rFonts w:ascii="Times New Roman" w:hAnsi="Times New Roman" w:cs="Times New Roman"/>
          <w:color w:val="auto"/>
          <w:sz w:val="24"/>
          <w:szCs w:val="24"/>
        </w:rPr>
        <w:t xml:space="preserve"> con una p significativa en l</w:t>
      </w:r>
      <w:r>
        <w:rPr>
          <w:rFonts w:ascii="Times New Roman" w:hAnsi="Times New Roman" w:cs="Times New Roman"/>
          <w:color w:val="auto"/>
          <w:sz w:val="24"/>
          <w:szCs w:val="24"/>
        </w:rPr>
        <w:t>a</w:t>
      </w:r>
      <w:r w:rsidR="00214A7C" w:rsidRPr="0070230A">
        <w:rPr>
          <w:rFonts w:ascii="Times New Roman" w:hAnsi="Times New Roman" w:cs="Times New Roman"/>
          <w:color w:val="auto"/>
          <w:sz w:val="24"/>
          <w:szCs w:val="24"/>
        </w:rPr>
        <w:t xml:space="preserve"> prueba de Bartlett (K</w:t>
      </w:r>
      <w:r w:rsidRPr="005E7631">
        <w:rPr>
          <w:rFonts w:ascii="Times New Roman" w:hAnsi="Times New Roman" w:cs="Times New Roman"/>
          <w:color w:val="auto"/>
          <w:sz w:val="24"/>
          <w:szCs w:val="24"/>
          <w:vertAlign w:val="superscript"/>
        </w:rPr>
        <w:t>2</w:t>
      </w:r>
      <w:r w:rsidR="00214A7C" w:rsidRPr="0070230A">
        <w:rPr>
          <w:rFonts w:ascii="Times New Roman" w:hAnsi="Times New Roman" w:cs="Times New Roman"/>
          <w:color w:val="auto"/>
          <w:sz w:val="24"/>
          <w:szCs w:val="24"/>
        </w:rPr>
        <w:t xml:space="preserve"> = 59.2656, </w:t>
      </w:r>
      <w:proofErr w:type="spellStart"/>
      <w:r w:rsidR="00214A7C" w:rsidRPr="0070230A">
        <w:rPr>
          <w:rFonts w:ascii="Times New Roman" w:hAnsi="Times New Roman" w:cs="Times New Roman"/>
          <w:color w:val="auto"/>
          <w:sz w:val="24"/>
          <w:szCs w:val="24"/>
        </w:rPr>
        <w:t>df</w:t>
      </w:r>
      <w:proofErr w:type="spellEnd"/>
      <w:r w:rsidR="00214A7C" w:rsidRPr="0070230A">
        <w:rPr>
          <w:rFonts w:ascii="Times New Roman" w:hAnsi="Times New Roman" w:cs="Times New Roman"/>
          <w:color w:val="auto"/>
          <w:sz w:val="24"/>
          <w:szCs w:val="24"/>
        </w:rPr>
        <w:t xml:space="preserve"> = 3, p &lt;.001);</w:t>
      </w:r>
      <w:r>
        <w:rPr>
          <w:rFonts w:ascii="Times New Roman" w:hAnsi="Times New Roman" w:cs="Times New Roman"/>
          <w:color w:val="auto"/>
          <w:sz w:val="24"/>
          <w:szCs w:val="24"/>
        </w:rPr>
        <w:t xml:space="preserve"> y</w:t>
      </w:r>
      <w:r w:rsidR="00214A7C" w:rsidRPr="0070230A">
        <w:rPr>
          <w:rFonts w:ascii="Times New Roman" w:hAnsi="Times New Roman" w:cs="Times New Roman"/>
          <w:color w:val="auto"/>
          <w:sz w:val="24"/>
          <w:szCs w:val="24"/>
        </w:rPr>
        <w:t xml:space="preserve"> aunque la prueba de ANOV</w:t>
      </w:r>
      <w:r>
        <w:rPr>
          <w:rFonts w:ascii="Times New Roman" w:hAnsi="Times New Roman" w:cs="Times New Roman"/>
          <w:color w:val="auto"/>
          <w:sz w:val="24"/>
          <w:szCs w:val="24"/>
        </w:rPr>
        <w:t>A</w:t>
      </w:r>
      <w:r w:rsidR="00214A7C" w:rsidRPr="0070230A">
        <w:rPr>
          <w:rFonts w:ascii="Times New Roman" w:hAnsi="Times New Roman" w:cs="Times New Roman"/>
          <w:color w:val="auto"/>
          <w:sz w:val="24"/>
          <w:szCs w:val="24"/>
        </w:rPr>
        <w:t xml:space="preserve"> es muy robusta ante la heterogeneidad de varianzas no lo es ante grupos desbalanceados, o sea, grupos que difieren mucho en tamaño (n)</w:t>
      </w:r>
      <w:r>
        <w:rPr>
          <w:rFonts w:ascii="Times New Roman" w:hAnsi="Times New Roman" w:cs="Times New Roman"/>
          <w:color w:val="auto"/>
          <w:sz w:val="24"/>
          <w:szCs w:val="24"/>
        </w:rPr>
        <w:t xml:space="preserve"> como es este caso, 845 pacientes no tuvieron seguimiento</w:t>
      </w:r>
      <w:r w:rsidR="00214A7C" w:rsidRPr="0070230A">
        <w:rPr>
          <w:rFonts w:ascii="Times New Roman" w:hAnsi="Times New Roman" w:cs="Times New Roman"/>
          <w:color w:val="auto"/>
          <w:sz w:val="24"/>
          <w:szCs w:val="24"/>
        </w:rPr>
        <w:t>.</w:t>
      </w: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Existen muchas explicaciones para esta pérdida de pacientes durante el seguimiento, en el peor de los escenarios, estos pacientes no mostraron ninguna mejoría por lo que no acudieron a una segunda visita o presentaron efectos secundarios indeseables por lo que buscaron una segunda opinión.</w:t>
      </w: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Existen algunas pruebas estadísticas complejas que pudieran ayudar  a salvar este asunto como el modelo lineal de efectos mixtos el cual es más difícil de interpretar</w:t>
      </w:r>
      <w:r w:rsidR="005E7631">
        <w:rPr>
          <w:rFonts w:ascii="Times New Roman" w:hAnsi="Times New Roman" w:cs="Times New Roman"/>
          <w:color w:val="auto"/>
          <w:sz w:val="24"/>
          <w:szCs w:val="24"/>
        </w:rPr>
        <w:t>.</w:t>
      </w: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En 1981  la Universidad de McMaster</w:t>
      </w:r>
      <w:r w:rsidR="005E7631" w:rsidRPr="005E7631">
        <w:rPr>
          <w:rFonts w:ascii="Times New Roman" w:hAnsi="Times New Roman" w:cs="Times New Roman"/>
          <w:color w:val="auto"/>
          <w:sz w:val="24"/>
          <w:szCs w:val="24"/>
          <w:vertAlign w:val="superscript"/>
        </w:rPr>
        <w:t>3</w:t>
      </w:r>
      <w:r w:rsidRPr="0070230A">
        <w:rPr>
          <w:rFonts w:ascii="Times New Roman" w:hAnsi="Times New Roman" w:cs="Times New Roman"/>
          <w:color w:val="auto"/>
          <w:sz w:val="24"/>
          <w:szCs w:val="24"/>
        </w:rPr>
        <w:t xml:space="preserve"> a través de su departamento de epidemiología clínica y bioestadística determinó las reglas mínimas a seguir para la lectura de publicaciones científicas, dedicando un artículo para distinguir entre terapia útil, no útil e incluso peligrosa, básicamente ensayos </w:t>
      </w:r>
      <w:r w:rsidR="00CC1C0A" w:rsidRPr="0070230A">
        <w:rPr>
          <w:rFonts w:ascii="Times New Roman" w:hAnsi="Times New Roman" w:cs="Times New Roman"/>
          <w:color w:val="auto"/>
          <w:sz w:val="24"/>
          <w:szCs w:val="24"/>
        </w:rPr>
        <w:t>clínicos</w:t>
      </w:r>
      <w:r w:rsidRPr="0070230A">
        <w:rPr>
          <w:rFonts w:ascii="Times New Roman" w:hAnsi="Times New Roman" w:cs="Times New Roman"/>
          <w:color w:val="auto"/>
          <w:sz w:val="24"/>
          <w:szCs w:val="24"/>
        </w:rPr>
        <w:t xml:space="preserve"> y las 6 reglas que se deben cumplir. Aunque el diseño del estudio del </w:t>
      </w:r>
      <w:r w:rsidR="00CC1C0A" w:rsidRPr="0070230A">
        <w:rPr>
          <w:rFonts w:ascii="Times New Roman" w:hAnsi="Times New Roman" w:cs="Times New Roman"/>
          <w:color w:val="auto"/>
          <w:sz w:val="24"/>
          <w:szCs w:val="24"/>
        </w:rPr>
        <w:t>Dr.</w:t>
      </w:r>
      <w:r w:rsidRPr="0070230A">
        <w:rPr>
          <w:rFonts w:ascii="Times New Roman" w:hAnsi="Times New Roman" w:cs="Times New Roman"/>
          <w:color w:val="auto"/>
          <w:sz w:val="24"/>
          <w:szCs w:val="24"/>
        </w:rPr>
        <w:t xml:space="preserve"> Flota y cols. </w:t>
      </w:r>
      <w:proofErr w:type="gramStart"/>
      <w:r w:rsidRPr="0070230A">
        <w:rPr>
          <w:rFonts w:ascii="Times New Roman" w:hAnsi="Times New Roman" w:cs="Times New Roman"/>
          <w:color w:val="auto"/>
          <w:sz w:val="24"/>
          <w:szCs w:val="24"/>
        </w:rPr>
        <w:t>no</w:t>
      </w:r>
      <w:proofErr w:type="gramEnd"/>
      <w:r w:rsidRPr="0070230A">
        <w:rPr>
          <w:rFonts w:ascii="Times New Roman" w:hAnsi="Times New Roman" w:cs="Times New Roman"/>
          <w:color w:val="auto"/>
          <w:sz w:val="24"/>
          <w:szCs w:val="24"/>
        </w:rPr>
        <w:t xml:space="preserve"> es un estudio </w:t>
      </w:r>
      <w:r w:rsidR="005E7631" w:rsidRPr="0070230A">
        <w:rPr>
          <w:rFonts w:ascii="Times New Roman" w:hAnsi="Times New Roman" w:cs="Times New Roman"/>
          <w:color w:val="auto"/>
          <w:sz w:val="24"/>
          <w:szCs w:val="24"/>
        </w:rPr>
        <w:t>clínico</w:t>
      </w:r>
      <w:r w:rsidRPr="0070230A">
        <w:rPr>
          <w:rFonts w:ascii="Times New Roman" w:hAnsi="Times New Roman" w:cs="Times New Roman"/>
          <w:color w:val="auto"/>
          <w:sz w:val="24"/>
          <w:szCs w:val="24"/>
        </w:rPr>
        <w:t xml:space="preserve"> controlado el análisis de sus resultados y conclusiones tiene un enfoque claramente terapéutico.</w:t>
      </w: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 xml:space="preserve">Estas guías plantean una salida elegante </w:t>
      </w:r>
      <w:r w:rsidR="005E7631">
        <w:rPr>
          <w:rFonts w:ascii="Times New Roman" w:hAnsi="Times New Roman" w:cs="Times New Roman"/>
          <w:color w:val="auto"/>
          <w:sz w:val="24"/>
          <w:szCs w:val="24"/>
        </w:rPr>
        <w:t>al problema de la pérdida de pacientes:</w:t>
      </w:r>
      <w:r w:rsidRPr="0070230A">
        <w:rPr>
          <w:rFonts w:ascii="Times New Roman" w:hAnsi="Times New Roman" w:cs="Times New Roman"/>
          <w:color w:val="auto"/>
          <w:sz w:val="24"/>
          <w:szCs w:val="24"/>
        </w:rPr>
        <w:t xml:space="preserve"> agregar los pacientes perdidos al grupo de peor pronóstico, si la diferencia es significativa entonces esta pérdida de pacientes no tiene efectos sobre el modelo.</w:t>
      </w:r>
    </w:p>
    <w:p w:rsidR="00305DD8" w:rsidRPr="0070230A" w:rsidRDefault="005E7631" w:rsidP="0032341D">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El G</w:t>
      </w:r>
      <w:r w:rsidR="00214A7C" w:rsidRPr="0070230A">
        <w:rPr>
          <w:rFonts w:ascii="Times New Roman" w:hAnsi="Times New Roman" w:cs="Times New Roman"/>
          <w:color w:val="auto"/>
          <w:sz w:val="24"/>
          <w:szCs w:val="24"/>
        </w:rPr>
        <w:t>ráfico</w:t>
      </w:r>
      <w:r>
        <w:rPr>
          <w:rFonts w:ascii="Times New Roman" w:hAnsi="Times New Roman" w:cs="Times New Roman"/>
          <w:color w:val="auto"/>
          <w:sz w:val="24"/>
          <w:szCs w:val="24"/>
        </w:rPr>
        <w:t xml:space="preserve"> 3</w:t>
      </w:r>
      <w:r w:rsidR="00214A7C" w:rsidRPr="0070230A">
        <w:rPr>
          <w:rFonts w:ascii="Times New Roman" w:hAnsi="Times New Roman" w:cs="Times New Roman"/>
          <w:color w:val="auto"/>
          <w:sz w:val="24"/>
          <w:szCs w:val="24"/>
        </w:rPr>
        <w:t xml:space="preserve"> muestra la distribución teórica con los grupos balanceados distribuyendo de forma equitativa </w:t>
      </w:r>
      <w:r w:rsidRPr="0070230A">
        <w:rPr>
          <w:rFonts w:ascii="Times New Roman" w:hAnsi="Times New Roman" w:cs="Times New Roman"/>
          <w:color w:val="auto"/>
          <w:sz w:val="24"/>
          <w:szCs w:val="24"/>
        </w:rPr>
        <w:t>los pacientes</w:t>
      </w:r>
      <w:r w:rsidR="00214A7C" w:rsidRPr="0070230A">
        <w:rPr>
          <w:rFonts w:ascii="Times New Roman" w:hAnsi="Times New Roman" w:cs="Times New Roman"/>
          <w:color w:val="auto"/>
          <w:sz w:val="24"/>
          <w:szCs w:val="24"/>
        </w:rPr>
        <w:t xml:space="preserve"> perdidos en los puntajes por arriba de la</w:t>
      </w:r>
      <w:r>
        <w:rPr>
          <w:rFonts w:ascii="Times New Roman" w:hAnsi="Times New Roman" w:cs="Times New Roman"/>
          <w:color w:val="auto"/>
          <w:sz w:val="24"/>
          <w:szCs w:val="24"/>
        </w:rPr>
        <w:t xml:space="preserve"> media. La diferencia entre el G</w:t>
      </w:r>
      <w:r w:rsidR="00214A7C" w:rsidRPr="0070230A">
        <w:rPr>
          <w:rFonts w:ascii="Times New Roman" w:hAnsi="Times New Roman" w:cs="Times New Roman"/>
          <w:color w:val="auto"/>
          <w:sz w:val="24"/>
          <w:szCs w:val="24"/>
        </w:rPr>
        <w:t>ráfico</w:t>
      </w:r>
      <w:r>
        <w:rPr>
          <w:rFonts w:ascii="Times New Roman" w:hAnsi="Times New Roman" w:cs="Times New Roman"/>
          <w:color w:val="auto"/>
          <w:sz w:val="24"/>
          <w:szCs w:val="24"/>
        </w:rPr>
        <w:t xml:space="preserve"> 2</w:t>
      </w:r>
      <w:r w:rsidR="00214A7C" w:rsidRPr="0070230A">
        <w:rPr>
          <w:rFonts w:ascii="Times New Roman" w:hAnsi="Times New Roman" w:cs="Times New Roman"/>
          <w:color w:val="auto"/>
          <w:sz w:val="24"/>
          <w:szCs w:val="24"/>
        </w:rPr>
        <w:t xml:space="preserve"> y el nuevo es evidente. El análisis de varianza muestra una diferencia significativa entre p</w:t>
      </w:r>
      <w:r>
        <w:rPr>
          <w:rFonts w:ascii="Times New Roman" w:hAnsi="Times New Roman" w:cs="Times New Roman"/>
          <w:color w:val="auto"/>
          <w:sz w:val="24"/>
          <w:szCs w:val="24"/>
        </w:rPr>
        <w:t>o</w:t>
      </w:r>
      <w:r w:rsidR="00214A7C" w:rsidRPr="0070230A">
        <w:rPr>
          <w:rFonts w:ascii="Times New Roman" w:hAnsi="Times New Roman" w:cs="Times New Roman"/>
          <w:color w:val="auto"/>
          <w:sz w:val="24"/>
          <w:szCs w:val="24"/>
        </w:rPr>
        <w:t>r lo menos un par de grupos con una ligera pero significativa disminución entre la visita inicial y la segunda (-2.3 puntos), sin embargo la diferencia en la 3a y 4a visita es de 10 puntos o más por arriba del promedio de la primera visita</w:t>
      </w:r>
      <w:r>
        <w:rPr>
          <w:rFonts w:ascii="Times New Roman" w:hAnsi="Times New Roman" w:cs="Times New Roman"/>
          <w:color w:val="auto"/>
          <w:sz w:val="24"/>
          <w:szCs w:val="24"/>
        </w:rPr>
        <w:t xml:space="preserve"> (Tabla 5)</w:t>
      </w:r>
      <w:r w:rsidR="00214A7C" w:rsidRPr="0070230A">
        <w:rPr>
          <w:rFonts w:ascii="Times New Roman" w:hAnsi="Times New Roman" w:cs="Times New Roman"/>
          <w:color w:val="auto"/>
          <w:sz w:val="24"/>
          <w:szCs w:val="24"/>
        </w:rPr>
        <w:t>.</w:t>
      </w:r>
    </w:p>
    <w:p w:rsidR="00305DD8" w:rsidRPr="0070230A" w:rsidRDefault="00305DD8" w:rsidP="0032341D">
      <w:pPr>
        <w:spacing w:line="240" w:lineRule="auto"/>
        <w:jc w:val="both"/>
        <w:rPr>
          <w:rFonts w:ascii="Times New Roman" w:hAnsi="Times New Roman" w:cs="Times New Roman"/>
          <w:color w:val="auto"/>
          <w:sz w:val="24"/>
          <w:szCs w:val="24"/>
        </w:rPr>
      </w:pPr>
    </w:p>
    <w:p w:rsidR="005E7631" w:rsidRDefault="005E7631" w:rsidP="005E7631">
      <w:pPr>
        <w:pStyle w:val="Caption"/>
        <w:keepNext/>
      </w:pPr>
      <w:r>
        <w:t xml:space="preserve">Tabla </w:t>
      </w:r>
      <w:r>
        <w:fldChar w:fldCharType="begin"/>
      </w:r>
      <w:r>
        <w:instrText xml:space="preserve"> SEQ Tabla \* ARABIC </w:instrText>
      </w:r>
      <w:r>
        <w:fldChar w:fldCharType="separate"/>
      </w:r>
      <w:r>
        <w:rPr>
          <w:noProof/>
        </w:rPr>
        <w:t>4</w:t>
      </w:r>
      <w:r>
        <w:fldChar w:fldCharType="end"/>
      </w:r>
      <w:r>
        <w:t>. ANOVA del puntaje entre grupos teóricos balanceados.</w:t>
      </w: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40"/>
        <w:gridCol w:w="680"/>
        <w:gridCol w:w="920"/>
        <w:gridCol w:w="1054"/>
        <w:gridCol w:w="740"/>
        <w:gridCol w:w="756"/>
      </w:tblGrid>
      <w:tr w:rsidR="0070230A" w:rsidRPr="0070230A" w:rsidTr="005E7631">
        <w:tc>
          <w:tcPr>
            <w:tcW w:w="0" w:type="auto"/>
            <w:tcMar>
              <w:top w:w="100" w:type="dxa"/>
              <w:left w:w="100" w:type="dxa"/>
              <w:bottom w:w="100" w:type="dxa"/>
              <w:right w:w="100" w:type="dxa"/>
            </w:tcMar>
          </w:tcPr>
          <w:p w:rsidR="00305DD8" w:rsidRPr="0070230A" w:rsidRDefault="00305DD8" w:rsidP="0032341D">
            <w:pPr>
              <w:spacing w:line="240" w:lineRule="auto"/>
              <w:jc w:val="both"/>
              <w:rPr>
                <w:rFonts w:ascii="Times New Roman" w:hAnsi="Times New Roman" w:cs="Times New Roman"/>
                <w:color w:val="auto"/>
                <w:sz w:val="24"/>
                <w:szCs w:val="24"/>
              </w:rPr>
            </w:pPr>
          </w:p>
        </w:tc>
        <w:tc>
          <w:tcPr>
            <w:tcW w:w="0" w:type="auto"/>
            <w:tcMar>
              <w:top w:w="100" w:type="dxa"/>
              <w:left w:w="100" w:type="dxa"/>
              <w:bottom w:w="100" w:type="dxa"/>
              <w:right w:w="100" w:type="dxa"/>
            </w:tcMar>
          </w:tcPr>
          <w:p w:rsidR="00305DD8" w:rsidRPr="005E7631" w:rsidRDefault="00214A7C" w:rsidP="0032341D">
            <w:pPr>
              <w:spacing w:line="240" w:lineRule="auto"/>
              <w:jc w:val="both"/>
              <w:rPr>
                <w:rFonts w:ascii="Times New Roman" w:hAnsi="Times New Roman" w:cs="Times New Roman"/>
                <w:b/>
                <w:color w:val="auto"/>
                <w:sz w:val="24"/>
                <w:szCs w:val="24"/>
              </w:rPr>
            </w:pPr>
            <w:proofErr w:type="spellStart"/>
            <w:r w:rsidRPr="005E7631">
              <w:rPr>
                <w:rFonts w:ascii="Times New Roman" w:hAnsi="Times New Roman" w:cs="Times New Roman"/>
                <w:b/>
                <w:color w:val="auto"/>
                <w:sz w:val="24"/>
                <w:szCs w:val="24"/>
              </w:rPr>
              <w:t>Df</w:t>
            </w:r>
            <w:proofErr w:type="spellEnd"/>
          </w:p>
        </w:tc>
        <w:tc>
          <w:tcPr>
            <w:tcW w:w="0" w:type="auto"/>
            <w:tcMar>
              <w:top w:w="100" w:type="dxa"/>
              <w:left w:w="100" w:type="dxa"/>
              <w:bottom w:w="100" w:type="dxa"/>
              <w:right w:w="100" w:type="dxa"/>
            </w:tcMar>
          </w:tcPr>
          <w:p w:rsidR="00305DD8" w:rsidRPr="005E7631" w:rsidRDefault="00214A7C" w:rsidP="0032341D">
            <w:pPr>
              <w:spacing w:line="240" w:lineRule="auto"/>
              <w:jc w:val="both"/>
              <w:rPr>
                <w:rFonts w:ascii="Times New Roman" w:hAnsi="Times New Roman" w:cs="Times New Roman"/>
                <w:b/>
                <w:color w:val="auto"/>
                <w:sz w:val="24"/>
                <w:szCs w:val="24"/>
              </w:rPr>
            </w:pPr>
            <w:r w:rsidRPr="005E7631">
              <w:rPr>
                <w:rFonts w:ascii="Times New Roman" w:hAnsi="Times New Roman" w:cs="Times New Roman"/>
                <w:b/>
                <w:color w:val="auto"/>
                <w:sz w:val="24"/>
                <w:szCs w:val="24"/>
              </w:rPr>
              <w:t>Sum</w:t>
            </w:r>
          </w:p>
        </w:tc>
        <w:tc>
          <w:tcPr>
            <w:tcW w:w="0" w:type="auto"/>
            <w:tcMar>
              <w:top w:w="100" w:type="dxa"/>
              <w:left w:w="100" w:type="dxa"/>
              <w:bottom w:w="100" w:type="dxa"/>
              <w:right w:w="100" w:type="dxa"/>
            </w:tcMar>
          </w:tcPr>
          <w:p w:rsidR="00305DD8" w:rsidRPr="005E7631" w:rsidRDefault="00214A7C" w:rsidP="0032341D">
            <w:pPr>
              <w:spacing w:line="240" w:lineRule="auto"/>
              <w:jc w:val="both"/>
              <w:rPr>
                <w:rFonts w:ascii="Times New Roman" w:hAnsi="Times New Roman" w:cs="Times New Roman"/>
                <w:b/>
                <w:color w:val="auto"/>
                <w:sz w:val="24"/>
                <w:szCs w:val="24"/>
              </w:rPr>
            </w:pPr>
            <w:proofErr w:type="spellStart"/>
            <w:r w:rsidRPr="005E7631">
              <w:rPr>
                <w:rFonts w:ascii="Times New Roman" w:hAnsi="Times New Roman" w:cs="Times New Roman"/>
                <w:b/>
                <w:color w:val="auto"/>
                <w:sz w:val="24"/>
                <w:szCs w:val="24"/>
              </w:rPr>
              <w:t>MeanSq</w:t>
            </w:r>
            <w:proofErr w:type="spellEnd"/>
          </w:p>
        </w:tc>
        <w:tc>
          <w:tcPr>
            <w:tcW w:w="0" w:type="auto"/>
            <w:tcMar>
              <w:top w:w="100" w:type="dxa"/>
              <w:left w:w="100" w:type="dxa"/>
              <w:bottom w:w="100" w:type="dxa"/>
              <w:right w:w="100" w:type="dxa"/>
            </w:tcMar>
          </w:tcPr>
          <w:p w:rsidR="00305DD8" w:rsidRPr="005E7631" w:rsidRDefault="00214A7C" w:rsidP="0032341D">
            <w:pPr>
              <w:spacing w:line="240" w:lineRule="auto"/>
              <w:rPr>
                <w:rFonts w:ascii="Times New Roman" w:hAnsi="Times New Roman" w:cs="Times New Roman"/>
                <w:b/>
                <w:color w:val="auto"/>
                <w:sz w:val="24"/>
                <w:szCs w:val="24"/>
              </w:rPr>
            </w:pPr>
            <w:r w:rsidRPr="005E7631">
              <w:rPr>
                <w:rFonts w:ascii="Times New Roman" w:hAnsi="Times New Roman" w:cs="Times New Roman"/>
                <w:b/>
                <w:color w:val="auto"/>
                <w:sz w:val="24"/>
                <w:szCs w:val="24"/>
              </w:rPr>
              <w:t>F</w:t>
            </w:r>
          </w:p>
        </w:tc>
        <w:tc>
          <w:tcPr>
            <w:tcW w:w="0" w:type="auto"/>
            <w:tcMar>
              <w:top w:w="100" w:type="dxa"/>
              <w:left w:w="100" w:type="dxa"/>
              <w:bottom w:w="100" w:type="dxa"/>
              <w:right w:w="100" w:type="dxa"/>
            </w:tcMar>
          </w:tcPr>
          <w:p w:rsidR="00305DD8" w:rsidRPr="005E7631" w:rsidRDefault="005E7631" w:rsidP="0032341D">
            <w:pPr>
              <w:spacing w:line="240" w:lineRule="auto"/>
              <w:rPr>
                <w:rFonts w:ascii="Times New Roman" w:hAnsi="Times New Roman" w:cs="Times New Roman"/>
                <w:b/>
                <w:color w:val="auto"/>
                <w:sz w:val="24"/>
                <w:szCs w:val="24"/>
              </w:rPr>
            </w:pPr>
            <w:r w:rsidRPr="005E7631">
              <w:rPr>
                <w:rFonts w:ascii="Times New Roman" w:hAnsi="Times New Roman" w:cs="Times New Roman"/>
                <w:b/>
                <w:color w:val="auto"/>
                <w:sz w:val="24"/>
                <w:szCs w:val="24"/>
              </w:rPr>
              <w:t>p</w:t>
            </w:r>
          </w:p>
        </w:tc>
      </w:tr>
      <w:tr w:rsidR="0070230A" w:rsidRPr="0070230A" w:rsidTr="005E7631">
        <w:tc>
          <w:tcPr>
            <w:tcW w:w="0" w:type="auto"/>
            <w:tcMar>
              <w:top w:w="100" w:type="dxa"/>
              <w:left w:w="100" w:type="dxa"/>
              <w:bottom w:w="100" w:type="dxa"/>
              <w:right w:w="100" w:type="dxa"/>
            </w:tcMar>
          </w:tcPr>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Visita</w:t>
            </w:r>
          </w:p>
        </w:tc>
        <w:tc>
          <w:tcPr>
            <w:tcW w:w="0" w:type="auto"/>
            <w:tcMar>
              <w:top w:w="100" w:type="dxa"/>
              <w:left w:w="100" w:type="dxa"/>
              <w:bottom w:w="100" w:type="dxa"/>
              <w:right w:w="100" w:type="dxa"/>
            </w:tcMar>
          </w:tcPr>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3</w:t>
            </w:r>
          </w:p>
        </w:tc>
        <w:tc>
          <w:tcPr>
            <w:tcW w:w="0" w:type="auto"/>
            <w:tcMar>
              <w:top w:w="100" w:type="dxa"/>
              <w:left w:w="100" w:type="dxa"/>
              <w:bottom w:w="100" w:type="dxa"/>
              <w:right w:w="100" w:type="dxa"/>
            </w:tcMar>
          </w:tcPr>
          <w:p w:rsidR="00305DD8" w:rsidRPr="0070230A" w:rsidRDefault="005E7631" w:rsidP="0032341D">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57780</w:t>
            </w:r>
          </w:p>
        </w:tc>
        <w:tc>
          <w:tcPr>
            <w:tcW w:w="0" w:type="auto"/>
            <w:tcMar>
              <w:top w:w="100" w:type="dxa"/>
              <w:left w:w="100" w:type="dxa"/>
              <w:bottom w:w="100" w:type="dxa"/>
              <w:right w:w="100" w:type="dxa"/>
            </w:tcMar>
          </w:tcPr>
          <w:p w:rsidR="00305DD8" w:rsidRPr="0070230A" w:rsidRDefault="005E7631" w:rsidP="0032341D">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19260</w:t>
            </w:r>
          </w:p>
        </w:tc>
        <w:tc>
          <w:tcPr>
            <w:tcW w:w="0" w:type="auto"/>
            <w:tcMar>
              <w:top w:w="100" w:type="dxa"/>
              <w:left w:w="100" w:type="dxa"/>
              <w:bottom w:w="100" w:type="dxa"/>
              <w:right w:w="100" w:type="dxa"/>
            </w:tcMar>
          </w:tcPr>
          <w:p w:rsidR="00305DD8" w:rsidRPr="0070230A" w:rsidRDefault="005E7631" w:rsidP="0032341D">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155.2</w:t>
            </w:r>
          </w:p>
        </w:tc>
        <w:tc>
          <w:tcPr>
            <w:tcW w:w="0" w:type="auto"/>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hAnsi="Times New Roman" w:cs="Times New Roman"/>
                <w:color w:val="auto"/>
                <w:sz w:val="24"/>
                <w:szCs w:val="24"/>
              </w:rPr>
              <w:t>&lt;.001</w:t>
            </w:r>
          </w:p>
        </w:tc>
      </w:tr>
      <w:tr w:rsidR="0070230A" w:rsidRPr="0070230A" w:rsidTr="005E7631">
        <w:tc>
          <w:tcPr>
            <w:tcW w:w="0" w:type="auto"/>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hAnsi="Times New Roman" w:cs="Times New Roman"/>
                <w:color w:val="auto"/>
                <w:sz w:val="24"/>
                <w:szCs w:val="24"/>
              </w:rPr>
              <w:t>Residuales</w:t>
            </w:r>
          </w:p>
        </w:tc>
        <w:tc>
          <w:tcPr>
            <w:tcW w:w="0" w:type="auto"/>
            <w:tcMar>
              <w:top w:w="100" w:type="dxa"/>
              <w:left w:w="100" w:type="dxa"/>
              <w:bottom w:w="100" w:type="dxa"/>
              <w:right w:w="100" w:type="dxa"/>
            </w:tcMar>
          </w:tcPr>
          <w:p w:rsidR="00305DD8" w:rsidRPr="0070230A" w:rsidRDefault="00214A7C" w:rsidP="0032341D">
            <w:pPr>
              <w:spacing w:line="240" w:lineRule="auto"/>
              <w:rPr>
                <w:rFonts w:ascii="Times New Roman" w:hAnsi="Times New Roman" w:cs="Times New Roman"/>
                <w:color w:val="auto"/>
                <w:sz w:val="24"/>
                <w:szCs w:val="24"/>
              </w:rPr>
            </w:pPr>
            <w:r w:rsidRPr="0070230A">
              <w:rPr>
                <w:rFonts w:ascii="Times New Roman" w:hAnsi="Times New Roman" w:cs="Times New Roman"/>
                <w:color w:val="auto"/>
                <w:sz w:val="24"/>
                <w:szCs w:val="24"/>
              </w:rPr>
              <w:t>3840</w:t>
            </w:r>
          </w:p>
        </w:tc>
        <w:tc>
          <w:tcPr>
            <w:tcW w:w="0" w:type="auto"/>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476564</w:t>
            </w:r>
          </w:p>
        </w:tc>
        <w:tc>
          <w:tcPr>
            <w:tcW w:w="0" w:type="auto"/>
            <w:tcMar>
              <w:top w:w="100" w:type="dxa"/>
              <w:left w:w="100" w:type="dxa"/>
              <w:bottom w:w="100" w:type="dxa"/>
              <w:right w:w="100" w:type="dxa"/>
            </w:tcMar>
          </w:tcPr>
          <w:p w:rsidR="00305DD8" w:rsidRPr="0070230A" w:rsidRDefault="005E7631" w:rsidP="0032341D">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124</w:t>
            </w:r>
          </w:p>
        </w:tc>
        <w:tc>
          <w:tcPr>
            <w:tcW w:w="0" w:type="auto"/>
            <w:tcMar>
              <w:top w:w="100" w:type="dxa"/>
              <w:left w:w="100" w:type="dxa"/>
              <w:bottom w:w="100" w:type="dxa"/>
              <w:right w:w="100" w:type="dxa"/>
            </w:tcMar>
          </w:tcPr>
          <w:p w:rsidR="00305DD8" w:rsidRPr="0070230A" w:rsidRDefault="00305DD8" w:rsidP="0032341D">
            <w:pPr>
              <w:spacing w:line="240" w:lineRule="auto"/>
              <w:rPr>
                <w:rFonts w:ascii="Times New Roman" w:hAnsi="Times New Roman" w:cs="Times New Roman"/>
                <w:color w:val="auto"/>
                <w:sz w:val="24"/>
                <w:szCs w:val="24"/>
              </w:rPr>
            </w:pPr>
          </w:p>
        </w:tc>
        <w:tc>
          <w:tcPr>
            <w:tcW w:w="0" w:type="auto"/>
            <w:tcMar>
              <w:top w:w="100" w:type="dxa"/>
              <w:left w:w="100" w:type="dxa"/>
              <w:bottom w:w="100" w:type="dxa"/>
              <w:right w:w="100" w:type="dxa"/>
            </w:tcMar>
          </w:tcPr>
          <w:p w:rsidR="00305DD8" w:rsidRPr="0070230A" w:rsidRDefault="00305DD8" w:rsidP="0032341D">
            <w:pPr>
              <w:spacing w:line="240" w:lineRule="auto"/>
              <w:rPr>
                <w:rFonts w:ascii="Times New Roman" w:hAnsi="Times New Roman" w:cs="Times New Roman"/>
                <w:color w:val="auto"/>
                <w:sz w:val="24"/>
                <w:szCs w:val="24"/>
              </w:rPr>
            </w:pPr>
          </w:p>
        </w:tc>
      </w:tr>
    </w:tbl>
    <w:p w:rsidR="00305DD8" w:rsidRPr="0070230A" w:rsidRDefault="00305DD8" w:rsidP="0032341D">
      <w:pPr>
        <w:spacing w:line="240" w:lineRule="auto"/>
        <w:jc w:val="both"/>
        <w:rPr>
          <w:rFonts w:ascii="Times New Roman" w:hAnsi="Times New Roman" w:cs="Times New Roman"/>
          <w:color w:val="auto"/>
          <w:sz w:val="24"/>
          <w:szCs w:val="24"/>
        </w:rPr>
      </w:pP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 xml:space="preserve">              </w:t>
      </w:r>
    </w:p>
    <w:p w:rsidR="00305DD8" w:rsidRPr="0070230A" w:rsidRDefault="00305DD8" w:rsidP="0032341D">
      <w:pPr>
        <w:spacing w:line="240" w:lineRule="auto"/>
        <w:jc w:val="both"/>
        <w:rPr>
          <w:rFonts w:ascii="Times New Roman" w:hAnsi="Times New Roman" w:cs="Times New Roman"/>
          <w:color w:val="auto"/>
          <w:sz w:val="24"/>
          <w:szCs w:val="24"/>
        </w:rPr>
      </w:pPr>
    </w:p>
    <w:p w:rsidR="005E7631" w:rsidRDefault="005E7631" w:rsidP="005E7631">
      <w:pPr>
        <w:keepNext/>
        <w:spacing w:line="240" w:lineRule="auto"/>
        <w:jc w:val="both"/>
      </w:pPr>
      <w:r>
        <w:rPr>
          <w:rFonts w:ascii="Times New Roman" w:hAnsi="Times New Roman" w:cs="Times New Roman"/>
          <w:noProof/>
          <w:color w:val="auto"/>
          <w:sz w:val="24"/>
          <w:szCs w:val="24"/>
        </w:rPr>
        <w:lastRenderedPageBreak/>
        <w:pict>
          <v:shape id="_x0000_i1027" type="#_x0000_t75" style="width:451.5pt;height:292.5pt">
            <v:imagedata r:id="rId9" o:title="grafico 3"/>
          </v:shape>
        </w:pict>
      </w:r>
    </w:p>
    <w:p w:rsidR="00305DD8" w:rsidRPr="0070230A" w:rsidRDefault="005E7631" w:rsidP="005E7631">
      <w:pPr>
        <w:pStyle w:val="Caption"/>
        <w:jc w:val="both"/>
        <w:rPr>
          <w:rFonts w:ascii="Times New Roman" w:hAnsi="Times New Roman" w:cs="Times New Roman"/>
          <w:color w:val="auto"/>
          <w:sz w:val="24"/>
          <w:szCs w:val="24"/>
        </w:rPr>
      </w:pPr>
      <w:r>
        <w:t xml:space="preserve">Gráfico </w:t>
      </w:r>
      <w:r>
        <w:fldChar w:fldCharType="begin"/>
      </w:r>
      <w:r>
        <w:instrText xml:space="preserve"> SEQ Gráfico \* ARABIC </w:instrText>
      </w:r>
      <w:r>
        <w:fldChar w:fldCharType="separate"/>
      </w:r>
      <w:r>
        <w:rPr>
          <w:noProof/>
        </w:rPr>
        <w:t>3</w:t>
      </w:r>
      <w:r>
        <w:fldChar w:fldCharType="end"/>
      </w:r>
      <w:r>
        <w:t>. Cambios en la distribución de puntajes entre visitas con grupos teóricos balanceados.</w:t>
      </w:r>
    </w:p>
    <w:p w:rsidR="00305DD8" w:rsidRPr="0070230A" w:rsidRDefault="00305DD8" w:rsidP="0032341D">
      <w:pPr>
        <w:spacing w:line="240" w:lineRule="auto"/>
        <w:jc w:val="both"/>
        <w:rPr>
          <w:rFonts w:ascii="Times New Roman" w:hAnsi="Times New Roman" w:cs="Times New Roman"/>
          <w:color w:val="auto"/>
          <w:sz w:val="24"/>
          <w:szCs w:val="24"/>
        </w:rPr>
      </w:pPr>
    </w:p>
    <w:p w:rsidR="005E7631" w:rsidRDefault="005E7631" w:rsidP="005E7631">
      <w:pPr>
        <w:pStyle w:val="Caption"/>
        <w:keepNext/>
      </w:pPr>
      <w:r>
        <w:t xml:space="preserve">Tabla </w:t>
      </w:r>
      <w:r>
        <w:fldChar w:fldCharType="begin"/>
      </w:r>
      <w:r>
        <w:instrText xml:space="preserve"> SEQ Tabla \* ARABIC </w:instrText>
      </w:r>
      <w:r>
        <w:fldChar w:fldCharType="separate"/>
      </w:r>
      <w:r>
        <w:rPr>
          <w:noProof/>
        </w:rPr>
        <w:t>5</w:t>
      </w:r>
      <w:r>
        <w:fldChar w:fldCharType="end"/>
      </w:r>
      <w:r>
        <w:t xml:space="preserve">. </w:t>
      </w:r>
      <w:r w:rsidRPr="005E7631">
        <w:t xml:space="preserve">Análisis Post Hoc tipo </w:t>
      </w:r>
      <w:proofErr w:type="spellStart"/>
      <w:r w:rsidRPr="005E7631">
        <w:t>T</w:t>
      </w:r>
      <w:r w:rsidR="00CC1C0A">
        <w:t>u</w:t>
      </w:r>
      <w:bookmarkStart w:id="0" w:name="_GoBack"/>
      <w:bookmarkEnd w:id="0"/>
      <w:r w:rsidRPr="005E7631">
        <w:t>key</w:t>
      </w:r>
      <w:proofErr w:type="spellEnd"/>
      <w:r w:rsidRPr="005E7631">
        <w:t xml:space="preserve"> HSD, par</w:t>
      </w:r>
      <w:r>
        <w:t>a determinar si existe una diferencia estadísticamente significativa entre los puntajes de cada visita</w:t>
      </w:r>
      <w:r>
        <w:t>, con grupos balanceados.</w:t>
      </w:r>
    </w:p>
    <w:tbl>
      <w:tblPr>
        <w:tblStyle w:val="a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520"/>
        <w:gridCol w:w="1267"/>
        <w:gridCol w:w="967"/>
        <w:gridCol w:w="1048"/>
        <w:gridCol w:w="740"/>
      </w:tblGrid>
      <w:tr w:rsidR="005E7631" w:rsidRPr="0070230A" w:rsidTr="009C45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b/>
                <w:color w:val="auto"/>
                <w:sz w:val="24"/>
                <w:szCs w:val="24"/>
              </w:rPr>
              <w:t>Comparación de pares</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b/>
                <w:color w:val="auto"/>
                <w:sz w:val="24"/>
                <w:szCs w:val="24"/>
              </w:rPr>
              <w:t>Diferencia</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proofErr w:type="spellStart"/>
            <w:r w:rsidRPr="0070230A">
              <w:rPr>
                <w:rFonts w:ascii="Times New Roman" w:eastAsia="Courier New" w:hAnsi="Times New Roman" w:cs="Times New Roman"/>
                <w:b/>
                <w:color w:val="auto"/>
                <w:sz w:val="24"/>
                <w:szCs w:val="24"/>
              </w:rPr>
              <w:t>Lim</w:t>
            </w:r>
            <w:proofErr w:type="spellEnd"/>
            <w:r w:rsidRPr="0070230A">
              <w:rPr>
                <w:rFonts w:ascii="Times New Roman" w:eastAsia="Courier New" w:hAnsi="Times New Roman" w:cs="Times New Roman"/>
                <w:b/>
                <w:color w:val="auto"/>
                <w:sz w:val="24"/>
                <w:szCs w:val="24"/>
              </w:rPr>
              <w:t xml:space="preserve"> </w:t>
            </w:r>
            <w:proofErr w:type="spellStart"/>
            <w:r w:rsidRPr="0070230A">
              <w:rPr>
                <w:rFonts w:ascii="Times New Roman" w:eastAsia="Courier New" w:hAnsi="Times New Roman" w:cs="Times New Roman"/>
                <w:b/>
                <w:color w:val="auto"/>
                <w:sz w:val="24"/>
                <w:szCs w:val="24"/>
              </w:rPr>
              <w:t>inf</w:t>
            </w:r>
            <w:proofErr w:type="spellEnd"/>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proofErr w:type="spellStart"/>
            <w:r w:rsidRPr="0070230A">
              <w:rPr>
                <w:rFonts w:ascii="Times New Roman" w:eastAsia="Courier New" w:hAnsi="Times New Roman" w:cs="Times New Roman"/>
                <w:b/>
                <w:color w:val="auto"/>
                <w:sz w:val="24"/>
                <w:szCs w:val="24"/>
              </w:rPr>
              <w:t>Lim</w:t>
            </w:r>
            <w:proofErr w:type="spellEnd"/>
            <w:r w:rsidRPr="0070230A">
              <w:rPr>
                <w:rFonts w:ascii="Times New Roman" w:eastAsia="Courier New" w:hAnsi="Times New Roman" w:cs="Times New Roman"/>
                <w:b/>
                <w:color w:val="auto"/>
                <w:sz w:val="24"/>
                <w:szCs w:val="24"/>
              </w:rPr>
              <w:t xml:space="preserve"> </w:t>
            </w:r>
            <w:proofErr w:type="spellStart"/>
            <w:r w:rsidRPr="0070230A">
              <w:rPr>
                <w:rFonts w:ascii="Times New Roman" w:eastAsia="Courier New" w:hAnsi="Times New Roman" w:cs="Times New Roman"/>
                <w:b/>
                <w:color w:val="auto"/>
                <w:sz w:val="24"/>
                <w:szCs w:val="24"/>
              </w:rPr>
              <w:t>sup</w:t>
            </w:r>
            <w:proofErr w:type="spellEnd"/>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b/>
                <w:color w:val="auto"/>
                <w:sz w:val="24"/>
                <w:szCs w:val="24"/>
              </w:rPr>
              <w:t xml:space="preserve">P </w:t>
            </w:r>
            <w:proofErr w:type="spellStart"/>
            <w:r w:rsidRPr="0070230A">
              <w:rPr>
                <w:rFonts w:ascii="Times New Roman" w:eastAsia="Courier New" w:hAnsi="Times New Roman" w:cs="Times New Roman"/>
                <w:b/>
                <w:color w:val="auto"/>
                <w:sz w:val="24"/>
                <w:szCs w:val="24"/>
              </w:rPr>
              <w:t>adj</w:t>
            </w:r>
            <w:proofErr w:type="spellEnd"/>
          </w:p>
        </w:tc>
      </w:tr>
      <w:tr w:rsidR="005E7631" w:rsidRPr="0070230A" w:rsidTr="009C4595">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1</w:t>
            </w:r>
            <w:r w:rsidRPr="0070230A">
              <w:rPr>
                <w:rFonts w:ascii="Times New Roman" w:eastAsia="Courier New" w:hAnsi="Times New Roman" w:cs="Times New Roman"/>
                <w:color w:val="auto"/>
                <w:sz w:val="24"/>
                <w:szCs w:val="24"/>
              </w:rPr>
              <w:t xml:space="preserve"> vs 2</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-2.65</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-3.96</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-1.35</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&lt;.01</w:t>
            </w:r>
          </w:p>
        </w:tc>
      </w:tr>
      <w:tr w:rsidR="005E7631" w:rsidRPr="0070230A" w:rsidTr="009C4595">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1</w:t>
            </w:r>
            <w:r w:rsidRPr="0070230A">
              <w:rPr>
                <w:rFonts w:ascii="Times New Roman" w:eastAsia="Courier New" w:hAnsi="Times New Roman" w:cs="Times New Roman"/>
                <w:color w:val="auto"/>
                <w:sz w:val="24"/>
                <w:szCs w:val="24"/>
              </w:rPr>
              <w:t>vs 3</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2.15</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0.85</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3.46</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&lt;.01</w:t>
            </w:r>
          </w:p>
        </w:tc>
      </w:tr>
      <w:tr w:rsidR="005E7631" w:rsidRPr="0070230A" w:rsidTr="009C4595">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1</w:t>
            </w:r>
            <w:r w:rsidRPr="0070230A">
              <w:rPr>
                <w:rFonts w:ascii="Times New Roman" w:eastAsia="Courier New" w:hAnsi="Times New Roman" w:cs="Times New Roman"/>
                <w:color w:val="auto"/>
                <w:sz w:val="24"/>
                <w:szCs w:val="24"/>
              </w:rPr>
              <w:t xml:space="preserve"> vs 4</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7.87</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6.56</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9.1</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&lt;.01</w:t>
            </w:r>
          </w:p>
        </w:tc>
      </w:tr>
      <w:tr w:rsidR="005E7631" w:rsidRPr="0070230A" w:rsidTr="009C4595">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3 vs 2</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4.81</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3.50</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6.12</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&lt;.01</w:t>
            </w:r>
          </w:p>
        </w:tc>
      </w:tr>
      <w:tr w:rsidR="005E7631" w:rsidRPr="0070230A" w:rsidTr="009C4595">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4 vs 2</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10.53</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9.22</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11.83</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&lt;.01</w:t>
            </w:r>
          </w:p>
        </w:tc>
      </w:tr>
      <w:tr w:rsidR="005E7631" w:rsidRPr="0070230A" w:rsidTr="009C4595">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sidRPr="0070230A">
              <w:rPr>
                <w:rFonts w:ascii="Times New Roman" w:eastAsia="Courier New" w:hAnsi="Times New Roman" w:cs="Times New Roman"/>
                <w:color w:val="auto"/>
                <w:sz w:val="24"/>
                <w:szCs w:val="24"/>
              </w:rPr>
              <w:t>4 vs 3</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5.71</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4.40</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7.02</w:t>
            </w:r>
          </w:p>
        </w:tc>
        <w:tc>
          <w:tcPr>
            <w:tcW w:w="0" w:type="auto"/>
            <w:tcBorders>
              <w:bottom w:val="single" w:sz="8" w:space="0" w:color="000000"/>
              <w:right w:val="single" w:sz="8" w:space="0" w:color="000000"/>
            </w:tcBorders>
            <w:tcMar>
              <w:top w:w="100" w:type="dxa"/>
              <w:left w:w="100" w:type="dxa"/>
              <w:bottom w:w="100" w:type="dxa"/>
              <w:right w:w="100" w:type="dxa"/>
            </w:tcMar>
          </w:tcPr>
          <w:p w:rsidR="005E7631" w:rsidRPr="0070230A" w:rsidRDefault="005E7631" w:rsidP="009C4595">
            <w:pPr>
              <w:spacing w:line="240" w:lineRule="auto"/>
              <w:rPr>
                <w:rFonts w:ascii="Times New Roman" w:hAnsi="Times New Roman" w:cs="Times New Roman"/>
                <w:color w:val="auto"/>
                <w:sz w:val="24"/>
                <w:szCs w:val="24"/>
              </w:rPr>
            </w:pPr>
            <w:r>
              <w:rPr>
                <w:rFonts w:ascii="Times New Roman" w:eastAsia="Courier New" w:hAnsi="Times New Roman" w:cs="Times New Roman"/>
                <w:color w:val="auto"/>
                <w:sz w:val="24"/>
                <w:szCs w:val="24"/>
              </w:rPr>
              <w:t>&lt;.01</w:t>
            </w:r>
          </w:p>
        </w:tc>
      </w:tr>
    </w:tbl>
    <w:p w:rsidR="00305DD8" w:rsidRPr="0070230A" w:rsidRDefault="00305DD8" w:rsidP="0032341D">
      <w:pPr>
        <w:spacing w:line="240" w:lineRule="auto"/>
        <w:jc w:val="both"/>
        <w:rPr>
          <w:rFonts w:ascii="Times New Roman" w:hAnsi="Times New Roman" w:cs="Times New Roman"/>
          <w:color w:val="auto"/>
          <w:sz w:val="24"/>
          <w:szCs w:val="24"/>
        </w:rPr>
      </w:pPr>
    </w:p>
    <w:p w:rsidR="005E7631" w:rsidRPr="005E7631" w:rsidRDefault="005E7631" w:rsidP="0032341D">
      <w:pPr>
        <w:spacing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C</w:t>
      </w:r>
      <w:r w:rsidRPr="005E7631">
        <w:rPr>
          <w:rFonts w:ascii="Times New Roman" w:hAnsi="Times New Roman" w:cs="Times New Roman"/>
          <w:b/>
          <w:color w:val="auto"/>
          <w:sz w:val="24"/>
          <w:szCs w:val="24"/>
        </w:rPr>
        <w:t>onclusión</w:t>
      </w:r>
    </w:p>
    <w:p w:rsidR="005E7631"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En conclusión, el diseño del estudio y análisis de datos presenta fallas graves qu</w:t>
      </w:r>
      <w:r w:rsidR="005E7631">
        <w:rPr>
          <w:rFonts w:ascii="Times New Roman" w:hAnsi="Times New Roman" w:cs="Times New Roman"/>
          <w:color w:val="auto"/>
          <w:sz w:val="24"/>
          <w:szCs w:val="24"/>
        </w:rPr>
        <w:t>e pone en entredicho su validez.</w:t>
      </w:r>
    </w:p>
    <w:p w:rsidR="005E7631" w:rsidRDefault="005E7631" w:rsidP="0032341D">
      <w:pPr>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L</w:t>
      </w:r>
      <w:r w:rsidR="00214A7C" w:rsidRPr="0070230A">
        <w:rPr>
          <w:rFonts w:ascii="Times New Roman" w:hAnsi="Times New Roman" w:cs="Times New Roman"/>
          <w:color w:val="auto"/>
          <w:sz w:val="24"/>
          <w:szCs w:val="24"/>
        </w:rPr>
        <w:t xml:space="preserve">a presentación gráfica de los datos es difícil de interpretar y confunde al lector. </w:t>
      </w:r>
    </w:p>
    <w:p w:rsidR="00305DD8" w:rsidRPr="0070230A" w:rsidRDefault="00214A7C" w:rsidP="0032341D">
      <w:pPr>
        <w:spacing w:line="240" w:lineRule="auto"/>
        <w:jc w:val="both"/>
        <w:rPr>
          <w:rFonts w:ascii="Times New Roman" w:hAnsi="Times New Roman" w:cs="Times New Roman"/>
          <w:color w:val="auto"/>
          <w:sz w:val="24"/>
          <w:szCs w:val="24"/>
        </w:rPr>
      </w:pPr>
      <w:r w:rsidRPr="0070230A">
        <w:rPr>
          <w:rFonts w:ascii="Times New Roman" w:hAnsi="Times New Roman" w:cs="Times New Roman"/>
          <w:color w:val="auto"/>
          <w:sz w:val="24"/>
          <w:szCs w:val="24"/>
        </w:rPr>
        <w:t xml:space="preserve">La validez de </w:t>
      </w:r>
      <w:r w:rsidR="005E7631">
        <w:rPr>
          <w:rFonts w:ascii="Times New Roman" w:hAnsi="Times New Roman" w:cs="Times New Roman"/>
          <w:color w:val="auto"/>
          <w:sz w:val="24"/>
          <w:szCs w:val="24"/>
        </w:rPr>
        <w:t>las investigaciones</w:t>
      </w:r>
      <w:r w:rsidRPr="0070230A">
        <w:rPr>
          <w:rFonts w:ascii="Times New Roman" w:hAnsi="Times New Roman" w:cs="Times New Roman"/>
          <w:color w:val="auto"/>
          <w:sz w:val="24"/>
          <w:szCs w:val="24"/>
        </w:rPr>
        <w:t xml:space="preserve"> tiene como base el libre acceso a los datos del investigador para que cualquiera pu</w:t>
      </w:r>
      <w:r w:rsidR="005E7631">
        <w:rPr>
          <w:rFonts w:ascii="Times New Roman" w:hAnsi="Times New Roman" w:cs="Times New Roman"/>
          <w:color w:val="auto"/>
          <w:sz w:val="24"/>
          <w:szCs w:val="24"/>
        </w:rPr>
        <w:t xml:space="preserve">eda revisarlos y re-analizarlos, y así, </w:t>
      </w:r>
      <w:r w:rsidRPr="0070230A">
        <w:rPr>
          <w:rFonts w:ascii="Times New Roman" w:hAnsi="Times New Roman" w:cs="Times New Roman"/>
          <w:color w:val="auto"/>
          <w:sz w:val="24"/>
          <w:szCs w:val="24"/>
        </w:rPr>
        <w:t xml:space="preserve"> poder llegar a las mismas conclusiones. El conflicto de intereses no declarado convierte al estudio, de manera desafortunada, en un infomercial.</w:t>
      </w:r>
    </w:p>
    <w:p w:rsidR="00305DD8" w:rsidRPr="0070230A" w:rsidRDefault="00305DD8" w:rsidP="0032341D">
      <w:pPr>
        <w:spacing w:line="240" w:lineRule="auto"/>
        <w:jc w:val="both"/>
        <w:rPr>
          <w:rFonts w:ascii="Times New Roman" w:hAnsi="Times New Roman" w:cs="Times New Roman"/>
          <w:color w:val="auto"/>
          <w:sz w:val="24"/>
          <w:szCs w:val="24"/>
        </w:rPr>
      </w:pPr>
    </w:p>
    <w:p w:rsidR="00305DD8" w:rsidRPr="0070230A" w:rsidRDefault="00305DD8" w:rsidP="0032341D">
      <w:pPr>
        <w:spacing w:line="240" w:lineRule="auto"/>
        <w:jc w:val="both"/>
        <w:rPr>
          <w:rFonts w:ascii="Times New Roman" w:hAnsi="Times New Roman" w:cs="Times New Roman"/>
          <w:color w:val="auto"/>
          <w:sz w:val="24"/>
          <w:szCs w:val="24"/>
        </w:rPr>
      </w:pPr>
    </w:p>
    <w:p w:rsidR="00305DD8" w:rsidRPr="0070230A" w:rsidRDefault="00305DD8" w:rsidP="0032341D">
      <w:pPr>
        <w:spacing w:line="240" w:lineRule="auto"/>
        <w:jc w:val="both"/>
        <w:rPr>
          <w:rFonts w:ascii="Times New Roman" w:hAnsi="Times New Roman" w:cs="Times New Roman"/>
          <w:color w:val="auto"/>
          <w:sz w:val="24"/>
          <w:szCs w:val="24"/>
        </w:rPr>
      </w:pPr>
    </w:p>
    <w:p w:rsidR="00305DD8" w:rsidRPr="005E7631" w:rsidRDefault="005E7631" w:rsidP="0032341D">
      <w:pPr>
        <w:spacing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 xml:space="preserve">Bibliografía </w:t>
      </w:r>
    </w:p>
    <w:p w:rsidR="00305DD8" w:rsidRPr="0070230A" w:rsidRDefault="00305DD8" w:rsidP="0032341D">
      <w:pPr>
        <w:spacing w:line="240" w:lineRule="auto"/>
        <w:jc w:val="both"/>
        <w:rPr>
          <w:rFonts w:ascii="Times New Roman" w:hAnsi="Times New Roman" w:cs="Times New Roman"/>
          <w:color w:val="auto"/>
          <w:sz w:val="24"/>
          <w:szCs w:val="24"/>
        </w:rPr>
      </w:pPr>
    </w:p>
    <w:p w:rsidR="00305DD8" w:rsidRPr="005E7631" w:rsidRDefault="005E7631" w:rsidP="005E7631">
      <w:pPr>
        <w:pStyle w:val="ListParagraph"/>
        <w:numPr>
          <w:ilvl w:val="0"/>
          <w:numId w:val="1"/>
        </w:numPr>
        <w:spacing w:line="240" w:lineRule="auto"/>
        <w:jc w:val="both"/>
        <w:rPr>
          <w:rFonts w:ascii="Times New Roman" w:hAnsi="Times New Roman" w:cs="Times New Roman"/>
          <w:color w:val="auto"/>
          <w:sz w:val="24"/>
          <w:szCs w:val="24"/>
        </w:rPr>
      </w:pPr>
      <w:r w:rsidRPr="005E7631">
        <w:rPr>
          <w:rFonts w:ascii="Times New Roman" w:hAnsi="Times New Roman" w:cs="Times New Roman"/>
          <w:color w:val="auto"/>
          <w:sz w:val="24"/>
          <w:szCs w:val="24"/>
        </w:rPr>
        <w:t xml:space="preserve">Flota-Cervera LF y cols. </w:t>
      </w:r>
      <w:proofErr w:type="spellStart"/>
      <w:r w:rsidRPr="005E7631">
        <w:rPr>
          <w:rFonts w:ascii="Times New Roman" w:hAnsi="Times New Roman" w:cs="Times New Roman"/>
          <w:color w:val="auto"/>
          <w:sz w:val="24"/>
          <w:szCs w:val="24"/>
        </w:rPr>
        <w:t>Sulodexina</w:t>
      </w:r>
      <w:proofErr w:type="spellEnd"/>
      <w:r w:rsidRPr="005E7631">
        <w:rPr>
          <w:rFonts w:ascii="Times New Roman" w:hAnsi="Times New Roman" w:cs="Times New Roman"/>
          <w:color w:val="auto"/>
          <w:sz w:val="24"/>
          <w:szCs w:val="24"/>
        </w:rPr>
        <w:t xml:space="preserve"> para la enfermedad venosa crónica. </w:t>
      </w:r>
      <w:proofErr w:type="spellStart"/>
      <w:r w:rsidRPr="005E7631">
        <w:rPr>
          <w:rFonts w:ascii="Times New Roman" w:hAnsi="Times New Roman" w:cs="Times New Roman"/>
          <w:color w:val="auto"/>
          <w:sz w:val="24"/>
          <w:szCs w:val="24"/>
        </w:rPr>
        <w:t>Rev</w:t>
      </w:r>
      <w:proofErr w:type="spellEnd"/>
      <w:r w:rsidRPr="005E7631">
        <w:rPr>
          <w:rFonts w:ascii="Times New Roman" w:hAnsi="Times New Roman" w:cs="Times New Roman"/>
          <w:color w:val="auto"/>
          <w:sz w:val="24"/>
          <w:szCs w:val="24"/>
        </w:rPr>
        <w:t xml:space="preserve"> </w:t>
      </w:r>
      <w:proofErr w:type="spellStart"/>
      <w:r w:rsidRPr="005E7631">
        <w:rPr>
          <w:rFonts w:ascii="Times New Roman" w:hAnsi="Times New Roman" w:cs="Times New Roman"/>
          <w:color w:val="auto"/>
          <w:sz w:val="24"/>
          <w:szCs w:val="24"/>
        </w:rPr>
        <w:t>Mex</w:t>
      </w:r>
      <w:proofErr w:type="spellEnd"/>
      <w:r w:rsidRPr="005E7631">
        <w:rPr>
          <w:rFonts w:ascii="Times New Roman" w:hAnsi="Times New Roman" w:cs="Times New Roman"/>
          <w:color w:val="auto"/>
          <w:sz w:val="24"/>
          <w:szCs w:val="24"/>
        </w:rPr>
        <w:t xml:space="preserve"> </w:t>
      </w:r>
      <w:proofErr w:type="spellStart"/>
      <w:r w:rsidRPr="005E7631">
        <w:rPr>
          <w:rFonts w:ascii="Times New Roman" w:hAnsi="Times New Roman" w:cs="Times New Roman"/>
          <w:color w:val="auto"/>
          <w:sz w:val="24"/>
          <w:szCs w:val="24"/>
        </w:rPr>
        <w:t>Angiol</w:t>
      </w:r>
      <w:proofErr w:type="spellEnd"/>
      <w:r w:rsidRPr="005E7631">
        <w:rPr>
          <w:rFonts w:ascii="Times New Roman" w:hAnsi="Times New Roman" w:cs="Times New Roman"/>
          <w:color w:val="auto"/>
          <w:sz w:val="24"/>
          <w:szCs w:val="24"/>
        </w:rPr>
        <w:t xml:space="preserve"> 2104;42(1):28-37</w:t>
      </w:r>
    </w:p>
    <w:p w:rsidR="005E7631" w:rsidRPr="0070230A" w:rsidRDefault="005E7631" w:rsidP="0032341D">
      <w:pPr>
        <w:spacing w:line="240" w:lineRule="auto"/>
        <w:jc w:val="both"/>
        <w:rPr>
          <w:rFonts w:ascii="Times New Roman" w:hAnsi="Times New Roman" w:cs="Times New Roman"/>
          <w:color w:val="auto"/>
          <w:sz w:val="24"/>
          <w:szCs w:val="24"/>
        </w:rPr>
      </w:pPr>
    </w:p>
    <w:p w:rsidR="005E7631" w:rsidRPr="005E7631" w:rsidRDefault="005E7631" w:rsidP="005E7631">
      <w:pPr>
        <w:pStyle w:val="ListParagraph"/>
        <w:numPr>
          <w:ilvl w:val="0"/>
          <w:numId w:val="1"/>
        </w:numPr>
        <w:spacing w:line="240" w:lineRule="auto"/>
        <w:jc w:val="both"/>
        <w:rPr>
          <w:rFonts w:ascii="Times New Roman" w:hAnsi="Times New Roman" w:cs="Times New Roman"/>
          <w:color w:val="auto"/>
          <w:sz w:val="24"/>
          <w:szCs w:val="24"/>
          <w:lang w:val="en-US"/>
        </w:rPr>
      </w:pPr>
      <w:r w:rsidRPr="005E7631">
        <w:rPr>
          <w:rFonts w:ascii="Times New Roman" w:hAnsi="Times New Roman" w:cs="Times New Roman"/>
          <w:color w:val="auto"/>
          <w:sz w:val="24"/>
          <w:szCs w:val="24"/>
          <w:lang w:val="en-US"/>
        </w:rPr>
        <w:t xml:space="preserve">Vazquez MA, </w:t>
      </w:r>
      <w:proofErr w:type="spellStart"/>
      <w:r w:rsidRPr="005E7631">
        <w:rPr>
          <w:rFonts w:ascii="Times New Roman" w:hAnsi="Times New Roman" w:cs="Times New Roman"/>
          <w:color w:val="auto"/>
          <w:sz w:val="24"/>
          <w:szCs w:val="24"/>
          <w:lang w:val="en-US"/>
        </w:rPr>
        <w:t>Munschauer</w:t>
      </w:r>
      <w:proofErr w:type="spellEnd"/>
      <w:r w:rsidRPr="005E7631">
        <w:rPr>
          <w:rFonts w:ascii="Times New Roman" w:hAnsi="Times New Roman" w:cs="Times New Roman"/>
          <w:color w:val="auto"/>
          <w:sz w:val="24"/>
          <w:szCs w:val="24"/>
          <w:lang w:val="en-US"/>
        </w:rPr>
        <w:t xml:space="preserve"> CE, </w:t>
      </w:r>
      <w:r w:rsidRPr="005E7631">
        <w:rPr>
          <w:rFonts w:ascii="Times New Roman" w:hAnsi="Times New Roman" w:cs="Times New Roman"/>
          <w:sz w:val="24"/>
          <w:szCs w:val="24"/>
          <w:lang w:val="en-US"/>
        </w:rPr>
        <w:t>Venous Clinical Severity Score and quality-of-life assessment tools: application to vein practice</w:t>
      </w:r>
      <w:r w:rsidRPr="005E7631">
        <w:rPr>
          <w:rFonts w:ascii="Times New Roman" w:hAnsi="Times New Roman" w:cs="Times New Roman"/>
          <w:sz w:val="24"/>
          <w:szCs w:val="24"/>
          <w:lang w:val="en-US"/>
        </w:rPr>
        <w:t xml:space="preserve">. </w:t>
      </w:r>
      <w:proofErr w:type="spellStart"/>
      <w:r w:rsidRPr="005E7631">
        <w:rPr>
          <w:rFonts w:ascii="Times New Roman" w:hAnsi="Times New Roman" w:cs="Times New Roman"/>
          <w:color w:val="auto"/>
          <w:sz w:val="24"/>
          <w:szCs w:val="24"/>
          <w:lang w:val="en-US"/>
        </w:rPr>
        <w:t>Phlebolymphology</w:t>
      </w:r>
      <w:proofErr w:type="spellEnd"/>
      <w:r w:rsidRPr="005E7631">
        <w:rPr>
          <w:rFonts w:ascii="Times New Roman" w:hAnsi="Times New Roman" w:cs="Times New Roman"/>
          <w:color w:val="auto"/>
          <w:sz w:val="24"/>
          <w:szCs w:val="24"/>
          <w:lang w:val="en-US"/>
        </w:rPr>
        <w:t>, 2010;17(2):108-115</w:t>
      </w:r>
    </w:p>
    <w:p w:rsidR="00305DD8" w:rsidRPr="005E7631" w:rsidRDefault="00305DD8" w:rsidP="0032341D">
      <w:pPr>
        <w:spacing w:line="240" w:lineRule="auto"/>
        <w:jc w:val="both"/>
        <w:rPr>
          <w:rFonts w:ascii="Times New Roman" w:hAnsi="Times New Roman" w:cs="Times New Roman"/>
          <w:color w:val="auto"/>
          <w:sz w:val="24"/>
          <w:szCs w:val="24"/>
          <w:lang w:val="en-US"/>
        </w:rPr>
      </w:pPr>
    </w:p>
    <w:p w:rsidR="00305DD8" w:rsidRPr="005E7631" w:rsidRDefault="005E7631" w:rsidP="005E7631">
      <w:pPr>
        <w:pStyle w:val="ListParagraph"/>
        <w:numPr>
          <w:ilvl w:val="0"/>
          <w:numId w:val="1"/>
        </w:numPr>
        <w:spacing w:line="240" w:lineRule="auto"/>
        <w:jc w:val="both"/>
        <w:rPr>
          <w:rFonts w:ascii="Times New Roman" w:hAnsi="Times New Roman" w:cs="Times New Roman"/>
          <w:color w:val="auto"/>
          <w:sz w:val="24"/>
          <w:szCs w:val="24"/>
          <w:lang w:val="en-US"/>
        </w:rPr>
      </w:pPr>
      <w:proofErr w:type="spellStart"/>
      <w:r w:rsidRPr="005E7631">
        <w:rPr>
          <w:rFonts w:ascii="Times New Roman" w:hAnsi="Times New Roman" w:cs="Times New Roman"/>
          <w:color w:val="auto"/>
          <w:sz w:val="24"/>
          <w:szCs w:val="24"/>
          <w:highlight w:val="white"/>
          <w:lang w:val="en-US"/>
        </w:rPr>
        <w:t>Sackett</w:t>
      </w:r>
      <w:proofErr w:type="spellEnd"/>
      <w:r w:rsidRPr="005E7631">
        <w:rPr>
          <w:rFonts w:ascii="Times New Roman" w:hAnsi="Times New Roman" w:cs="Times New Roman"/>
          <w:color w:val="auto"/>
          <w:sz w:val="24"/>
          <w:szCs w:val="24"/>
          <w:highlight w:val="white"/>
          <w:lang w:val="en-US"/>
        </w:rPr>
        <w:t xml:space="preserve"> DL, </w:t>
      </w:r>
      <w:hyperlink r:id="rId10">
        <w:r w:rsidRPr="005E7631">
          <w:rPr>
            <w:rFonts w:ascii="Times New Roman" w:hAnsi="Times New Roman" w:cs="Times New Roman"/>
            <w:color w:val="auto"/>
            <w:sz w:val="24"/>
            <w:szCs w:val="24"/>
            <w:highlight w:val="white"/>
            <w:lang w:val="en-US"/>
          </w:rPr>
          <w:t xml:space="preserve">How to </w:t>
        </w:r>
      </w:hyperlink>
      <w:hyperlink r:id="rId11">
        <w:r w:rsidRPr="005E7631">
          <w:rPr>
            <w:rFonts w:ascii="Times New Roman" w:hAnsi="Times New Roman" w:cs="Times New Roman"/>
            <w:color w:val="auto"/>
            <w:sz w:val="24"/>
            <w:szCs w:val="24"/>
            <w:highlight w:val="white"/>
            <w:lang w:val="en-US"/>
          </w:rPr>
          <w:t>read</w:t>
        </w:r>
      </w:hyperlink>
      <w:hyperlink r:id="rId12">
        <w:r w:rsidRPr="005E7631">
          <w:rPr>
            <w:rFonts w:ascii="Times New Roman" w:hAnsi="Times New Roman" w:cs="Times New Roman"/>
            <w:color w:val="auto"/>
            <w:sz w:val="24"/>
            <w:szCs w:val="24"/>
            <w:highlight w:val="white"/>
            <w:lang w:val="en-US"/>
          </w:rPr>
          <w:t xml:space="preserve"> </w:t>
        </w:r>
      </w:hyperlink>
      <w:hyperlink r:id="rId13">
        <w:r w:rsidRPr="005E7631">
          <w:rPr>
            <w:rFonts w:ascii="Times New Roman" w:hAnsi="Times New Roman" w:cs="Times New Roman"/>
            <w:color w:val="auto"/>
            <w:sz w:val="24"/>
            <w:szCs w:val="24"/>
            <w:highlight w:val="white"/>
            <w:lang w:val="en-US"/>
          </w:rPr>
          <w:t>clinical</w:t>
        </w:r>
      </w:hyperlink>
      <w:hyperlink r:id="rId14">
        <w:r w:rsidRPr="005E7631">
          <w:rPr>
            <w:rFonts w:ascii="Times New Roman" w:hAnsi="Times New Roman" w:cs="Times New Roman"/>
            <w:color w:val="auto"/>
            <w:sz w:val="24"/>
            <w:szCs w:val="24"/>
            <w:highlight w:val="white"/>
            <w:lang w:val="en-US"/>
          </w:rPr>
          <w:t xml:space="preserve"> </w:t>
        </w:r>
      </w:hyperlink>
      <w:hyperlink r:id="rId15">
        <w:r w:rsidRPr="005E7631">
          <w:rPr>
            <w:rFonts w:ascii="Times New Roman" w:hAnsi="Times New Roman" w:cs="Times New Roman"/>
            <w:color w:val="auto"/>
            <w:sz w:val="24"/>
            <w:szCs w:val="24"/>
            <w:highlight w:val="white"/>
            <w:lang w:val="en-US"/>
          </w:rPr>
          <w:t>journals</w:t>
        </w:r>
      </w:hyperlink>
      <w:hyperlink r:id="rId16">
        <w:r w:rsidRPr="005E7631">
          <w:rPr>
            <w:rFonts w:ascii="Times New Roman" w:hAnsi="Times New Roman" w:cs="Times New Roman"/>
            <w:color w:val="auto"/>
            <w:sz w:val="24"/>
            <w:szCs w:val="24"/>
            <w:highlight w:val="white"/>
            <w:lang w:val="en-US"/>
          </w:rPr>
          <w:t xml:space="preserve">: V: To distinguish </w:t>
        </w:r>
      </w:hyperlink>
      <w:hyperlink r:id="rId17">
        <w:r w:rsidRPr="005E7631">
          <w:rPr>
            <w:rFonts w:ascii="Times New Roman" w:hAnsi="Times New Roman" w:cs="Times New Roman"/>
            <w:color w:val="auto"/>
            <w:sz w:val="24"/>
            <w:szCs w:val="24"/>
            <w:highlight w:val="white"/>
            <w:lang w:val="en-US"/>
          </w:rPr>
          <w:t>useful</w:t>
        </w:r>
      </w:hyperlink>
      <w:hyperlink r:id="rId18">
        <w:r w:rsidRPr="005E7631">
          <w:rPr>
            <w:rFonts w:ascii="Times New Roman" w:hAnsi="Times New Roman" w:cs="Times New Roman"/>
            <w:color w:val="auto"/>
            <w:sz w:val="24"/>
            <w:szCs w:val="24"/>
            <w:highlight w:val="white"/>
            <w:lang w:val="en-US"/>
          </w:rPr>
          <w:t xml:space="preserve"> from useless or even harmful therapy.</w:t>
        </w:r>
      </w:hyperlink>
      <w:r w:rsidRPr="005E7631">
        <w:rPr>
          <w:rFonts w:ascii="Times New Roman" w:hAnsi="Times New Roman" w:cs="Times New Roman"/>
          <w:color w:val="auto"/>
          <w:sz w:val="24"/>
          <w:szCs w:val="24"/>
          <w:lang w:val="en-US"/>
        </w:rPr>
        <w:t xml:space="preserve"> </w:t>
      </w:r>
      <w:r w:rsidR="00214A7C" w:rsidRPr="005E7631">
        <w:rPr>
          <w:rFonts w:ascii="Times New Roman" w:hAnsi="Times New Roman" w:cs="Times New Roman"/>
          <w:color w:val="auto"/>
          <w:sz w:val="24"/>
          <w:szCs w:val="24"/>
          <w:highlight w:val="white"/>
          <w:lang w:val="en-US"/>
        </w:rPr>
        <w:t xml:space="preserve">Can Med </w:t>
      </w:r>
      <w:proofErr w:type="spellStart"/>
      <w:r w:rsidR="00214A7C" w:rsidRPr="005E7631">
        <w:rPr>
          <w:rFonts w:ascii="Times New Roman" w:hAnsi="Times New Roman" w:cs="Times New Roman"/>
          <w:color w:val="auto"/>
          <w:sz w:val="24"/>
          <w:szCs w:val="24"/>
          <w:highlight w:val="white"/>
          <w:lang w:val="en-US"/>
        </w:rPr>
        <w:t>Assoc</w:t>
      </w:r>
      <w:proofErr w:type="spellEnd"/>
      <w:r w:rsidR="00214A7C" w:rsidRPr="005E7631">
        <w:rPr>
          <w:rFonts w:ascii="Times New Roman" w:hAnsi="Times New Roman" w:cs="Times New Roman"/>
          <w:color w:val="auto"/>
          <w:sz w:val="24"/>
          <w:szCs w:val="24"/>
          <w:highlight w:val="white"/>
          <w:lang w:val="en-US"/>
        </w:rPr>
        <w:t xml:space="preserve"> J. 1981 May 1</w:t>
      </w:r>
      <w:proofErr w:type="gramStart"/>
      <w:r w:rsidR="00214A7C" w:rsidRPr="005E7631">
        <w:rPr>
          <w:rFonts w:ascii="Times New Roman" w:hAnsi="Times New Roman" w:cs="Times New Roman"/>
          <w:color w:val="auto"/>
          <w:sz w:val="24"/>
          <w:szCs w:val="24"/>
          <w:highlight w:val="white"/>
          <w:lang w:val="en-US"/>
        </w:rPr>
        <w:t>;124</w:t>
      </w:r>
      <w:proofErr w:type="gramEnd"/>
      <w:r w:rsidR="00214A7C" w:rsidRPr="005E7631">
        <w:rPr>
          <w:rFonts w:ascii="Times New Roman" w:hAnsi="Times New Roman" w:cs="Times New Roman"/>
          <w:color w:val="auto"/>
          <w:sz w:val="24"/>
          <w:szCs w:val="24"/>
          <w:highlight w:val="white"/>
          <w:lang w:val="en-US"/>
        </w:rPr>
        <w:t xml:space="preserve">(9):1156-62. </w:t>
      </w:r>
    </w:p>
    <w:sectPr w:rsidR="00305DD8" w:rsidRPr="005E76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77DAF"/>
    <w:multiLevelType w:val="hybridMultilevel"/>
    <w:tmpl w:val="3B9EAB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05DD8"/>
    <w:rsid w:val="001A1D2F"/>
    <w:rsid w:val="00214A7C"/>
    <w:rsid w:val="00284FC8"/>
    <w:rsid w:val="00305DD8"/>
    <w:rsid w:val="0032341D"/>
    <w:rsid w:val="005E7631"/>
    <w:rsid w:val="0070230A"/>
    <w:rsid w:val="007E00BB"/>
    <w:rsid w:val="00CC1C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7E00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0BB"/>
    <w:rPr>
      <w:rFonts w:ascii="Tahoma" w:hAnsi="Tahoma" w:cs="Tahoma"/>
      <w:sz w:val="16"/>
      <w:szCs w:val="16"/>
    </w:rPr>
  </w:style>
  <w:style w:type="paragraph" w:styleId="Caption">
    <w:name w:val="caption"/>
    <w:basedOn w:val="Normal"/>
    <w:next w:val="Normal"/>
    <w:uiPriority w:val="35"/>
    <w:unhideWhenUsed/>
    <w:qFormat/>
    <w:rsid w:val="00284FC8"/>
    <w:pPr>
      <w:spacing w:after="200" w:line="240" w:lineRule="auto"/>
    </w:pPr>
    <w:rPr>
      <w:b/>
      <w:bCs/>
      <w:color w:val="4F81BD" w:themeColor="accent1"/>
      <w:sz w:val="18"/>
      <w:szCs w:val="18"/>
    </w:rPr>
  </w:style>
  <w:style w:type="paragraph" w:styleId="ListParagraph">
    <w:name w:val="List Paragraph"/>
    <w:basedOn w:val="Normal"/>
    <w:uiPriority w:val="34"/>
    <w:qFormat/>
    <w:rsid w:val="005E7631"/>
    <w:pPr>
      <w:ind w:left="720"/>
      <w:contextualSpacing/>
    </w:pPr>
  </w:style>
  <w:style w:type="character" w:styleId="IntenseEmphasis">
    <w:name w:val="Intense Emphasis"/>
    <w:basedOn w:val="DefaultParagraphFont"/>
    <w:uiPriority w:val="21"/>
    <w:qFormat/>
    <w:rsid w:val="005E7631"/>
    <w:rPr>
      <w:b/>
      <w:bCs/>
      <w:i/>
      <w:iCs/>
      <w:color w:val="4F81BD" w:themeColor="accent1"/>
    </w:rPr>
  </w:style>
  <w:style w:type="character" w:styleId="Hyperlink">
    <w:name w:val="Hyperlink"/>
    <w:basedOn w:val="DefaultParagraphFont"/>
    <w:uiPriority w:val="99"/>
    <w:unhideWhenUsed/>
    <w:rsid w:val="00CC1C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7E00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0BB"/>
    <w:rPr>
      <w:rFonts w:ascii="Tahoma" w:hAnsi="Tahoma" w:cs="Tahoma"/>
      <w:sz w:val="16"/>
      <w:szCs w:val="16"/>
    </w:rPr>
  </w:style>
  <w:style w:type="paragraph" w:styleId="Caption">
    <w:name w:val="caption"/>
    <w:basedOn w:val="Normal"/>
    <w:next w:val="Normal"/>
    <w:uiPriority w:val="35"/>
    <w:unhideWhenUsed/>
    <w:qFormat/>
    <w:rsid w:val="00284FC8"/>
    <w:pPr>
      <w:spacing w:after="200" w:line="240" w:lineRule="auto"/>
    </w:pPr>
    <w:rPr>
      <w:b/>
      <w:bCs/>
      <w:color w:val="4F81BD" w:themeColor="accent1"/>
      <w:sz w:val="18"/>
      <w:szCs w:val="18"/>
    </w:rPr>
  </w:style>
  <w:style w:type="paragraph" w:styleId="ListParagraph">
    <w:name w:val="List Paragraph"/>
    <w:basedOn w:val="Normal"/>
    <w:uiPriority w:val="34"/>
    <w:qFormat/>
    <w:rsid w:val="005E7631"/>
    <w:pPr>
      <w:ind w:left="720"/>
      <w:contextualSpacing/>
    </w:pPr>
  </w:style>
  <w:style w:type="character" w:styleId="IntenseEmphasis">
    <w:name w:val="Intense Emphasis"/>
    <w:basedOn w:val="DefaultParagraphFont"/>
    <w:uiPriority w:val="21"/>
    <w:qFormat/>
    <w:rsid w:val="005E7631"/>
    <w:rPr>
      <w:b/>
      <w:bCs/>
      <w:i/>
      <w:iCs/>
      <w:color w:val="4F81BD" w:themeColor="accent1"/>
    </w:rPr>
  </w:style>
  <w:style w:type="character" w:styleId="Hyperlink">
    <w:name w:val="Hyperlink"/>
    <w:basedOn w:val="DefaultParagraphFont"/>
    <w:uiPriority w:val="99"/>
    <w:unhideWhenUsed/>
    <w:rsid w:val="00CC1C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cbi.nlm.nih.gov/pubmed/7016293" TargetMode="External"/><Relationship Id="rId18" Type="http://schemas.openxmlformats.org/officeDocument/2006/relationships/hyperlink" Target="http://www.ncbi.nlm.nih.gov/pubmed/7016293"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ncbi.nlm.nih.gov/pubmed/7016293" TargetMode="External"/><Relationship Id="rId17" Type="http://schemas.openxmlformats.org/officeDocument/2006/relationships/hyperlink" Target="http://www.ncbi.nlm.nih.gov/pubmed/7016293" TargetMode="External"/><Relationship Id="rId2" Type="http://schemas.openxmlformats.org/officeDocument/2006/relationships/styles" Target="styles.xml"/><Relationship Id="rId16" Type="http://schemas.openxmlformats.org/officeDocument/2006/relationships/hyperlink" Target="http://www.ncbi.nlm.nih.gov/pubmed/70162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garciduenas/Sulodexina" TargetMode="External"/><Relationship Id="rId11" Type="http://schemas.openxmlformats.org/officeDocument/2006/relationships/hyperlink" Target="http://www.ncbi.nlm.nih.gov/pubmed/7016293" TargetMode="External"/><Relationship Id="rId5" Type="http://schemas.openxmlformats.org/officeDocument/2006/relationships/webSettings" Target="webSettings.xml"/><Relationship Id="rId15" Type="http://schemas.openxmlformats.org/officeDocument/2006/relationships/hyperlink" Target="http://www.ncbi.nlm.nih.gov/pubmed/7016293" TargetMode="External"/><Relationship Id="rId10" Type="http://schemas.openxmlformats.org/officeDocument/2006/relationships/hyperlink" Target="http://www.ncbi.nlm.nih.gov/pubmed/701629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ncbi.nlm.nih.gov/pubmed/7016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6</Pages>
  <Words>1592</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Garcidueñas</dc:creator>
  <cp:lastModifiedBy>Carlos Garcidueñas</cp:lastModifiedBy>
  <cp:revision>4</cp:revision>
  <dcterms:created xsi:type="dcterms:W3CDTF">2015-06-12T00:37:00Z</dcterms:created>
  <dcterms:modified xsi:type="dcterms:W3CDTF">2015-06-13T00:31:00Z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