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65d"/>
          <w:sz w:val="48"/>
          <w:szCs w:val="48"/>
        </w:rPr>
        <w:t xml:space="preserve">AI ORGANIZATIONAL MODELS</w:t>
      </w:r>
    </w:p>
    <w:p>
      <w:pPr>
        <w:spacing w:after="100"/>
        <w:jc w:val="center"/>
      </w:pPr>
      <w:r>
        <w:rPr>
          <w:rFonts w:ascii="Arial" w:cs="Arial" w:eastAsia="Arial" w:hAnsi="Arial"/>
          <w:sz w:val="24"/>
          <w:szCs w:val="24"/>
        </w:rPr>
        <w:t xml:space="preserve">Comprehensive Analysis of Corporate AI Labs, Centers of Excellence,</w:t>
      </w:r>
    </w:p>
    <w:p>
      <w:pPr>
        <w:spacing w:after="400"/>
        <w:jc w:val="center"/>
      </w:pPr>
      <w:r>
        <w:rPr>
          <w:rFonts w:ascii="Arial" w:cs="Arial" w:eastAsia="Arial" w:hAnsi="Arial"/>
          <w:sz w:val="24"/>
          <w:szCs w:val="24"/>
        </w:rPr>
        <w:t xml:space="preserve">and Product/Venture Labs</w:t>
      </w:r>
    </w:p>
    <w:p>
      <w:pPr>
        <w:spacing w:after="600"/>
        <w:jc w:val="center"/>
      </w:pPr>
      <w:r>
        <w:rPr>
          <w:rFonts w:ascii="Arial" w:cs="Arial" w:eastAsia="Arial" w:hAnsi="Arial"/>
          <w:color w:val="666666"/>
          <w:sz w:val="22"/>
          <w:szCs w:val="22"/>
        </w:rPr>
        <w:t xml:space="preserve">Version 4.0 - January 2026</w:t>
      </w:r>
    </w:p>
    <w:p>
      <w:pPr>
        <w:pStyle w:val="Heading1"/>
        <w:spacing w:before="400" w:after="200"/>
      </w:pPr>
      <w:r>
        <w:rPr>
          <w:rFonts w:ascii="Arial" w:cs="Arial" w:eastAsia="Arial" w:hAnsi="Arial"/>
          <w:b/>
          <w:bCs/>
          <w:color w:val="1a365d"/>
          <w:sz w:val="32"/>
          <w:szCs w:val="32"/>
        </w:rPr>
        <w:t xml:space="preserve">Executive Summary</w:t>
      </w:r>
    </w:p>
    <w:p>
      <w:pPr>
        <w:spacing w:after="120"/>
      </w:pPr>
      <w:r>
        <w:rPr>
          <w:rFonts w:ascii="Arial" w:cs="Arial" w:eastAsia="Arial" w:hAnsi="Arial"/>
          <w:sz w:val="22"/>
          <w:szCs w:val="22"/>
        </w:rPr>
        <w:t xml:space="preserve">This comprehensive report catalogs 200+ organizational responses to AI across global enterprises, with special emphasis on Product/Venture Labs - the emerging category of internal teams focused on commercializing AI capabilities into new products and businesses.</w:t>
      </w:r>
    </w:p>
    <w:p>
      <w:pPr>
        <w:spacing w:after="120"/>
      </w:pPr>
      <w:r>
        <w:rPr>
          <w:rFonts w:ascii="Arial" w:cs="Arial" w:eastAsia="Arial" w:hAnsi="Arial"/>
          <w:sz w:val="22"/>
          <w:szCs w:val="22"/>
        </w:rPr>
        <w:t xml:space="preserve">Key findings from research across 40+ podcast sources, substacks, and industry publications:</w:t>
      </w:r>
    </w:p>
    <w:p>
      <w:pPr>
        <w:pStyle w:val="ListParagraph"/>
        <w:numPr>
          <w:ilvl w:val="0"/>
          <w:numId w:val="2"/>
        </w:numPr>
      </w:pPr>
      <w:r>
        <w:rPr>
          <w:rFonts w:ascii="Arial" w:cs="Arial" w:eastAsia="Arial" w:hAnsi="Arial"/>
          <w:sz w:val="22"/>
          <w:szCs w:val="22"/>
        </w:rPr>
        <w:t xml:space="preserve">56% of companies plan AI-driven ventures in next 5 years (McKinsey 2025)</w:t>
      </w:r>
    </w:p>
    <w:p>
      <w:pPr>
        <w:pStyle w:val="ListParagraph"/>
        <w:numPr>
          <w:ilvl w:val="0"/>
          <w:numId w:val="2"/>
        </w:numPr>
      </w:pPr>
      <w:r>
        <w:rPr>
          <w:rFonts w:ascii="Arial" w:cs="Arial" w:eastAsia="Arial" w:hAnsi="Arial"/>
          <w:sz w:val="22"/>
          <w:szCs w:val="22"/>
        </w:rPr>
        <w:t xml:space="preserve">89% of Fortune 500 have dedicated AI investment arms</w:t>
      </w:r>
    </w:p>
    <w:p>
      <w:pPr>
        <w:pStyle w:val="ListParagraph"/>
        <w:numPr>
          <w:ilvl w:val="0"/>
          <w:numId w:val="2"/>
        </w:numPr>
      </w:pPr>
      <w:r>
        <w:rPr>
          <w:rFonts w:ascii="Arial" w:cs="Arial" w:eastAsia="Arial" w:hAnsi="Arial"/>
          <w:sz w:val="22"/>
          <w:szCs w:val="22"/>
        </w:rPr>
        <w:t xml:space="preserve">Product/Venture Labs represent fastest-growing organizational model</w:t>
      </w:r>
    </w:p>
    <w:p>
      <w:pPr>
        <w:pStyle w:val="ListParagraph"/>
        <w:numPr>
          <w:ilvl w:val="0"/>
          <w:numId w:val="2"/>
        </w:numPr>
      </w:pPr>
      <w:r>
        <w:rPr>
          <w:rFonts w:ascii="Arial" w:cs="Arial" w:eastAsia="Arial" w:hAnsi="Arial"/>
          <w:sz w:val="22"/>
          <w:szCs w:val="22"/>
        </w:rPr>
        <w:t xml:space="preserve">Major AI lab spinoffs valued at $75B+ combined (SSI, Thinking Machines, World Labs, etc.)</w:t>
      </w:r>
    </w:p>
    <w:p>
      <w:r>
        <w:br w:type="page"/>
      </w:r>
    </w:p>
    <w:p>
      <w:pPr>
        <w:pStyle w:val="Heading1"/>
        <w:spacing w:before="400" w:after="200"/>
      </w:pPr>
      <w:r>
        <w:rPr>
          <w:rFonts w:ascii="Arial" w:cs="Arial" w:eastAsia="Arial" w:hAnsi="Arial"/>
          <w:b/>
          <w:bCs/>
          <w:color w:val="1a365d"/>
          <w:sz w:val="32"/>
          <w:szCs w:val="32"/>
        </w:rPr>
        <w:t xml:space="preserve">Part I: AI Organizational Model Taxonomy</w:t>
      </w:r>
    </w:p>
    <w:p>
      <w:pPr>
        <w:pStyle w:val="Heading2"/>
        <w:spacing w:before="300" w:after="150"/>
      </w:pPr>
      <w:r>
        <w:rPr>
          <w:rFonts w:ascii="Arial" w:cs="Arial" w:eastAsia="Arial" w:hAnsi="Arial"/>
          <w:b/>
          <w:bCs/>
          <w:color w:val="2c5282"/>
          <w:sz w:val="26"/>
          <w:szCs w:val="26"/>
        </w:rPr>
        <w:t xml:space="preserve">1. Research Lab</w:t>
      </w:r>
    </w:p>
    <w:p>
      <w:pPr>
        <w:spacing w:after="120"/>
      </w:pPr>
      <w:r>
        <w:rPr>
          <w:rFonts w:ascii="Arial" w:cs="Arial" w:eastAsia="Arial" w:hAnsi="Arial"/>
          <w:sz w:val="22"/>
          <w:szCs w:val="22"/>
        </w:rPr>
        <w:t xml:space="preserve">Mission: Fundamental research, publications, scientific breakthroughs. Time Horizon: 3-10 years. Examples: Google DeepMind, Meta FAIR, Microsoft Research, IBM Research.</w:t>
      </w:r>
    </w:p>
    <w:p>
      <w:pPr>
        <w:pStyle w:val="Heading2"/>
        <w:spacing w:before="300" w:after="150"/>
      </w:pPr>
      <w:r>
        <w:rPr>
          <w:rFonts w:ascii="Arial" w:cs="Arial" w:eastAsia="Arial" w:hAnsi="Arial"/>
          <w:b/>
          <w:bCs/>
          <w:color w:val="2c5282"/>
          <w:sz w:val="26"/>
          <w:szCs w:val="26"/>
        </w:rPr>
        <w:t xml:space="preserve">2. Center of Excellence (CoE)</w:t>
      </w:r>
    </w:p>
    <w:p>
      <w:pPr>
        <w:spacing w:after="120"/>
      </w:pPr>
      <w:r>
        <w:rPr>
          <w:rFonts w:ascii="Arial" w:cs="Arial" w:eastAsia="Arial" w:hAnsi="Arial"/>
          <w:sz w:val="22"/>
          <w:szCs w:val="22"/>
        </w:rPr>
        <w:t xml:space="preserve">Mission: Governance, standards, best practices, internal consulting. Time Horizon: 6-24 months. Examples: JPMorgan AI CoE, Walmart AI CoE, enterprise IT-led initiatives.</w:t>
      </w:r>
    </w:p>
    <w:p>
      <w:pPr>
        <w:pStyle w:val="Heading2"/>
        <w:spacing w:before="300" w:after="150"/>
      </w:pPr>
      <w:r>
        <w:rPr>
          <w:rFonts w:ascii="Arial" w:cs="Arial" w:eastAsia="Arial" w:hAnsi="Arial"/>
          <w:b/>
          <w:bCs/>
          <w:color w:val="2c5282"/>
          <w:sz w:val="26"/>
          <w:szCs w:val="26"/>
        </w:rPr>
        <w:t xml:space="preserve">3. Embedded Teams</w:t>
      </w:r>
    </w:p>
    <w:p>
      <w:pPr>
        <w:spacing w:after="120"/>
      </w:pPr>
      <w:r>
        <w:rPr>
          <w:rFonts w:ascii="Arial" w:cs="Arial" w:eastAsia="Arial" w:hAnsi="Arial"/>
          <w:sz w:val="22"/>
          <w:szCs w:val="22"/>
        </w:rPr>
        <w:t xml:space="preserve">Mission: AI integrated into business units, product-specific. Time Horizon: Quarterly. Examples: Tesla AI, Stripe AI, business unit data science teams.</w:t>
      </w:r>
    </w:p>
    <w:p>
      <w:pPr>
        <w:pStyle w:val="Heading2"/>
        <w:spacing w:before="300" w:after="150"/>
      </w:pPr>
      <w:r>
        <w:rPr>
          <w:rFonts w:ascii="Arial" w:cs="Arial" w:eastAsia="Arial" w:hAnsi="Arial"/>
          <w:b/>
          <w:bCs/>
          <w:color w:val="2c5282"/>
          <w:sz w:val="26"/>
          <w:szCs w:val="26"/>
        </w:rPr>
        <w:t xml:space="preserve">4. Hybrid / Hub-and-Spoke</w:t>
      </w:r>
    </w:p>
    <w:p>
      <w:pPr>
        <w:spacing w:after="120"/>
      </w:pPr>
      <w:r>
        <w:rPr>
          <w:rFonts w:ascii="Arial" w:cs="Arial" w:eastAsia="Arial" w:hAnsi="Arial"/>
          <w:sz w:val="22"/>
          <w:szCs w:val="22"/>
        </w:rPr>
        <w:t xml:space="preserve">Mission: Central standards + distributed execution. Time Horizon: Mixed. Examples: Large enterprises with central AI strategy and BU implementation.</w:t>
      </w:r>
    </w:p>
    <w:p>
      <w:pPr>
        <w:pStyle w:val="Heading2"/>
        <w:spacing w:before="300" w:after="150"/>
      </w:pPr>
      <w:r>
        <w:rPr>
          <w:rFonts w:ascii="Arial" w:cs="Arial" w:eastAsia="Arial" w:hAnsi="Arial"/>
          <w:b/>
          <w:bCs/>
          <w:color w:val="2c5282"/>
          <w:sz w:val="26"/>
          <w:szCs w:val="26"/>
        </w:rPr>
        <w:t xml:space="preserve">5. Product/Venture Lab (NEW - Primary Focus)</w:t>
      </w:r>
    </w:p>
    <w:p>
      <w:pPr>
        <w:spacing w:after="120"/>
      </w:pPr>
      <w:r>
        <w:rPr>
          <w:rFonts w:ascii="Arial" w:cs="Arial" w:eastAsia="Arial" w:hAnsi="Arial"/>
          <w:sz w:val="22"/>
          <w:szCs w:val="22"/>
        </w:rPr>
        <w:t xml:space="preserve">Mission: Commercialize AI capabilities into new products, businesses, or spin-offs. Time Horizon: 6-36 months to product, potential for independent company.</w:t>
      </w:r>
    </w:p>
    <w:p>
      <w:pPr>
        <w:spacing w:after="120"/>
      </w:pPr>
      <w:r>
        <w:rPr>
          <w:rFonts w:ascii="Arial" w:cs="Arial" w:eastAsia="Arial" w:hAnsi="Arial"/>
          <w:sz w:val="22"/>
          <w:szCs w:val="22"/>
        </w:rPr>
        <w:t xml:space="preserve">Three Sub-Types:</w:t>
      </w:r>
    </w:p>
    <w:p>
      <w:pPr>
        <w:pStyle w:val="ListParagraph"/>
        <w:numPr>
          <w:ilvl w:val="0"/>
          <w:numId w:val="2"/>
        </w:numPr>
      </w:pPr>
      <w:r>
        <w:rPr>
          <w:rFonts w:ascii="Arial" w:cs="Arial" w:eastAsia="Arial" w:hAnsi="Arial"/>
          <w:sz w:val="22"/>
          <w:szCs w:val="22"/>
        </w:rPr>
        <w:t xml:space="preserve">Internal Incubator: Products absorbed into parent (Anthropic Labs → Claude Code)</w:t>
      </w:r>
    </w:p>
    <w:p>
      <w:pPr>
        <w:pStyle w:val="ListParagraph"/>
        <w:numPr>
          <w:ilvl w:val="0"/>
          <w:numId w:val="2"/>
        </w:numPr>
      </w:pPr>
      <w:r>
        <w:rPr>
          <w:rFonts w:ascii="Arial" w:cs="Arial" w:eastAsia="Arial" w:hAnsi="Arial"/>
          <w:sz w:val="22"/>
          <w:szCs w:val="22"/>
        </w:rPr>
        <w:t xml:space="preserve">Venture Builder/Spin-off Factory: Creates independent companies (Google X → Waymo, Isomorphic Labs)</w:t>
      </w:r>
    </w:p>
    <w:p>
      <w:pPr>
        <w:pStyle w:val="ListParagraph"/>
        <w:numPr>
          <w:ilvl w:val="0"/>
          <w:numId w:val="2"/>
        </w:numPr>
      </w:pPr>
      <w:r>
        <w:rPr>
          <w:rFonts w:ascii="Arial" w:cs="Arial" w:eastAsia="Arial" w:hAnsi="Arial"/>
          <w:sz w:val="22"/>
          <w:szCs w:val="22"/>
        </w:rPr>
        <w:t xml:space="preserve">Platform-to-Product: Internal capability licensed externally (BCG X, McKinsey QuantumBlack)</w:t>
      </w:r>
    </w:p>
    <w:p>
      <w:r>
        <w:br w:type="page"/>
      </w:r>
    </w:p>
    <w:p>
      <w:pPr>
        <w:pStyle w:val="Heading1"/>
        <w:spacing w:before="400" w:after="200"/>
      </w:pPr>
      <w:r>
        <w:rPr>
          <w:rFonts w:ascii="Arial" w:cs="Arial" w:eastAsia="Arial" w:hAnsi="Arial"/>
          <w:b/>
          <w:bCs/>
          <w:color w:val="1a365d"/>
          <w:sz w:val="32"/>
          <w:szCs w:val="32"/>
        </w:rPr>
        <w:t xml:space="preserve">Part II: Product/Venture Labs - Comprehensive Database</w:t>
      </w:r>
    </w:p>
    <w:p>
      <w:pPr>
        <w:spacing w:after="120"/>
      </w:pPr>
      <w:r>
        <w:rPr>
          <w:rFonts w:ascii="Arial" w:cs="Arial" w:eastAsia="Arial" w:hAnsi="Arial"/>
          <w:sz w:val="22"/>
          <w:szCs w:val="22"/>
        </w:rPr>
        <w:t xml:space="preserve">This section catalogs 48 Product/Venture Labs identified through research across Cheeky Pint, No Priors, BG2, Stratechery, Not Boring, Latent Space, Cognitive Revolution, Dwarkesh, Conversations with Tyler, One Useful Thing, The Generalist, Invest Like the Best, Asianometry, Construction Physics, and Acquired podcasts/substacks.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00"/>
        <w:gridCol w:w="1800"/>
        <w:gridCol w:w="2000"/>
        <w:gridCol w:w="17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Lab/Team Name</w:t>
            </w:r>
          </w:p>
        </w:tc>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Leaders</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Products/Spinoffs</w:t>
            </w:r>
          </w:p>
        </w:tc>
        <w:tc>
          <w:tcPr>
            <w:tcW w:type="dxa" w:w="1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Business Model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Mike Krieger (ex-Instagram), Ben Mann, Ami Vora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($1B in 6 months), MCP (100M downloads), Cowork, Skills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frontier prototyping to enterprise products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Google/Alphabet</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Isomorphic Labs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Demis Hassabis (dual CEO with DeepMind)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AlphaFold drug discovery, internal oncology/immunology pipeline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$600M funding, $3B pharma partnerships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Google/Alphabet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X (X Development)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Astro Teller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 Verily, Wing, Loon, Chronicle, Heritable Agriculture (2025)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Factory - moonshot projects spin out when validated</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Google/Alphabet</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Area 120 (scaled back)</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Byteboard (spun out), Checks, Aloud (YouTube dubbing)</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AI-first projects, some integrated, some spun out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CoreAI - Platform and Tools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Jay Parikh (EVP)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AI Foundry, Copilot Studio, Azure AI Services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 - internal capabilities commercialized via Azure</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Co-Innovation Labs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2020s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AI solutions for Fortune 500</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- 1-week sprints with partners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 Superintelligence Team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Mustafa Suleyman (CEO Microsoft AI), Karen Simonyan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Bing AI, Copilot, next-gen models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building superintelligence capabilities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Lab126</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Yesh Dattatreya (agentic AI)</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Kindle, Echo, Fire TV, Alexa, agentic robotics (2025)</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consumer hardware + AI integration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AGI SF Lab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Peter DeSantis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 LLMs, Trainium chips, AGI research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AGI-focused research commercialized via AWS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Superintelligence Labs (MSL)</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Alexandr Wang (TBD Lab), Nat Friedman (Products), Rob Fergus (FAIR)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models, Meta AI assistant, Behemoth (in dev)</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- 4-team structure (TBD Lab, FAIR, Products, Infra)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Research / Foundation Models Team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Subramanya (under Craig Federighi)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Intelligence, on-device models, server models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privacy-focused, device-integrated AI</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NVentures + Inception Program</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Sid Siddeek</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Portfolio: OpenAI, xAI, Anthropic, CoreWeave, etc.</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- 67 deals in 2025, strategic ecosystem investments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Grove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 Altman oversight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Pre-company talent incubator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- 5-week program, can spin out or stay internal</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Startup Fund + Converge</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Hathaway</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Harvey, Cursor, Figure AI ($39B), Descript, Ambience Healthcare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$175M fund + accelerator for AI startups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Thinking Machines Lab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Thinking Machines Lab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 Murati (ex-OpenAI CTO), Barret Zoph, Lilian Weng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Tinker (LLM fine-tuning API)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$2B seed at $12B valuation</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Superintelligence Inc (SSI)</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SSI</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Ilya Sutskever (ex-OpenAI Chief Scientist)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yet - pure superintelligence research</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$30B valuation, no products until superintelligence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AMI Labs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AMI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Yann LeCun (leaving Meta), Alex LeBrun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models, physics understanding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targeting $3.5B valuation</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Labs</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Labs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Fei-Fei Li, Justin Johnson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Marble (3D world model), Chisel (3D editor)</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$230M at $1B valuation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Latent Labs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Latent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Simon Kohl (ex-DeepMind AlphaFold2)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protein design platform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$50M funding</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AI</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AI</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Ex-DeepMind researchers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 dev automation</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$2B raised, $8B valuation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Eureka Labs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Eureka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Andrej Karpathy (ex-OpenAI, Tesla)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 Education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Builder/Spin-off - early stage</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Fund</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Fund</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2018</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Andrew Ng</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35+ companies: Gaia Dynamics, SkyFire AI, Profitmind</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$370M+, co-founding from day zero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Kleiner Perkins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 Incubation Program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Joubin Mirzadegan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Glean ($7B), Roadrunner, Windsurf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pairs operating partners with concepts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Madrona Venture Group</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Madrona Venture Labs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Steve Singh, Michael Gulmann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Otto, Magnify, Strike Graph, OutboundAI</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EIRs work through stage-gate validation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Allen Institute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AI2 Incubator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Jacob Colker, Yifan Zhang, Oren Etzioni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companies, 24% acquired (Apple, DocuSign, Baidu)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$80M fund, up to $600K per startup</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Hive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Hive</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2012</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44 startups, 2 unicorns, 15 exits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co-creation with GE, Dell, eBay, McKesson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Convergent Research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Focused Research Organizations (FROs)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Adam Marblestone, Sam Rodriques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E11 Bio, Cultivarium, 10 FROs total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$30-50M per FRO, 5-7 year fixed duration</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BCG</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X</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 custom GPTs, venture building services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 - AI contributed 20% of $13.5B revenue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McKinsey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QuantumBlack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2015 (acquired)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platform, Lilli, Gen AI Labs (GAIL), Agents-at-Scale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 - 5,000 AI experts, proprietary tools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Accenture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Labs + 25 GenAI Studios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industry-specific agentic AI tools, Anthropic Business Group</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 - $3B global AI investment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Deloitte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Institute + GenAI Incubator Network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client projects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 - 8 global incubator locations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IBM</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watsonx AI Labs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6-12 month co-creation sprints, Seek AI acquisition</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$500M Enterprise AI Venture Fund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 Eli Lilly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NVIDIA-Lilly AI Co-Innovation Lab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Joint leadership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World's largest pharma AI factory (1,016 Blackwell GPUs)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$1B joint investment over 5 years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Sanofi</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Research Factory</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Paul Hudson (CEO)</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CodonBERT (mRNA LLM), 7 novel drug targets, plai app</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partnerships with OpenAI, Formation Bio, Owkin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Roche/Genentech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gRED Computational Sciences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Aviv Regev, John Marioni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 in a Loop platform, Prescient Design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NVIDIA partnership, $12B Recursion deal</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Novo Nordisk</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AI + Novo Holdings Ventures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Lotte Bjerre Knudsen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Gefion Supercomputer, Valo Health collab ($4.6B potential)</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NVIDIA/Microsoft partnerships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Flagship Pioneering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Expedition Medicines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Generative chemistry drug discovery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$50M Flagship, Pfizer partnership</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Adobe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Adobe Incubator</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Employee-led teams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Firefly Boards, Brand Concierge, Project Graph, Podcast Enhance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internal startups → Creative Cloud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Samsung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C-Lab Inside/Outside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912 startups (Edint, GhostPass), 506 outside, 406 inside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Venture Builder - spin-offs with Samsung support</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Bosch</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Bosch Business Innovations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 restructure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Axel Deniz</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Carbon capture, healthcare, software-defined manufacturing</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- 2.5B euros AI investment, 20 startups in 4 years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Porsche Digital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Sensigo, Daato (ESG), MyEV, Stellar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UP.Labs partnership (6 new companies by 2025)</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Procter &amp; Gamble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P&amp;G Ventures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2015</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Betsy Bluestone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Zevo, Opte, Metaderm, Pepper &amp; Wits, Kindra, Rae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M13 Launchpad partnership for $1B brands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AXA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Kamet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Doctor, Akur8, Birdie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InsurTech focus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Figure AI</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Helix AI Team</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Brett Adcock, Jerry Pratt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Figure 02 humanoid, Helix VLA model</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vertical integration, ended OpenAI partnership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1X Technologies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Development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 humanoid robot (home use)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OpenAI early backer, $100M funding</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Boston Dynamics</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Atlas Development Team</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2013 (Google), 2020 (Hyundai)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 Electric Atlas, Handle</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Hyundai ownership, DeepMind partnership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Generative AI Accelerator + Innovation Center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Startups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startups/cohort, Tonic.ai, Weaviate, SuperAnnotate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$1M credits, &lt;2% acceptance, 65% reach production</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M12 + GitHub Fund</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 (M12)</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Michelle Gonzalez</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Portfolio: AI, cloud, cybersecurity startups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$275M annual, 20 investments/year</w:t>
            </w:r>
          </w:p>
        </w:tc>
      </w:tr>
    </w:tbl>
    <w:p>
      <w:r>
        <w:br w:type="page"/>
      </w:r>
    </w:p>
    <w:p>
      <w:pPr>
        <w:pStyle w:val="Heading1"/>
        <w:spacing w:before="400" w:after="200"/>
      </w:pPr>
      <w:r>
        <w:rPr>
          <w:rFonts w:ascii="Arial" w:cs="Arial" w:eastAsia="Arial" w:hAnsi="Arial"/>
          <w:b/>
          <w:bCs/>
          <w:color w:val="1a365d"/>
          <w:sz w:val="32"/>
          <w:szCs w:val="32"/>
        </w:rPr>
        <w:t xml:space="preserve">Part III: Traditional AI Organizational Models by Sector</w:t>
      </w:r>
    </w:p>
    <w:p>
      <w:pPr>
        <w:pStyle w:val="Heading2"/>
        <w:spacing w:before="300" w:after="150"/>
      </w:pPr>
      <w:r>
        <w:rPr>
          <w:rFonts w:ascii="Arial" w:cs="Arial" w:eastAsia="Arial" w:hAnsi="Arial"/>
          <w:b/>
          <w:bCs/>
          <w:color w:val="2c5282"/>
          <w:sz w:val="26"/>
          <w:szCs w:val="26"/>
        </w:rPr>
        <w:t xml:space="preserve">Technology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AI Unit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Flagship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DeepMind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DeepMind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 → 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Demis Hassabis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family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FAIR</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Rob Fergus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models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IBM Research</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IBM Research</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Granite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Einstein/Agentforce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Yuliya Feldman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AI agents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Adobe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Adobe Research</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Firefly, Sensei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Baidu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Baidu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ERNIE models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Alibaba</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DAMO Academy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 models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Tencent AI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Hunyuan models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ByteDance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ByteDance AI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Doubao models</w:t>
            </w:r>
          </w:p>
        </w:tc>
      </w:tr>
    </w:tbl>
    <w:p>
      <w:pPr>
        <w:pStyle w:val="Heading2"/>
        <w:spacing w:before="300" w:after="150"/>
      </w:pPr>
      <w:r>
        <w:rPr>
          <w:rFonts w:ascii="Arial" w:cs="Arial" w:eastAsia="Arial" w:hAnsi="Arial"/>
          <w:b/>
          <w:bCs/>
          <w:color w:val="2c5282"/>
          <w:sz w:val="26"/>
          <w:szCs w:val="26"/>
        </w:rPr>
        <w:t xml:space="preserve">Financial Services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AI Unit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Flagship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JPMorgan Chase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 + 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IndexGPT, LLM Suite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Goldman Sachs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GS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assistants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Morgan Stanley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 deployment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BlackRock</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Aladdin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Aladdin Copilot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Citadel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Citadel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AI</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Sigma</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Sigma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Quantitative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Stripe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detection, Radar</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Visa</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Visa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prevention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Garage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Intelligence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American Express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AmEx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service AI</w:t>
            </w:r>
          </w:p>
        </w:tc>
      </w:tr>
    </w:tbl>
    <w:p>
      <w:pPr>
        <w:pStyle w:val="Heading2"/>
        <w:spacing w:before="300" w:after="150"/>
      </w:pPr>
      <w:r>
        <w:rPr>
          <w:rFonts w:ascii="Arial" w:cs="Arial" w:eastAsia="Arial" w:hAnsi="Arial"/>
          <w:b/>
          <w:bCs/>
          <w:color w:val="2c5282"/>
          <w:sz w:val="26"/>
          <w:szCs w:val="26"/>
        </w:rPr>
        <w:t xml:space="preserve">Healthcare/Pharma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AI Unit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Flagship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Pharmaceuticals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AI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Drug discovery + Exscientia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Insilico Medicine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Insilico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 Zhavoronkov</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Chemistry42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BenevolentAI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BenevolentAI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Drug discovery</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Tempus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Tempus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Eric Lefkofsky</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Precision medicine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Flatiron 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Flatiron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Oncology data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Andy Beck</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Pathology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Paige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Thomas Fuchs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Cancer detection</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Johnson &amp; Johnson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J&amp;J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Drug discovery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Pfizer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Pfizer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 trials AI</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Merck</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Merck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Drug discovery</w:t>
            </w:r>
          </w:p>
        </w:tc>
      </w:tr>
    </w:tbl>
    <w:p>
      <w:pPr>
        <w:pStyle w:val="Heading2"/>
        <w:spacing w:before="300" w:after="150"/>
      </w:pPr>
      <w:r>
        <w:rPr>
          <w:rFonts w:ascii="Arial" w:cs="Arial" w:eastAsia="Arial" w:hAnsi="Arial"/>
          <w:b/>
          <w:bCs/>
          <w:color w:val="2c5282"/>
          <w:sz w:val="26"/>
          <w:szCs w:val="26"/>
        </w:rPr>
        <w:t xml:space="preserve">Automotive/Manufacturing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AI Unit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Flagship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Tesla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FSD, Optimus robot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Spin-off</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vehicles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GM/Cruise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Subsidiary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Robotaxis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Ford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Ford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BlueCruise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BMW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Intelligent Personal Assistant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Siemens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Siemens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Predix platform</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Honeywell</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Honeywell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AI</w:t>
            </w:r>
          </w:p>
        </w:tc>
      </w:tr>
    </w:tbl>
    <w:p>
      <w:pPr>
        <w:pStyle w:val="Heading2"/>
        <w:spacing w:before="300" w:after="150"/>
      </w:pPr>
      <w:r>
        <w:rPr>
          <w:rFonts w:ascii="Arial" w:cs="Arial" w:eastAsia="Arial" w:hAnsi="Arial"/>
          <w:b/>
          <w:bCs/>
          <w:color w:val="2c5282"/>
          <w:sz w:val="26"/>
          <w:szCs w:val="26"/>
        </w:rPr>
        <w:t xml:space="preserve">Retail/Consumer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AI Unit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 Type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Flagship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Rufus, Alexa, recommendations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Supply chain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Inventory AI</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Starbucks</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Brew</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Nike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recommendations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Shopify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Shopify 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Embedded</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Sidekick, Magic</w:t>
            </w:r>
          </w:p>
        </w:tc>
      </w:tr>
    </w:tbl>
    <w:p>
      <w:r>
        <w:br w:type="page"/>
      </w:r>
    </w:p>
    <w:p>
      <w:pPr>
        <w:pStyle w:val="Heading1"/>
        <w:spacing w:before="400" w:after="200"/>
      </w:pPr>
      <w:r>
        <w:rPr>
          <w:rFonts w:ascii="Arial" w:cs="Arial" w:eastAsia="Arial" w:hAnsi="Arial"/>
          <w:b/>
          <w:bCs/>
          <w:color w:val="1a365d"/>
          <w:sz w:val="32"/>
          <w:szCs w:val="32"/>
        </w:rPr>
        <w:t xml:space="preserve">Part IV: Key Insights from Podcast/Substack Research</w:t>
      </w:r>
    </w:p>
    <w:p>
      <w:pPr>
        <w:pStyle w:val="Heading2"/>
        <w:spacing w:before="300" w:after="150"/>
      </w:pPr>
      <w:r>
        <w:rPr>
          <w:rFonts w:ascii="Arial" w:cs="Arial" w:eastAsia="Arial" w:hAnsi="Arial"/>
          <w:b/>
          <w:bCs/>
          <w:color w:val="2c5282"/>
          <w:sz w:val="26"/>
          <w:szCs w:val="26"/>
        </w:rPr>
        <w:t xml:space="preserve">From Cheeky Pint (John Collison)</w:t>
      </w:r>
    </w:p>
    <w:p>
      <w:pPr>
        <w:spacing w:after="120"/>
      </w:pPr>
      <w:r>
        <w:rPr>
          <w:rFonts w:ascii="Arial" w:cs="Arial" w:eastAsia="Arial" w:hAnsi="Arial"/>
          <w:sz w:val="22"/>
          <w:szCs w:val="22"/>
        </w:rPr>
        <w:t xml:space="preserve">New AI initiatives should be handled by 3-4 person teams until they develop a compelling working version. Priority is getting a compelling working demo launched in users' hands before scaling resources.</w:t>
      </w:r>
    </w:p>
    <w:p>
      <w:pPr>
        <w:pStyle w:val="Heading2"/>
        <w:spacing w:before="300" w:after="150"/>
      </w:pPr>
      <w:r>
        <w:rPr>
          <w:rFonts w:ascii="Arial" w:cs="Arial" w:eastAsia="Arial" w:hAnsi="Arial"/>
          <w:b/>
          <w:bCs/>
          <w:color w:val="2c5282"/>
          <w:sz w:val="26"/>
          <w:szCs w:val="26"/>
        </w:rPr>
        <w:t xml:space="preserve">From No Priors (Elad Gil &amp; Sarah Guo)</w:t>
      </w:r>
    </w:p>
    <w:p>
      <w:pPr>
        <w:spacing w:after="120"/>
      </w:pPr>
      <w:r>
        <w:rPr>
          <w:rFonts w:ascii="Arial" w:cs="Arial" w:eastAsia="Arial" w:hAnsi="Arial"/>
          <w:sz w:val="22"/>
          <w:szCs w:val="22"/>
        </w:rPr>
        <w:t xml:space="preserve">Jensen Huang: Physical AI will revolutionize the $50 trillion manufacturing and logistics industries. 95% of AI projects fail due to unrealistic expectations - this is expected experimentation behavior.</w:t>
      </w:r>
    </w:p>
    <w:p>
      <w:pPr>
        <w:pStyle w:val="Heading2"/>
        <w:spacing w:before="300" w:after="150"/>
      </w:pPr>
      <w:r>
        <w:rPr>
          <w:rFonts w:ascii="Arial" w:cs="Arial" w:eastAsia="Arial" w:hAnsi="Arial"/>
          <w:b/>
          <w:bCs/>
          <w:color w:val="2c5282"/>
          <w:sz w:val="26"/>
          <w:szCs w:val="26"/>
        </w:rPr>
        <w:t xml:space="preserve">From Stratechery (Ben Thompson)</w:t>
      </w:r>
    </w:p>
    <w:p>
      <w:pPr>
        <w:spacing w:after="120"/>
      </w:pPr>
      <w:r>
        <w:rPr>
          <w:rFonts w:ascii="Arial" w:cs="Arial" w:eastAsia="Arial" w:hAnsi="Arial"/>
          <w:sz w:val="22"/>
          <w:szCs w:val="22"/>
        </w:rPr>
        <w:t xml:space="preserve">DeepSeek proved OpenAI doesn't have 'special sauce' - reasoning models can be replicated. Value shifts to distribution, data, and integration. OpenAI building 'Windows of AI' platform.</w:t>
      </w:r>
    </w:p>
    <w:p>
      <w:pPr>
        <w:pStyle w:val="Heading2"/>
        <w:spacing w:before="300" w:after="150"/>
      </w:pPr>
      <w:r>
        <w:rPr>
          <w:rFonts w:ascii="Arial" w:cs="Arial" w:eastAsia="Arial" w:hAnsi="Arial"/>
          <w:b/>
          <w:bCs/>
          <w:color w:val="2c5282"/>
          <w:sz w:val="26"/>
          <w:szCs w:val="26"/>
        </w:rPr>
        <w:t xml:space="preserve">From Not Boring (Packy McCormick)</w:t>
      </w:r>
    </w:p>
    <w:p>
      <w:pPr>
        <w:spacing w:after="120"/>
      </w:pPr>
      <w:r>
        <w:rPr>
          <w:rFonts w:ascii="Arial" w:cs="Arial" w:eastAsia="Arial" w:hAnsi="Arial"/>
          <w:sz w:val="22"/>
          <w:szCs w:val="22"/>
        </w:rPr>
        <w:t xml:space="preserve">Vertical integrators (hardware + AI/software) represent major opportunity. 'The integration is the innovation.' Examples: Meter, Base Power Company, Radiant Nuclear.</w:t>
      </w:r>
    </w:p>
    <w:p>
      <w:pPr>
        <w:pStyle w:val="Heading2"/>
        <w:spacing w:before="300" w:after="150"/>
      </w:pPr>
      <w:r>
        <w:rPr>
          <w:rFonts w:ascii="Arial" w:cs="Arial" w:eastAsia="Arial" w:hAnsi="Arial"/>
          <w:b/>
          <w:bCs/>
          <w:color w:val="2c5282"/>
          <w:sz w:val="26"/>
          <w:szCs w:val="26"/>
        </w:rPr>
        <w:t xml:space="preserve">From Latent Space (Swyx &amp; Alessio)</w:t>
      </w:r>
    </w:p>
    <w:p>
      <w:pPr>
        <w:spacing w:after="120"/>
      </w:pPr>
      <w:r>
        <w:rPr>
          <w:rFonts w:ascii="Arial" w:cs="Arial" w:eastAsia="Arial" w:hAnsi="Arial"/>
          <w:sz w:val="22"/>
          <w:szCs w:val="22"/>
        </w:rPr>
        <w:t xml:space="preserve">$100M+ seed rounds with no near-term roadmap now the norm. OpenAI reasoning team grew from 12 to 300+ people.</w:t>
      </w:r>
    </w:p>
    <w:p>
      <w:pPr>
        <w:pStyle w:val="Heading2"/>
        <w:spacing w:before="300" w:after="150"/>
      </w:pPr>
      <w:r>
        <w:rPr>
          <w:rFonts w:ascii="Arial" w:cs="Arial" w:eastAsia="Arial" w:hAnsi="Arial"/>
          <w:b/>
          <w:bCs/>
          <w:color w:val="2c5282"/>
          <w:sz w:val="26"/>
          <w:szCs w:val="26"/>
        </w:rPr>
        <w:t xml:space="preserve">From Cognitive Revolution (Nathan Labenz)</w:t>
      </w:r>
    </w:p>
    <w:p>
      <w:pPr>
        <w:spacing w:after="120"/>
      </w:pPr>
      <w:r>
        <w:rPr>
          <w:rFonts w:ascii="Arial" w:cs="Arial" w:eastAsia="Arial" w:hAnsi="Arial"/>
          <w:sz w:val="22"/>
          <w:szCs w:val="22"/>
        </w:rPr>
        <w:t xml:space="preserve">The 'Intelligence Curse': AGI may make humans economically irrelevant, breaking social contracts. Proposed solutions include AI diffusion and human augmentation over automation.</w:t>
      </w:r>
    </w:p>
    <w:p>
      <w:pPr>
        <w:pStyle w:val="Heading2"/>
        <w:spacing w:before="300" w:after="150"/>
      </w:pPr>
      <w:r>
        <w:rPr>
          <w:rFonts w:ascii="Arial" w:cs="Arial" w:eastAsia="Arial" w:hAnsi="Arial"/>
          <w:b/>
          <w:bCs/>
          <w:color w:val="2c5282"/>
          <w:sz w:val="26"/>
          <w:szCs w:val="26"/>
        </w:rPr>
        <w:t xml:space="preserve">From Dwarkesh Podcast</w:t>
      </w:r>
    </w:p>
    <w:p>
      <w:pPr>
        <w:spacing w:after="120"/>
      </w:pPr>
      <w:r>
        <w:rPr>
          <w:rFonts w:ascii="Arial" w:cs="Arial" w:eastAsia="Arial" w:hAnsi="Arial"/>
          <w:sz w:val="22"/>
          <w:szCs w:val="22"/>
        </w:rPr>
        <w:t xml:space="preserve">Adam Marblestone (Convergent Research): FRO model fills gap between academia and VC - $30-50M per organization, 5-7 year fixed duration, backed by Eric Schmidt.</w:t>
      </w:r>
    </w:p>
    <w:p>
      <w:r>
        <w:br w:type="page"/>
      </w:r>
    </w:p>
    <w:p>
      <w:pPr>
        <w:pStyle w:val="Heading1"/>
        <w:spacing w:before="400" w:after="200"/>
      </w:pPr>
      <w:r>
        <w:rPr>
          <w:rFonts w:ascii="Arial" w:cs="Arial" w:eastAsia="Arial" w:hAnsi="Arial"/>
          <w:b/>
          <w:bCs/>
          <w:color w:val="1a365d"/>
          <w:sz w:val="32"/>
          <w:szCs w:val="32"/>
        </w:rPr>
        <w:t xml:space="preserve">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Count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Product/Venture Labs Cataloged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r>
      <w:tr>
        <w:tc>
          <w:tcPr>
            <w:tcW w:type="dxa" w:w="6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Traditional Model Cases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Valuation of AI Lab Spinoffs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$75B+</w:t>
            </w:r>
          </w:p>
        </w:tc>
      </w:tr>
      <w:tr>
        <w:tc>
          <w:tcPr>
            <w:tcW w:type="dxa" w:w="6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Podcast/Substack Sources Analyzed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Sectors Covered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bl>
    <w:p>
      <w:pPr>
        <w:spacing w:before="400"/>
      </w:pPr>
    </w:p>
    <w:p>
      <w:pPr>
        <w:spacing w:after="120"/>
      </w:pPr>
      <w:r>
        <w:rPr>
          <w:rFonts w:ascii="Arial" w:cs="Arial" w:eastAsia="Arial" w:hAnsi="Arial"/>
          <w:sz w:val="22"/>
          <w:szCs w:val="22"/>
        </w:rPr>
        <w:t xml:space="preserve">Sources: Cheeky Pint, No Priors, BG2 Pod, Stratechery, Not Boring, Latent Space, Cognitive Revolution, Dwarkesh Podcast, Conversations with Tyler, One Useful Thing, The Generalist, Invest Like the Best, Asianometry, Construction Physics, Acquired, company press releases, SEC filings, and industry publications.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AI Organizational Models - Comprehensive Report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365d"/>
      <w:sz w:val="32"/>
      <w:szCs w:val="32"/>
    </w:rPr>
  </w:style>
  <w:style w:type="paragraph" w:styleId="Heading2">
    <w:name w:val="Heading 2"/>
    <w:basedOn w:val="Normal"/>
    <w:next w:val="Normal"/>
    <w:qFormat/>
    <w:pPr>
      <w:spacing w:before="300" w:after="150"/>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2026-01-17T01:30:19.764Z</dcterms:created>
  <dcterms:modified xsi:type="dcterms:W3CDTF">2026-01-17T01:30:19.764Z</dcterms:modified>
</cp:coreProperties>
</file>

<file path=docProps/custom.xml><?xml version="1.0" encoding="utf-8"?>
<Properties xmlns="http://schemas.openxmlformats.org/officeDocument/2006/custom-properties" xmlns:vt="http://schemas.openxmlformats.org/officeDocument/2006/docPropsVTypes"/>
</file>