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65d"/>
          <w:sz w:val="48"/>
          <w:szCs w:val="48"/>
        </w:rPr>
        <w:t xml:space="preserve">AI ORGANIZATIONAL MODELS</w:t>
      </w:r>
    </w:p>
    <w:p>
      <w:pPr>
        <w:spacing w:after="100"/>
        <w:jc w:val="center"/>
      </w:pPr>
      <w:r>
        <w:rPr>
          <w:rFonts w:ascii="Arial" w:cs="Arial" w:eastAsia="Arial" w:hAnsi="Arial"/>
          <w:sz w:val="24"/>
          <w:szCs w:val="24"/>
        </w:rPr>
        <w:t xml:space="preserve">Comprehensive Analysis with Product/Venture Labs Focus</w:t>
      </w:r>
    </w:p>
    <w:p>
      <w:pPr>
        <w:spacing w:after="600"/>
        <w:jc w:val="center"/>
      </w:pPr>
      <w:r>
        <w:rPr>
          <w:rFonts w:ascii="Arial" w:cs="Arial" w:eastAsia="Arial" w:hAnsi="Arial"/>
          <w:color w:val="666666"/>
          <w:sz w:val="22"/>
          <w:szCs w:val="22"/>
        </w:rPr>
        <w:t xml:space="preserve">Version 5.0 - January 2026 (Updated with Latest Research)</w:t>
      </w:r>
    </w:p>
    <w:p>
      <w:pPr>
        <w:pStyle w:val="Heading1"/>
        <w:spacing w:before="400" w:after="200"/>
      </w:pPr>
      <w:r>
        <w:rPr>
          <w:rFonts w:ascii="Arial" w:cs="Arial" w:eastAsia="Arial" w:hAnsi="Arial"/>
          <w:b/>
          <w:bCs/>
          <w:color w:val="1a365d"/>
          <w:sz w:val="32"/>
          <w:szCs w:val="32"/>
        </w:rPr>
        <w:t xml:space="preserve">Executive Summary</w:t>
      </w:r>
    </w:p>
    <w:p>
      <w:pPr>
        <w:spacing w:after="120"/>
      </w:pPr>
      <w:r>
        <w:rPr>
          <w:rFonts w:ascii="Arial" w:cs="Arial" w:eastAsia="Arial" w:hAnsi="Arial"/>
          <w:sz w:val="22"/>
          <w:szCs w:val="22"/>
        </w:rPr>
        <w:t xml:space="preserve">This comprehensive report catalogs 185+ organizational responses to AI across global enterprises. Research sources include 40+ podcasts (Cheeky Pint, No Priors, BG2, Latent Space, AI Daily Brief, Acquired, Dwarkesh), 15+ Substacks, SEC filings, and press coverage.</w:t>
      </w:r>
    </w:p>
    <w:p>
      <w:pPr>
        <w:spacing w:after="120"/>
      </w:pPr>
      <w:r>
        <w:rPr>
          <w:rFonts w:ascii="Arial" w:cs="Arial" w:eastAsia="Arial" w:hAnsi="Arial"/>
          <w:sz w:val="22"/>
          <w:szCs w:val="22"/>
        </w:rPr>
        <w:t xml:space="preserve">Key findings from January 2026 research refresh:</w:t>
      </w:r>
    </w:p>
    <w:p>
      <w:pPr>
        <w:pStyle w:val="ListParagraph"/>
        <w:numPr>
          <w:ilvl w:val="0"/>
          <w:numId w:val="2"/>
        </w:numPr>
      </w:pPr>
      <w:r>
        <w:rPr>
          <w:rFonts w:ascii="Arial" w:cs="Arial" w:eastAsia="Arial" w:hAnsi="Arial"/>
          <w:sz w:val="22"/>
          <w:szCs w:val="22"/>
        </w:rPr>
        <w:t xml:space="preserve">56% of companies plan AI-driven ventures in next 5 years (McKinsey 2025)</w:t>
      </w:r>
    </w:p>
    <w:p>
      <w:pPr>
        <w:pStyle w:val="ListParagraph"/>
        <w:numPr>
          <w:ilvl w:val="0"/>
          <w:numId w:val="2"/>
        </w:numPr>
      </w:pPr>
      <w:r>
        <w:rPr>
          <w:rFonts w:ascii="Arial" w:cs="Arial" w:eastAsia="Arial" w:hAnsi="Arial"/>
          <w:sz w:val="22"/>
          <w:szCs w:val="22"/>
        </w:rPr>
        <w:t xml:space="preserve">40%+ of Fortune 500 expected to have Chief AI Officer by end of 2026</w:t>
      </w:r>
    </w:p>
    <w:p>
      <w:pPr>
        <w:pStyle w:val="ListParagraph"/>
        <w:numPr>
          <w:ilvl w:val="0"/>
          <w:numId w:val="2"/>
        </w:numPr>
      </w:pPr>
      <w:r>
        <w:rPr>
          <w:rFonts w:ascii="Arial" w:cs="Arial" w:eastAsia="Arial" w:hAnsi="Arial"/>
          <w:sz w:val="22"/>
          <w:szCs w:val="22"/>
        </w:rPr>
        <w:t xml:space="preserve">Major AI lab spinoffs now valued at $80B+ combined (SSI $32B, TML $12B, Reflection $8B, etc.)</w:t>
      </w:r>
    </w:p>
    <w:p>
      <w:pPr>
        <w:pStyle w:val="ListParagraph"/>
        <w:numPr>
          <w:ilvl w:val="0"/>
          <w:numId w:val="2"/>
        </w:numPr>
      </w:pPr>
      <w:r>
        <w:rPr>
          <w:rFonts w:ascii="Arial" w:cs="Arial" w:eastAsia="Arial" w:hAnsi="Arial"/>
          <w:sz w:val="22"/>
          <w:szCs w:val="22"/>
        </w:rPr>
        <w:t xml:space="preserve">Kyle Vogt prediction: Next $100B company will have &lt;100 people</w:t>
      </w:r>
    </w:p>
    <w:p>
      <w:pPr>
        <w:pStyle w:val="ListParagraph"/>
        <w:numPr>
          <w:ilvl w:val="0"/>
          <w:numId w:val="2"/>
        </w:numPr>
      </w:pPr>
      <w:r>
        <w:rPr>
          <w:rFonts w:ascii="Arial" w:cs="Arial" w:eastAsia="Arial" w:hAnsi="Arial"/>
          <w:sz w:val="22"/>
          <w:szCs w:val="22"/>
        </w:rPr>
        <w:t xml:space="preserve">95% of AI projects fail (BG2 - Databricks/Glean CEOs)</w:t>
      </w:r>
    </w:p>
    <w:p>
      <w:r>
        <w:br w:type="page"/>
      </w:r>
    </w:p>
    <w:p>
      <w:pPr>
        <w:pStyle w:val="Heading1"/>
        <w:spacing w:before="400" w:after="200"/>
      </w:pPr>
      <w:r>
        <w:rPr>
          <w:rFonts w:ascii="Arial" w:cs="Arial" w:eastAsia="Arial" w:hAnsi="Arial"/>
          <w:b/>
          <w:bCs/>
          <w:color w:val="1a365d"/>
          <w:sz w:val="32"/>
          <w:szCs w:val="32"/>
        </w:rPr>
        <w:t xml:space="preserve">Part I: AI Organizational Model Taxonomy</w:t>
      </w:r>
    </w:p>
    <w:p>
      <w:pPr>
        <w:pStyle w:val="Heading2"/>
        <w:spacing w:before="300" w:after="150"/>
      </w:pPr>
      <w:r>
        <w:rPr>
          <w:rFonts w:ascii="Arial" w:cs="Arial" w:eastAsia="Arial" w:hAnsi="Arial"/>
          <w:b/>
          <w:bCs/>
          <w:color w:val="2c5282"/>
          <w:sz w:val="26"/>
          <w:szCs w:val="26"/>
        </w:rPr>
        <w:t xml:space="preserve">1. Research Lab</w:t>
      </w:r>
    </w:p>
    <w:p>
      <w:pPr>
        <w:spacing w:after="120"/>
      </w:pPr>
      <w:r>
        <w:rPr>
          <w:rFonts w:ascii="Arial" w:cs="Arial" w:eastAsia="Arial" w:hAnsi="Arial"/>
          <w:sz w:val="22"/>
          <w:szCs w:val="22"/>
        </w:rPr>
        <w:t xml:space="preserve">Mission: Fundamental research, publications, scientific breakthroughs. Time Horizon: 3-10 years. Examples: Google DeepMind, Meta FAIR, Microsoft Research.</w:t>
      </w:r>
    </w:p>
    <w:p>
      <w:pPr>
        <w:pStyle w:val="Heading2"/>
        <w:spacing w:before="300" w:after="150"/>
      </w:pPr>
      <w:r>
        <w:rPr>
          <w:rFonts w:ascii="Arial" w:cs="Arial" w:eastAsia="Arial" w:hAnsi="Arial"/>
          <w:b/>
          <w:bCs/>
          <w:color w:val="2c5282"/>
          <w:sz w:val="26"/>
          <w:szCs w:val="26"/>
        </w:rPr>
        <w:t xml:space="preserve">2. Center of Excellence (CoE)</w:t>
      </w:r>
    </w:p>
    <w:p>
      <w:pPr>
        <w:spacing w:after="120"/>
      </w:pPr>
      <w:r>
        <w:rPr>
          <w:rFonts w:ascii="Arial" w:cs="Arial" w:eastAsia="Arial" w:hAnsi="Arial"/>
          <w:sz w:val="22"/>
          <w:szCs w:val="22"/>
        </w:rPr>
        <w:t xml:space="preserve">Mission: Governance, standards, best practices. Time Horizon: 6-24 months. Examples: JPMorgan AI CoE, enterprise IT-led initiatives.</w:t>
      </w:r>
    </w:p>
    <w:p>
      <w:pPr>
        <w:pStyle w:val="Heading2"/>
        <w:spacing w:before="300" w:after="150"/>
      </w:pPr>
      <w:r>
        <w:rPr>
          <w:rFonts w:ascii="Arial" w:cs="Arial" w:eastAsia="Arial" w:hAnsi="Arial"/>
          <w:b/>
          <w:bCs/>
          <w:color w:val="2c5282"/>
          <w:sz w:val="26"/>
          <w:szCs w:val="26"/>
        </w:rPr>
        <w:t xml:space="preserve">3. Embedded Teams</w:t>
      </w:r>
    </w:p>
    <w:p>
      <w:pPr>
        <w:spacing w:after="120"/>
      </w:pPr>
      <w:r>
        <w:rPr>
          <w:rFonts w:ascii="Arial" w:cs="Arial" w:eastAsia="Arial" w:hAnsi="Arial"/>
          <w:sz w:val="22"/>
          <w:szCs w:val="22"/>
        </w:rPr>
        <w:t xml:space="preserve">Mission: AI integrated into business units. Time Horizon: Quarterly. Examples: Tesla AI, Stripe AI.</w:t>
      </w:r>
    </w:p>
    <w:p>
      <w:pPr>
        <w:pStyle w:val="Heading2"/>
        <w:spacing w:before="300" w:after="150"/>
      </w:pPr>
      <w:r>
        <w:rPr>
          <w:rFonts w:ascii="Arial" w:cs="Arial" w:eastAsia="Arial" w:hAnsi="Arial"/>
          <w:b/>
          <w:bCs/>
          <w:color w:val="2c5282"/>
          <w:sz w:val="26"/>
          <w:szCs w:val="26"/>
        </w:rPr>
        <w:t xml:space="preserve">4. Hybrid / Hub-and-Spoke</w:t>
      </w:r>
    </w:p>
    <w:p>
      <w:pPr>
        <w:spacing w:after="120"/>
      </w:pPr>
      <w:r>
        <w:rPr>
          <w:rFonts w:ascii="Arial" w:cs="Arial" w:eastAsia="Arial" w:hAnsi="Arial"/>
          <w:sz w:val="22"/>
          <w:szCs w:val="22"/>
        </w:rPr>
        <w:t xml:space="preserve">Mission: Central standards + distributed execution. Examples: Large enterprises with central AI strategy.</w:t>
      </w:r>
    </w:p>
    <w:p>
      <w:pPr>
        <w:pStyle w:val="Heading2"/>
        <w:spacing w:before="300" w:after="150"/>
      </w:pPr>
      <w:r>
        <w:rPr>
          <w:rFonts w:ascii="Arial" w:cs="Arial" w:eastAsia="Arial" w:hAnsi="Arial"/>
          <w:b/>
          <w:bCs/>
          <w:color w:val="2c5282"/>
          <w:sz w:val="26"/>
          <w:szCs w:val="26"/>
        </w:rPr>
        <w:t xml:space="preserve">5. Product/Venture Lab (PRIMARY FOCUS)</w:t>
      </w:r>
    </w:p>
    <w:p>
      <w:pPr>
        <w:spacing w:after="120"/>
      </w:pPr>
      <w:r>
        <w:rPr>
          <w:rFonts w:ascii="Arial" w:cs="Arial" w:eastAsia="Arial" w:hAnsi="Arial"/>
          <w:sz w:val="22"/>
          <w:szCs w:val="22"/>
        </w:rPr>
        <w:t xml:space="preserve">Mission: Commercialize AI capabilities into new products, businesses, or spin-offs. Time Horizon: 6-36 months to product.</w:t>
      </w:r>
    </w:p>
    <w:p>
      <w:pPr>
        <w:pStyle w:val="ListParagraph"/>
        <w:numPr>
          <w:ilvl w:val="0"/>
          <w:numId w:val="2"/>
        </w:numPr>
      </w:pPr>
      <w:r>
        <w:rPr>
          <w:rFonts w:ascii="Arial" w:cs="Arial" w:eastAsia="Arial" w:hAnsi="Arial"/>
          <w:sz w:val="22"/>
          <w:szCs w:val="22"/>
        </w:rPr>
        <w:t xml:space="preserve">Internal Incubator: Products absorbed into parent (Anthropic Labs, Amazon Lab126)</w:t>
      </w:r>
    </w:p>
    <w:p>
      <w:pPr>
        <w:pStyle w:val="ListParagraph"/>
        <w:numPr>
          <w:ilvl w:val="0"/>
          <w:numId w:val="2"/>
        </w:numPr>
      </w:pPr>
      <w:r>
        <w:rPr>
          <w:rFonts w:ascii="Arial" w:cs="Arial" w:eastAsia="Arial" w:hAnsi="Arial"/>
          <w:sz w:val="22"/>
          <w:szCs w:val="22"/>
        </w:rPr>
        <w:t xml:space="preserve">Venture Builder/Spin-off: Creates independent companies (Google X, Isomorphic Labs)</w:t>
      </w:r>
    </w:p>
    <w:p>
      <w:pPr>
        <w:pStyle w:val="ListParagraph"/>
        <w:numPr>
          <w:ilvl w:val="0"/>
          <w:numId w:val="2"/>
        </w:numPr>
      </w:pPr>
      <w:r>
        <w:rPr>
          <w:rFonts w:ascii="Arial" w:cs="Arial" w:eastAsia="Arial" w:hAnsi="Arial"/>
          <w:sz w:val="22"/>
          <w:szCs w:val="22"/>
        </w:rPr>
        <w:t xml:space="preserve">Platform-to-Product: Internal capability licensed externally (BCG X, QuantumBlack)</w:t>
      </w:r>
    </w:p>
    <w:p>
      <w:r>
        <w:br w:type="page"/>
      </w:r>
    </w:p>
    <w:p>
      <w:pPr>
        <w:pStyle w:val="Heading1"/>
        <w:spacing w:before="400" w:after="200"/>
      </w:pPr>
      <w:r>
        <w:rPr>
          <w:rFonts w:ascii="Arial" w:cs="Arial" w:eastAsia="Arial" w:hAnsi="Arial"/>
          <w:b/>
          <w:bCs/>
          <w:color w:val="1a365d"/>
          <w:sz w:val="32"/>
          <w:szCs w:val="32"/>
        </w:rPr>
        <w:t xml:space="preserve">Part II: Product/Venture Labs Database</w:t>
      </w:r>
    </w:p>
    <w:p>
      <w:pPr>
        <w:spacing w:after="120"/>
      </w:pPr>
      <w:r>
        <w:rPr>
          <w:rFonts w:ascii="Arial" w:cs="Arial" w:eastAsia="Arial" w:hAnsi="Arial"/>
          <w:sz w:val="22"/>
          <w:szCs w:val="22"/>
        </w:rPr>
        <w:t xml:space="preserve">48 cases cataloged across tech giants, AI lab spinoffs, venture studios, consulting firms, and pharma AI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1700"/>
        <w:gridCol w:w="1900"/>
        <w:gridCol w:w="2060"/>
      </w:tblGrid>
      <w:tr>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Lab/Team</w:t>
            </w:r>
          </w:p>
        </w:tc>
        <w:tc>
          <w:tcPr>
            <w:tcW w:type="dxa" w:w="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1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Key Leaders</w:t>
            </w:r>
          </w:p>
        </w:tc>
        <w:tc>
          <w:tcPr>
            <w:tcW w:type="dxa" w:w="1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Products</w:t>
            </w:r>
          </w:p>
        </w:tc>
        <w:tc>
          <w:tcPr>
            <w:tcW w:type="dxa" w:w="2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Model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Labs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Mike Krieger, Ben Mann, Ami Vora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Code ($1B/6mo), MCP, Cowork</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Google/Alphabet</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Isomorphic Labs</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2021</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Demis Hassabis</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AlphaFold drug discovery, $3B pharma deals</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Google/Alphabet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X</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Astro Teller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Waymo, Verily, Wing, Chronicle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DeepMind</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Materials Lab (UK)</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Demis Hassabis</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robotics, materials science</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CoreAI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Jay Parikh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AI Foundry, Copilot Studio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Platform-to-Product</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MAI Superintelligence</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Mustafa Suleyman, Karen Simonyan</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Copilot, next-gen models</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Lab126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Yesh Dattatreya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Kindle, Echo, Alexa, agentic robotics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AGI SF Lab</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Peter DeSantis</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Nova LLMs, Trainium chips</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Alexandr Wang, Nat Friedman, Rob Fergus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 Meta AI, Behemoth</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 Compute Initiative</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Janardhan, Gross, McCormick</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infrastructure scaling</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 Models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Subramanya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Intelligence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NVentures + Inception</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2016</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Sid Siddeek</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xAI, Anthropic portfolio</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 Altman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Pre-company talent incubator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Startup Fund + Converge</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2021</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Ian Hathaway</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Harvey, Cursor, Figure AI</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Audio/Device Team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Unified team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Audio-first personal device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Arm Holdings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AI Division</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Drew Henry (EVP)</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Robotics + automotive</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Hyundai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Robotics LAB + DEEPX</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AI chips, MobED robots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Eli Lilly</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TuneLab</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Aliza Apple</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AI/ML drug discovery, 18 models</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Platform-to-Product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Thinking Machines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Mira Murati, Barret Zoph, Lilian Weng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Tinker (LLM fine-tuning)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$12B val</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SSI</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Superintelligence</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Ilya Sutskever</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Superintelligence research</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$32B val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AMI Labs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AMI Labs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Yann LeCun, Alex LeBrun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models, physics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$3.5B target</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Labs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Labs</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Fei-Fei Li, Justin Johnson</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Marble, Chisel (3D)</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$1B val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Reflection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Reflection AI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Misha Laskin (ex-DeepMind)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Open-source frontier LLMs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$8B val</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Eureka Labs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Eureka Labs</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Andrej Karpathy</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 Education</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Periodic Labs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Periodic Labs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Liam Fedus (ex-OpenAI), Ekin Cubuk (ex-DeepMind)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materials science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$300M seed</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Lila Sciences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Science Factory</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Andrew Beam, Kenneth Stanley</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Scientific superintelligence</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$1.3B val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Bot 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Bot Company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Kyle Vogt (ex-Cruise)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robots, &lt;100 employees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$4B+ val</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Sierra</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Sierra</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Bret Taylor, Clay Bavor</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AI agents</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Converge Bio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Converge Bio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Generative AI drug discovery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$25M Series A</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xAI</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xAI/Colossus</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Elon Musk</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Grok, 1M+ GPU cluster</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Builder - $20B funding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Fund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Fund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Andrew 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 companies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 - $370M+</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Kleiner Perkins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KP Incubation</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2010s</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Joubin Mirzadegan</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Glean ($7B), Windsurf</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Madrona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Labs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Steve Singh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Otto, Magnify, OutboundAI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Allen Institute</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AI2 Incubator</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2017</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Oren Etzioni</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50+ cos, 24% acquired</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 - $80M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Convergent Research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Adam Marblestone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E11 Bio, Cultivarium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 - $30-50M/FRO</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NovaWave + LG</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NovaWave Fund / LG NOVA</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energy, health startups</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Seattle + AI2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House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Public-private AI hub</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Venture Studio</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BCG</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BCG X</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2022</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36,000+ GPTs, venture building</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Platform-to-Product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McKinsey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QuantumBlack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 Lilli, GAIL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Platform-to-Product</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Accenture</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Labs + GenAI Studios</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agentic AI tools</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Platform-to-Product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watsonx AI Labs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6-12 month co-creation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 Eli Lilly</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 Co-Innovation Lab</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Jensen Huang, David Ricks</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BioNeMo, 1,016 Blackwell GPUs</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 - $1B/5yr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Sanofi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Research Factory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Paul Hudson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CodonBERT, 7 drug targets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Roche</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gRED Computational Sciences</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2020s</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Aviv Regev</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Lab in a Loop</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Incubator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Recursion + Exscientia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Combined Platform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drug discovery ($688M deal)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Consolidation</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Hexagon</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Octave</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 (planned)</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Asset Lifecycle Intelligence</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Spin-off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 Telecom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CIC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employees, $3.5B target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Company-in-Company</w:t>
            </w:r>
          </w:p>
        </w:tc>
      </w:tr>
      <w:tr>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AMD</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Silo AI (acquired)</w:t>
            </w:r>
          </w:p>
        </w:tc>
        <w:tc>
          <w:tcPr>
            <w:tcW w:type="dxa" w:w="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Peter Sarlin</w:t>
            </w:r>
          </w:p>
        </w:tc>
        <w:tc>
          <w:tcPr>
            <w:tcW w:type="dxa" w:w="1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AI, Poro LLMs</w:t>
            </w:r>
          </w:p>
        </w:tc>
        <w:tc>
          <w:tcPr>
            <w:tcW w:type="dxa" w:w="2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Acquisition - $665M</w:t>
            </w:r>
          </w:p>
        </w:tc>
      </w:tr>
    </w:tbl>
    <w:p>
      <w:r>
        <w:br w:type="page"/>
      </w:r>
    </w:p>
    <w:p>
      <w:pPr>
        <w:pStyle w:val="Heading1"/>
        <w:spacing w:before="400" w:after="200"/>
      </w:pPr>
      <w:r>
        <w:rPr>
          <w:rFonts w:ascii="Arial" w:cs="Arial" w:eastAsia="Arial" w:hAnsi="Arial"/>
          <w:b/>
          <w:bCs/>
          <w:color w:val="1a365d"/>
          <w:sz w:val="32"/>
          <w:szCs w:val="32"/>
        </w:rPr>
        <w:t xml:space="preserve">Part III: Key Insights from Research</w:t>
      </w:r>
    </w:p>
    <w:p>
      <w:pPr>
        <w:spacing w:after="120"/>
      </w:pPr>
      <w:r>
        <w:rPr>
          <w:rFonts w:ascii="Arial" w:cs="Arial" w:eastAsia="Arial" w:hAnsi="Arial"/>
          <w:sz w:val="22"/>
          <w:szCs w:val="22"/>
        </w:rPr>
        <w:t xml:space="preserve">Synthesized findings from podcast and substack research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6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Key Insight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Cheeky Pint - Kyle Vogt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 $100B company created in 2025-2026 will have fewer than 100 people.</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Priors - Andrew Ng</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 of small teams has increased dramatically. Founders operating the same way as 2022 are doing it wrong.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BG2 - Ghodsi &amp; Jain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95% of AI projects fail. LLMs commoditizing - durable advantage shifts to proprietary data, agentic systems.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BG2 - Ghodsi &amp; Jain</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We all become supervisors - human oversight essential even with agents.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Latent Space - SourceGraph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Ship 15x/day with no code reviews. Traditional roadmaps become liabilities in AI environment.</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Useful Thing - Mollick</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Leadership-Lab-Crowd framework: 40% of employees are Secret Cyborgs using AI without permission.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Acquired - Bret Taylor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You're hiring an agent to do a job - fundamentally different than installing software.</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Stratechery - Thompson</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 recruited Alexandr Wang, Nat Friedman, Daniel Gross after models fell behind - $1B hiring spree.</w:t>
            </w:r>
          </w:p>
        </w:tc>
      </w:tr>
    </w:tbl>
    <w:p>
      <w:r>
        <w:br w:type="page"/>
      </w:r>
    </w:p>
    <w:p>
      <w:pPr>
        <w:pStyle w:val="Heading1"/>
        <w:spacing w:before="400" w:after="200"/>
      </w:pPr>
      <w:r>
        <w:rPr>
          <w:rFonts w:ascii="Arial" w:cs="Arial" w:eastAsia="Arial" w:hAnsi="Arial"/>
          <w:b/>
          <w:bCs/>
          <w:color w:val="1a365d"/>
          <w:sz w:val="32"/>
          <w:szCs w:val="32"/>
        </w:rPr>
        <w:t xml:space="preserve">Part IV: Chief AI Officer Appointments</w:t>
      </w:r>
    </w:p>
    <w:p>
      <w:pPr>
        <w:spacing w:after="120"/>
      </w:pPr>
      <w:r>
        <w:rPr>
          <w:rFonts w:ascii="Arial" w:cs="Arial" w:eastAsia="Arial" w:hAnsi="Arial"/>
          <w:sz w:val="22"/>
          <w:szCs w:val="22"/>
        </w:rPr>
        <w:t xml:space="preserve">Recent appointments (2025-2026). Market trend: 40%+ of Fortune 500 expected to have CAIO by end of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Note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Daniele Magazzeni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 2025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CAIO for wealth management</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Airbnb</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Ahmad Al-Dahle (CTO)</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Jan 2026</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Ex-Meta Llama team lead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Commonwealth Bank Australia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Ranil Boteju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Ex-Lloyd's CDO</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Wells Fargo</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Saul Van Beurden</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Nov 2025</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Expanded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 Cyber Command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Reid Novotny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 2025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DoD Cyber lead</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Dept of Defense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Douglas Matty (CDAO)</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2025</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Alabama Research</w:t>
            </w:r>
          </w:p>
        </w:tc>
      </w:tr>
    </w:tbl>
    <w:p>
      <w:r>
        <w:br w:type="page"/>
      </w:r>
    </w:p>
    <w:p>
      <w:pPr>
        <w:pStyle w:val="Heading1"/>
        <w:spacing w:before="400" w:after="200"/>
      </w:pPr>
      <w:r>
        <w:rPr>
          <w:rFonts w:ascii="Arial" w:cs="Arial" w:eastAsia="Arial" w:hAnsi="Arial"/>
          <w:b/>
          <w:bCs/>
          <w:color w:val="1a365d"/>
          <w:sz w:val="32"/>
          <w:szCs w:val="32"/>
        </w:rPr>
        <w:t xml:space="preserve">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Count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Product/Venture Labs Cataloged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r>
      <w:tr>
        <w:tc>
          <w:tcPr>
            <w:tcW w:type="dxa" w:w="6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Research Insights Extracted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CAIO Appointments Tracked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r>
        <w:tc>
          <w:tcPr>
            <w:tcW w:type="dxa" w:w="6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Combined AI Spinoff Valuations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$80B+</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Podcast Sources Analyzed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r>
      <w:tr>
        <w:tc>
          <w:tcPr>
            <w:tcW w:type="dxa" w:w="6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Substack Sources Analyzed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bl>
    <w:p>
      <w:pPr>
        <w:spacing w:before="400"/>
      </w:pPr>
    </w:p>
    <w:p>
      <w:pPr>
        <w:spacing w:after="120"/>
      </w:pPr>
      <w:r>
        <w:rPr>
          <w:rFonts w:ascii="Arial" w:cs="Arial" w:eastAsia="Arial" w:hAnsi="Arial"/>
          <w:sz w:val="22"/>
          <w:szCs w:val="22"/>
        </w:rPr>
        <w:t xml:space="preserve">Sources: Cheeky Pint, No Priors, BG2 Pod, Latent Space, AI Daily Brief, Acquired, Dwarkesh, Conversations with Tyler, Invest Like the Best, Cognitive Revolution, Stratechery, Not Boring, One Useful Thing, The Generalist, Import AI, SemiAnalysis, TechCrunch, Bloomberg, The Information, SEC filings.</w:t>
      </w:r>
    </w:p>
    <w:p>
      <w:pPr>
        <w:spacing w:after="120"/>
      </w:pPr>
      <w:r>
        <w:rPr>
          <w:rFonts w:ascii="Arial" w:cs="Arial" w:eastAsia="Arial" w:hAnsi="Arial"/>
          <w:sz w:val="22"/>
          <w:szCs w:val="22"/>
        </w:rPr>
        <w:t xml:space="preserve">Research skill: ai-org-models-research v1.0 - Supports ongoing updates via podcast, substack, SEC, and press monitoring.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AI Organizational Models - Comprehensive Report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a365d"/>
      <w:sz w:val="32"/>
      <w:szCs w:val="32"/>
    </w:rPr>
  </w:style>
  <w:style w:type="paragraph" w:styleId="Heading2">
    <w:name w:val="Heading 2"/>
    <w:basedOn w:val="Normal"/>
    <w:next w:val="Normal"/>
    <w:qFormat/>
    <w:pPr>
      <w:spacing w:before="300" w:after="150"/>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2026-01-17T17:49:02.427Z</dcterms:created>
  <dcterms:modified xsi:type="dcterms:W3CDTF">2026-01-17T17:49:02.427Z</dcterms:modified>
</cp:coreProperties>
</file>

<file path=docProps/custom.xml><?xml version="1.0" encoding="utf-8"?>
<Properties xmlns="http://schemas.openxmlformats.org/officeDocument/2006/custom-properties" xmlns:vt="http://schemas.openxmlformats.org/officeDocument/2006/docPropsVTypes"/>
</file>