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B843"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14:ligatures w14:val="none"/>
        </w:rPr>
      </w:pPr>
      <w:r w:rsidRPr="00080336">
        <w:rPr>
          <w:rFonts w:ascii="Segoe UI" w:eastAsia="Times New Roman" w:hAnsi="Segoe UI" w:cs="Segoe UI"/>
          <w:b/>
          <w:bCs/>
          <w:color w:val="141413"/>
          <w:kern w:val="0"/>
          <w:sz w:val="36"/>
          <w:szCs w:val="36"/>
          <w14:ligatures w14:val="none"/>
        </w:rPr>
        <w:t>Puzzles and Anomalies from the Herbarium</w:t>
      </w:r>
    </w:p>
    <w:p w14:paraId="7024C19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1. The Delayering Prediction Is Confirmed — But the Mechanism Might Be Wrong</w:t>
      </w:r>
    </w:p>
    <w:p w14:paraId="4D22F91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Simon (1947) predicts flatter hierarchies because AI substitutes for middle managers' information-aggregation role. Garicano (2000) makes a more specific prediction: AI reduces the cost of knowledge acquisition (parameter </w:t>
      </w:r>
      <w:r w:rsidRPr="00080336">
        <w:rPr>
          <w:rFonts w:ascii="Segoe UI" w:eastAsia="Times New Roman" w:hAnsi="Segoe UI" w:cs="Segoe UI"/>
          <w:i/>
          <w:iCs/>
          <w:color w:val="141413"/>
          <w:kern w:val="0"/>
          <w:sz w:val="21"/>
          <w:szCs w:val="21"/>
          <w:bdr w:val="single" w:sz="2" w:space="0" w:color="1F1E1D" w:frame="1"/>
          <w14:ligatures w14:val="none"/>
        </w:rPr>
        <w:t>c</w:t>
      </w:r>
      <w:r w:rsidRPr="00080336">
        <w:rPr>
          <w:rFonts w:ascii="Segoe UI" w:eastAsia="Times New Roman" w:hAnsi="Segoe UI" w:cs="Segoe UI"/>
          <w:color w:val="141413"/>
          <w:kern w:val="0"/>
          <w:sz w:val="21"/>
          <w:szCs w:val="21"/>
          <w14:ligatures w14:val="none"/>
        </w:rPr>
        <w:t>), which should widen worker spans and flatten the pyramid.</w:t>
      </w:r>
    </w:p>
    <w:p w14:paraId="51BA0B1E"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Our data — 6 specimens across unrelated industries — confirms the delayering outcome. But look at the </w:t>
      </w:r>
      <w:r w:rsidRPr="00080336">
        <w:rPr>
          <w:rFonts w:ascii="Segoe UI" w:eastAsia="Times New Roman" w:hAnsi="Segoe UI" w:cs="Segoe UI"/>
          <w:i/>
          <w:iCs/>
          <w:color w:val="141413"/>
          <w:kern w:val="0"/>
          <w:sz w:val="21"/>
          <w:szCs w:val="21"/>
          <w:bdr w:val="single" w:sz="2" w:space="0" w:color="1F1E1D" w:frame="1"/>
          <w14:ligatures w14:val="none"/>
        </w:rPr>
        <w:t>language</w:t>
      </w:r>
      <w:r w:rsidRPr="00080336">
        <w:rPr>
          <w:rFonts w:ascii="Segoe UI" w:eastAsia="Times New Roman" w:hAnsi="Segoe UI" w:cs="Segoe UI"/>
          <w:color w:val="141413"/>
          <w:kern w:val="0"/>
          <w:sz w:val="21"/>
          <w:szCs w:val="21"/>
          <w14:ligatures w14:val="none"/>
        </w:rPr>
        <w:t> the CEOs use: Nadella says "act as individual contributors," Jassy says "it's culture," Zuckerberg says "a single talented person" replaces whole teams, McDermott says "obliterate 20th century org charts."</w:t>
      </w:r>
    </w:p>
    <w:p w14:paraId="69496718"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puzzle</w:t>
      </w:r>
      <w:r w:rsidRPr="00080336">
        <w:rPr>
          <w:rFonts w:ascii="Segoe UI" w:eastAsia="Times New Roman" w:hAnsi="Segoe UI" w:cs="Segoe UI"/>
          <w:color w:val="141413"/>
          <w:kern w:val="0"/>
          <w:sz w:val="21"/>
          <w:szCs w:val="21"/>
          <w14:ligatures w14:val="none"/>
        </w:rPr>
        <w:t>: None of them are describing reduced information aggregation. They're describing </w:t>
      </w:r>
      <w:r w:rsidRPr="00080336">
        <w:rPr>
          <w:rFonts w:ascii="Segoe UI" w:eastAsia="Times New Roman" w:hAnsi="Segoe UI" w:cs="Segoe UI"/>
          <w:i/>
          <w:iCs/>
          <w:color w:val="141413"/>
          <w:kern w:val="0"/>
          <w:sz w:val="21"/>
          <w:szCs w:val="21"/>
          <w:bdr w:val="single" w:sz="2" w:space="0" w:color="1F1E1D" w:frame="1"/>
          <w14:ligatures w14:val="none"/>
        </w:rPr>
        <w:t>reduced coordination overhead</w:t>
      </w:r>
      <w:r w:rsidRPr="00080336">
        <w:rPr>
          <w:rFonts w:ascii="Segoe UI" w:eastAsia="Times New Roman" w:hAnsi="Segoe UI" w:cs="Segoe UI"/>
          <w:color w:val="141413"/>
          <w:kern w:val="0"/>
          <w:sz w:val="21"/>
          <w:szCs w:val="21"/>
          <w14:ligatures w14:val="none"/>
        </w:rPr>
        <w:t>. The information-aggregation story says managers become unnecessary because AI synthesizes data. The coordination story says managers become unnecessary because AI enables more autonomous agents who need less hand-holding. These are different mechanisms. Simon/Garicano predict flatter hierarchies because </w:t>
      </w:r>
      <w:r w:rsidRPr="00080336">
        <w:rPr>
          <w:rFonts w:ascii="Segoe UI" w:eastAsia="Times New Roman" w:hAnsi="Segoe UI" w:cs="Segoe UI"/>
          <w:i/>
          <w:iCs/>
          <w:color w:val="141413"/>
          <w:kern w:val="0"/>
          <w:sz w:val="21"/>
          <w:szCs w:val="21"/>
          <w:bdr w:val="single" w:sz="2" w:space="0" w:color="1F1E1D" w:frame="1"/>
          <w14:ligatures w14:val="none"/>
        </w:rPr>
        <w:t>information flows change</w:t>
      </w:r>
      <w:r w:rsidRPr="00080336">
        <w:rPr>
          <w:rFonts w:ascii="Segoe UI" w:eastAsia="Times New Roman" w:hAnsi="Segoe UI" w:cs="Segoe UI"/>
          <w:color w:val="141413"/>
          <w:kern w:val="0"/>
          <w:sz w:val="21"/>
          <w:szCs w:val="21"/>
          <w14:ligatures w14:val="none"/>
        </w:rPr>
        <w:t>. What we're observing may be flatter hierarchies because </w:t>
      </w:r>
      <w:r w:rsidRPr="00080336">
        <w:rPr>
          <w:rFonts w:ascii="Segoe UI" w:eastAsia="Times New Roman" w:hAnsi="Segoe UI" w:cs="Segoe UI"/>
          <w:i/>
          <w:iCs/>
          <w:color w:val="141413"/>
          <w:kern w:val="0"/>
          <w:sz w:val="21"/>
          <w:szCs w:val="21"/>
          <w:bdr w:val="single" w:sz="2" w:space="0" w:color="1F1E1D" w:frame="1"/>
          <w14:ligatures w14:val="none"/>
        </w:rPr>
        <w:t>task interdependence changes</w:t>
      </w:r>
      <w:r w:rsidRPr="00080336">
        <w:rPr>
          <w:rFonts w:ascii="Segoe UI" w:eastAsia="Times New Roman" w:hAnsi="Segoe UI" w:cs="Segoe UI"/>
          <w:color w:val="141413"/>
          <w:kern w:val="0"/>
          <w:sz w:val="21"/>
          <w:szCs w:val="21"/>
          <w14:ligatures w14:val="none"/>
        </w:rPr>
        <w:t> — AI makes individuals more self-sufficient, reducing the need for managers who broker between specialists.</w:t>
      </w:r>
    </w:p>
    <w:p w14:paraId="400504D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Dessein (2002) is actually closer: if AI reduces communication distortion (by making information transparent), centralization becomes more viable and the coordination role of middle management loses its justification. But even Dessein assumes the </w:t>
      </w:r>
      <w:r w:rsidRPr="00080336">
        <w:rPr>
          <w:rFonts w:ascii="Segoe UI" w:eastAsia="Times New Roman" w:hAnsi="Segoe UI" w:cs="Segoe UI"/>
          <w:i/>
          <w:iCs/>
          <w:color w:val="141413"/>
          <w:kern w:val="0"/>
          <w:sz w:val="21"/>
          <w:szCs w:val="21"/>
          <w:bdr w:val="single" w:sz="2" w:space="0" w:color="1F1E1D" w:frame="1"/>
          <w14:ligatures w14:val="none"/>
        </w:rPr>
        <w:t>information</w:t>
      </w:r>
      <w:r w:rsidRPr="00080336">
        <w:rPr>
          <w:rFonts w:ascii="Segoe UI" w:eastAsia="Times New Roman" w:hAnsi="Segoe UI" w:cs="Segoe UI"/>
          <w:color w:val="141413"/>
          <w:kern w:val="0"/>
          <w:sz w:val="21"/>
          <w:szCs w:val="21"/>
          <w14:ligatures w14:val="none"/>
        </w:rPr>
        <w:t> channel is what changes. Our specimens suggest it's the </w:t>
      </w:r>
      <w:r w:rsidRPr="00080336">
        <w:rPr>
          <w:rFonts w:ascii="Segoe UI" w:eastAsia="Times New Roman" w:hAnsi="Segoe UI" w:cs="Segoe UI"/>
          <w:i/>
          <w:iCs/>
          <w:color w:val="141413"/>
          <w:kern w:val="0"/>
          <w:sz w:val="21"/>
          <w:szCs w:val="21"/>
          <w:bdr w:val="single" w:sz="2" w:space="0" w:color="1F1E1D" w:frame="1"/>
          <w14:ligatures w14:val="none"/>
        </w:rPr>
        <w:t>task autonomy</w:t>
      </w:r>
      <w:r w:rsidRPr="00080336">
        <w:rPr>
          <w:rFonts w:ascii="Segoe UI" w:eastAsia="Times New Roman" w:hAnsi="Segoe UI" w:cs="Segoe UI"/>
          <w:color w:val="141413"/>
          <w:kern w:val="0"/>
          <w:sz w:val="21"/>
          <w:szCs w:val="21"/>
          <w14:ligatures w14:val="none"/>
        </w:rPr>
        <w:t> channel — AI-augmented workers simply need less coordination.</w:t>
      </w:r>
    </w:p>
    <w:p w14:paraId="1B96C4DB"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What would settle this</w:t>
      </w:r>
      <w:r w:rsidRPr="00080336">
        <w:rPr>
          <w:rFonts w:ascii="Segoe UI" w:eastAsia="Times New Roman" w:hAnsi="Segoe UI" w:cs="Segoe UI"/>
          <w:color w:val="141413"/>
          <w:kern w:val="0"/>
          <w:sz w:val="21"/>
          <w:szCs w:val="21"/>
          <w14:ligatures w14:val="none"/>
        </w:rPr>
        <w:t>: Evidence on whether the delayered organizations are </w:t>
      </w:r>
      <w:r w:rsidRPr="00080336">
        <w:rPr>
          <w:rFonts w:ascii="Segoe UI" w:eastAsia="Times New Roman" w:hAnsi="Segoe UI" w:cs="Segoe UI"/>
          <w:i/>
          <w:iCs/>
          <w:color w:val="141413"/>
          <w:kern w:val="0"/>
          <w:sz w:val="21"/>
          <w:szCs w:val="21"/>
          <w:bdr w:val="single" w:sz="2" w:space="0" w:color="1F1E1D" w:frame="1"/>
          <w14:ligatures w14:val="none"/>
        </w:rPr>
        <w:t>also</w:t>
      </w:r>
      <w:r w:rsidRPr="00080336">
        <w:rPr>
          <w:rFonts w:ascii="Segoe UI" w:eastAsia="Times New Roman" w:hAnsi="Segoe UI" w:cs="Segoe UI"/>
          <w:color w:val="141413"/>
          <w:kern w:val="0"/>
          <w:sz w:val="21"/>
          <w:szCs w:val="21"/>
          <w14:ligatures w14:val="none"/>
        </w:rPr>
        <w:t> changing decision rights. If workers are making decisions that previously required managerial approval (task autonomy), that's different from workers receiving the same information that managers used to synthesize (information aggregation). We have some evidence: Amazon's "removing bureaucracy" framing suggests task autonomy. But we need more.</w:t>
      </w:r>
    </w:p>
    <w:p w14:paraId="020AD3DD"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Pr>
          <w:noProof/>
        </w:rPr>
      </w:r>
      <w:r>
        <w:pict w14:anchorId="1F6D593C">
          <v:rect id="Horizontal Line 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" fillcolor="#141413" stroked="f">
            <o:lock v:ext="edit" rotation="t" aspectratio="t" verticies="t" text="t" shapetype="t"/>
            <w10:anchorlock/>
          </v:rect>
        </w:pict>
      </w:r>
    </w:p>
    <w:p w14:paraId="746E71A4"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2. The Hub-and-Spoke Convergence: Garicano vs. Alonso-Dessein-Matouschek</w:t>
      </w:r>
    </w:p>
    <w:p w14:paraId="4C0A8ECD"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We have two competing theoretical explanations for why R&amp;D-intensive industries converge on hub-and-spoke:</w:t>
      </w:r>
    </w:p>
    <w:p w14:paraId="4C15205E" w14:textId="77777777" w:rsidR="00080336" w:rsidRPr="00080336" w:rsidRDefault="00080336" w:rsidP="000803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Garicano</w:t>
      </w:r>
      <w:r w:rsidRPr="00080336">
        <w:rPr>
          <w:rFonts w:ascii="Segoe UI" w:eastAsia="Times New Roman" w:hAnsi="Segoe UI" w:cs="Segoe UI"/>
          <w:color w:val="141413"/>
          <w:kern w:val="0"/>
          <w:sz w:val="21"/>
          <w:szCs w:val="21"/>
          <w14:ligatures w14:val="none"/>
        </w:rPr>
        <w:t>: The hub matches problems to specialized knowledge. Workers in the spokes handle routine problems; the hub handles exceptions that require cross-domain expertise.</w:t>
      </w:r>
    </w:p>
    <w:p w14:paraId="6187A471" w14:textId="77777777" w:rsidR="00080336" w:rsidRPr="00080336" w:rsidRDefault="00080336" w:rsidP="000803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Alonso-Dessein-Matouschek (ADM)</w:t>
      </w:r>
      <w:r w:rsidRPr="00080336">
        <w:rPr>
          <w:rFonts w:ascii="Segoe UI" w:eastAsia="Times New Roman" w:hAnsi="Segoe UI" w:cs="Segoe UI"/>
          <w:color w:val="141413"/>
          <w:kern w:val="0"/>
          <w:sz w:val="21"/>
          <w:szCs w:val="21"/>
          <w14:ligatures w14:val="none"/>
        </w:rPr>
        <w:t>: The hub solves a coordination problem. When divisions need to align (shared data infrastructure, common model architectures), centralization reduces the communication distortion that self-interested divisions would introduce.</w:t>
      </w:r>
    </w:p>
    <w:p w14:paraId="2BBC6B47"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lastRenderedPageBreak/>
        <w:t>Our 5 pharma specimens are consistent with </w:t>
      </w:r>
      <w:r w:rsidRPr="00080336">
        <w:rPr>
          <w:rFonts w:ascii="Segoe UI" w:eastAsia="Times New Roman" w:hAnsi="Segoe UI" w:cs="Segoe UI"/>
          <w:i/>
          <w:iCs/>
          <w:color w:val="141413"/>
          <w:kern w:val="0"/>
          <w:sz w:val="21"/>
          <w:szCs w:val="21"/>
          <w:bdr w:val="single" w:sz="2" w:space="0" w:color="1F1E1D" w:frame="1"/>
          <w14:ligatures w14:val="none"/>
        </w:rPr>
        <w:t>both</w:t>
      </w:r>
      <w:r w:rsidRPr="00080336">
        <w:rPr>
          <w:rFonts w:ascii="Segoe UI" w:eastAsia="Times New Roman" w:hAnsi="Segoe UI" w:cs="Segoe UI"/>
          <w:color w:val="141413"/>
          <w:kern w:val="0"/>
          <w:sz w:val="21"/>
          <w:szCs w:val="21"/>
          <w14:ligatures w14:val="none"/>
        </w:rPr>
        <w:t>. We can't distinguish them because pharma has both high knowledge specialization (Garicano) </w:t>
      </w:r>
      <w:r w:rsidRPr="00080336">
        <w:rPr>
          <w:rFonts w:ascii="Segoe UI" w:eastAsia="Times New Roman" w:hAnsi="Segoe UI" w:cs="Segoe UI"/>
          <w:i/>
          <w:iCs/>
          <w:color w:val="141413"/>
          <w:kern w:val="0"/>
          <w:sz w:val="21"/>
          <w:szCs w:val="21"/>
          <w:bdr w:val="single" w:sz="2" w:space="0" w:color="1F1E1D" w:frame="1"/>
          <w14:ligatures w14:val="none"/>
        </w:rPr>
        <w:t>and</w:t>
      </w:r>
      <w:r w:rsidRPr="00080336">
        <w:rPr>
          <w:rFonts w:ascii="Segoe UI" w:eastAsia="Times New Roman" w:hAnsi="Segoe UI" w:cs="Segoe UI"/>
          <w:color w:val="141413"/>
          <w:kern w:val="0"/>
          <w:sz w:val="21"/>
          <w:szCs w:val="21"/>
          <w14:ligatures w14:val="none"/>
        </w:rPr>
        <w:t> high cross-unit coordination needs (ADM).</w:t>
      </w:r>
    </w:p>
    <w:p w14:paraId="766C4FAB"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test</w:t>
      </w:r>
      <w:r w:rsidRPr="00080336">
        <w:rPr>
          <w:rFonts w:ascii="Segoe UI" w:eastAsia="Times New Roman" w:hAnsi="Segoe UI" w:cs="Segoe UI"/>
          <w:color w:val="141413"/>
          <w:kern w:val="0"/>
          <w:sz w:val="21"/>
          <w:szCs w:val="21"/>
          <w14:ligatures w14:val="none"/>
        </w:rPr>
        <w:t>: Find R&amp;D-intensive industries with </w:t>
      </w:r>
      <w:r w:rsidRPr="00080336">
        <w:rPr>
          <w:rFonts w:ascii="Segoe UI" w:eastAsia="Times New Roman" w:hAnsi="Segoe UI" w:cs="Segoe UI"/>
          <w:i/>
          <w:iCs/>
          <w:color w:val="141413"/>
          <w:kern w:val="0"/>
          <w:sz w:val="21"/>
          <w:szCs w:val="21"/>
          <w:bdr w:val="single" w:sz="2" w:space="0" w:color="1F1E1D" w:frame="1"/>
          <w14:ligatures w14:val="none"/>
        </w:rPr>
        <w:t>low</w:t>
      </w:r>
      <w:r w:rsidRPr="00080336">
        <w:rPr>
          <w:rFonts w:ascii="Segoe UI" w:eastAsia="Times New Roman" w:hAnsi="Segoe UI" w:cs="Segoe UI"/>
          <w:color w:val="141413"/>
          <w:kern w:val="0"/>
          <w:sz w:val="21"/>
          <w:szCs w:val="21"/>
          <w14:ligatures w14:val="none"/>
        </w:rPr>
        <w:t> cross-unit coordination needs. If they still use hub-and-spoke, Garicano wins (it's about knowledge matching). If they use embedded teams or informal structures instead, ADM wins (it's about coordination). Semiconductor companies might be the test case — chipmakers have highly specialized knowledge but relatively independent product lines.</w:t>
      </w:r>
    </w:p>
    <w:p w14:paraId="34393AE6"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We flagged this in the insight itself ("need non-pharma R&amp;D-intensive specimens"), but now we know </w:t>
      </w:r>
      <w:r w:rsidRPr="00080336">
        <w:rPr>
          <w:rFonts w:ascii="Segoe UI" w:eastAsia="Times New Roman" w:hAnsi="Segoe UI" w:cs="Segoe UI"/>
          <w:i/>
          <w:iCs/>
          <w:color w:val="141413"/>
          <w:kern w:val="0"/>
          <w:sz w:val="21"/>
          <w:szCs w:val="21"/>
          <w:bdr w:val="single" w:sz="2" w:space="0" w:color="1F1E1D" w:frame="1"/>
          <w14:ligatures w14:val="none"/>
        </w:rPr>
        <w:t>what theory hangs on the answer</w:t>
      </w:r>
      <w:r w:rsidRPr="00080336">
        <w:rPr>
          <w:rFonts w:ascii="Segoe UI" w:eastAsia="Times New Roman" w:hAnsi="Segoe UI" w:cs="Segoe UI"/>
          <w:color w:val="141413"/>
          <w:kern w:val="0"/>
          <w:sz w:val="21"/>
          <w:szCs w:val="21"/>
          <w14:ligatures w14:val="none"/>
        </w:rPr>
        <w:t>.</w:t>
      </w:r>
    </w:p>
    <w:p w14:paraId="12955310"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sidRPr="009E5105">
        <w:rPr>
          <w:rFonts w:ascii="Times New Roman" w:eastAsia="Times New Roman" w:hAnsi="Times New Roman" w:cs="Times New Roman"/>
          <w:noProof/>
          <w:kern w:val="0"/>
        </w:rPr>
        <w:pict w14:anchorId="67ECE232">
          <v:rect id="_x0000_i1030" alt="" style="width:468pt;height:.05pt;mso-width-percent:0;mso-height-percent:0;mso-width-percent:0;mso-height-percent:0" o:hralign="center" o:hrstd="t" o:hrnoshade="t" o:hr="t" fillcolor="#141413" stroked="f"/>
        </w:pict>
      </w:r>
    </w:p>
    <w:p w14:paraId="05A0478F"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3. The AI-Native Boundary Condition Is More Radical Than We've Acknowledged</w:t>
      </w:r>
    </w:p>
    <w:p w14:paraId="70E5FC0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We noted that AI-native organizations (M9) don't face the classic ambidexterity tension. But this is actually a stronger theoretical claim than we've framed it.</w:t>
      </w:r>
    </w:p>
    <w:p w14:paraId="4201C85F"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March (1991) assumes </w:t>
      </w:r>
      <w:r w:rsidRPr="00080336">
        <w:rPr>
          <w:rFonts w:ascii="Segoe UI" w:eastAsia="Times New Roman" w:hAnsi="Segoe UI" w:cs="Segoe UI"/>
          <w:i/>
          <w:iCs/>
          <w:color w:val="141413"/>
          <w:kern w:val="0"/>
          <w:sz w:val="21"/>
          <w:szCs w:val="21"/>
          <w:bdr w:val="single" w:sz="2" w:space="0" w:color="1F1E1D" w:frame="1"/>
          <w14:ligatures w14:val="none"/>
        </w:rPr>
        <w:t>all</w:t>
      </w:r>
      <w:r w:rsidRPr="00080336">
        <w:rPr>
          <w:rFonts w:ascii="Segoe UI" w:eastAsia="Times New Roman" w:hAnsi="Segoe UI" w:cs="Segoe UI"/>
          <w:color w:val="141413"/>
          <w:kern w:val="0"/>
          <w:sz w:val="21"/>
          <w:szCs w:val="21"/>
          <w14:ligatures w14:val="none"/>
        </w:rPr>
        <w:t> organizations face exploration-exploitation tension. O'Reilly &amp; Tushman (2004, 2013) build the entire ambidexterity framework on this premise. Our M9 specimens don't just represent a "different kind" of organization — they represent a </w:t>
      </w:r>
      <w:r w:rsidRPr="00080336">
        <w:rPr>
          <w:rFonts w:ascii="Segoe UI" w:eastAsia="Times New Roman" w:hAnsi="Segoe UI" w:cs="Segoe UI"/>
          <w:b/>
          <w:bCs/>
          <w:color w:val="141413"/>
          <w:kern w:val="0"/>
          <w:sz w:val="21"/>
          <w:szCs w:val="21"/>
          <w:bdr w:val="single" w:sz="2" w:space="0" w:color="1F1E1D" w:frame="1"/>
          <w14:ligatures w14:val="none"/>
        </w:rPr>
        <w:t>boundary condition</w:t>
      </w:r>
      <w:r w:rsidRPr="00080336">
        <w:rPr>
          <w:rFonts w:ascii="Segoe UI" w:eastAsia="Times New Roman" w:hAnsi="Segoe UI" w:cs="Segoe UI"/>
          <w:color w:val="141413"/>
          <w:kern w:val="0"/>
          <w:sz w:val="21"/>
          <w:szCs w:val="21"/>
          <w14:ligatures w14:val="none"/>
        </w:rPr>
        <w:t> on the foundational theory. The exploration-exploitation trade-off assumes the organization has both activities. When it doesn't, the entire framework is inapplicable.</w:t>
      </w:r>
    </w:p>
    <w:p w14:paraId="5970B0B6"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deeper puzzle</w:t>
      </w:r>
      <w:r w:rsidRPr="00080336">
        <w:rPr>
          <w:rFonts w:ascii="Segoe UI" w:eastAsia="Times New Roman" w:hAnsi="Segoe UI" w:cs="Segoe UI"/>
          <w:color w:val="141413"/>
          <w:kern w:val="0"/>
          <w:sz w:val="21"/>
          <w:szCs w:val="21"/>
          <w14:ligatures w14:val="none"/>
        </w:rPr>
        <w:t>: When do AI-native organizations </w:t>
      </w:r>
      <w:r w:rsidRPr="00080336">
        <w:rPr>
          <w:rFonts w:ascii="Segoe UI" w:eastAsia="Times New Roman" w:hAnsi="Segoe UI" w:cs="Segoe UI"/>
          <w:i/>
          <w:iCs/>
          <w:color w:val="141413"/>
          <w:kern w:val="0"/>
          <w:sz w:val="21"/>
          <w:szCs w:val="21"/>
          <w:bdr w:val="single" w:sz="2" w:space="0" w:color="1F1E1D" w:frame="1"/>
          <w14:ligatures w14:val="none"/>
        </w:rPr>
        <w:t>start</w:t>
      </w:r>
      <w:r w:rsidRPr="00080336">
        <w:rPr>
          <w:rFonts w:ascii="Segoe UI" w:eastAsia="Times New Roman" w:hAnsi="Segoe UI" w:cs="Segoe UI"/>
          <w:color w:val="141413"/>
          <w:kern w:val="0"/>
          <w:sz w:val="21"/>
          <w:szCs w:val="21"/>
          <w14:ligatures w14:val="none"/>
        </w:rPr>
        <w:t> facing the ambidexterity tension? SSI has $3B and zero products — pure exploration. But eventually SSI will need to monetize, and then March kicks in. Databricks started as pure exploration (Spark) and is now a $62B company with serious execution obligations. Snowflake is in the same boat.</w:t>
      </w:r>
    </w:p>
    <w:p w14:paraId="53382BE7"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What this means</w:t>
      </w:r>
      <w:r w:rsidRPr="00080336">
        <w:rPr>
          <w:rFonts w:ascii="Segoe UI" w:eastAsia="Times New Roman" w:hAnsi="Segoe UI" w:cs="Segoe UI"/>
          <w:color w:val="141413"/>
          <w:kern w:val="0"/>
          <w:sz w:val="21"/>
          <w:szCs w:val="21"/>
          <w14:ligatures w14:val="none"/>
        </w:rPr>
        <w:t>: The AI-native specimens aren't just a boundary condition — they're a </w:t>
      </w:r>
      <w:r w:rsidRPr="00080336">
        <w:rPr>
          <w:rFonts w:ascii="Segoe UI" w:eastAsia="Times New Roman" w:hAnsi="Segoe UI" w:cs="Segoe UI"/>
          <w:b/>
          <w:bCs/>
          <w:color w:val="141413"/>
          <w:kern w:val="0"/>
          <w:sz w:val="21"/>
          <w:szCs w:val="21"/>
          <w:bdr w:val="single" w:sz="2" w:space="0" w:color="1F1E1D" w:frame="1"/>
          <w14:ligatures w14:val="none"/>
        </w:rPr>
        <w:t>longitudinal natural experiment</w:t>
      </w:r>
      <w:r w:rsidRPr="00080336">
        <w:rPr>
          <w:rFonts w:ascii="Segoe UI" w:eastAsia="Times New Roman" w:hAnsi="Segoe UI" w:cs="Segoe UI"/>
          <w:color w:val="141413"/>
          <w:kern w:val="0"/>
          <w:sz w:val="21"/>
          <w:szCs w:val="21"/>
          <w14:ligatures w14:val="none"/>
        </w:rPr>
        <w:t> in when and how the ambidexterity tension emerges. If we tracked Databricks and Snowflake over time, we'd watch the exploration-exploitation tension materialize in real time. The theory predicts that the tension emerges when the first product succeeds and execution demands compete with exploration resources. Our Snowflake and Databricks specimens should already show signs of this.</w:t>
      </w:r>
    </w:p>
    <w:p w14:paraId="2CF92B70"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sidRPr="009E5105">
        <w:rPr>
          <w:rFonts w:ascii="Times New Roman" w:eastAsia="Times New Roman" w:hAnsi="Times New Roman" w:cs="Times New Roman"/>
          <w:noProof/>
          <w:kern w:val="0"/>
        </w:rPr>
        <w:pict w14:anchorId="1CE69F8A">
          <v:rect id="_x0000_i1029" alt="" style="width:468pt;height:.05pt;mso-width-percent:0;mso-height-percent:0;mso-width-percent:0;mso-height-percent:0" o:hralign="center" o:hrstd="t" o:hrnoshade="t" o:hr="t" fillcolor="#141413" stroked="f"/>
        </w:pict>
      </w:r>
    </w:p>
    <w:p w14:paraId="6E043E74"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4. The Consolidation Arc Contradicts Henderson &amp; Clark</w:t>
      </w:r>
    </w:p>
    <w:p w14:paraId="33DCCF05"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Henderson &amp; Clark (1990) predict that architectural innovation (like AI) should be handled in structurally separate units to avoid contamination from embedded pre-AI knowledge. But our consolidation insight shows the </w:t>
      </w:r>
      <w:r w:rsidRPr="00080336">
        <w:rPr>
          <w:rFonts w:ascii="Segoe UI" w:eastAsia="Times New Roman" w:hAnsi="Segoe UI" w:cs="Segoe UI"/>
          <w:i/>
          <w:iCs/>
          <w:color w:val="141413"/>
          <w:kern w:val="0"/>
          <w:sz w:val="21"/>
          <w:szCs w:val="21"/>
          <w:bdr w:val="single" w:sz="2" w:space="0" w:color="1F1E1D" w:frame="1"/>
          <w14:ligatures w14:val="none"/>
        </w:rPr>
        <w:t>opposite</w:t>
      </w:r>
      <w:r w:rsidRPr="00080336">
        <w:rPr>
          <w:rFonts w:ascii="Segoe UI" w:eastAsia="Times New Roman" w:hAnsi="Segoe UI" w:cs="Segoe UI"/>
          <w:color w:val="141413"/>
          <w:kern w:val="0"/>
          <w:sz w:val="21"/>
          <w:szCs w:val="21"/>
          <w14:ligatures w14:val="none"/>
        </w:rPr>
        <w:t> trajectory: organizations start with separate AI units and then merge them into the core.</w:t>
      </w:r>
    </w:p>
    <w:p w14:paraId="38FEB56E"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Google: DeepMind separate → merged with Brain → Project EAT consolidating further. Meta: FAIR separate → merged into MSL under Wang. Pentagon: 6 separate innovation orgs → consolidated under single R&amp;E umbrella.</w:t>
      </w:r>
    </w:p>
    <w:p w14:paraId="1E8302CC"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lastRenderedPageBreak/>
        <w:t>Henderson &amp; Clark would predict this consolidation destroys the architectural knowledge that the separate units built. March (2006) would predict exploitation crowds out exploration once the units are merged.</w:t>
      </w:r>
    </w:p>
    <w:p w14:paraId="230F0AAD"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puzzle</w:t>
      </w:r>
      <w:r w:rsidRPr="00080336">
        <w:rPr>
          <w:rFonts w:ascii="Segoe UI" w:eastAsia="Times New Roman" w:hAnsi="Segoe UI" w:cs="Segoe UI"/>
          <w:color w:val="141413"/>
          <w:kern w:val="0"/>
          <w:sz w:val="21"/>
          <w:szCs w:val="21"/>
          <w14:ligatures w14:val="none"/>
        </w:rPr>
        <w:t>: Why does consolidation keep happening if the theory says it should destroy value? Three possible explanations:</w:t>
      </w:r>
    </w:p>
    <w:p w14:paraId="13195C07" w14:textId="77777777" w:rsidR="00080336" w:rsidRPr="00080336" w:rsidRDefault="00080336" w:rsidP="00080336">
      <w:pPr>
        <w:numPr>
          <w:ilvl w:val="0"/>
          <w:numId w:val="2"/>
        </w:num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coordination costs of separation eventually exceed the innovation benefits</w:t>
      </w:r>
      <w:r w:rsidRPr="00080336">
        <w:rPr>
          <w:rFonts w:ascii="Segoe UI" w:eastAsia="Times New Roman" w:hAnsi="Segoe UI" w:cs="Segoe UI"/>
          <w:color w:val="141413"/>
          <w:kern w:val="0"/>
          <w:sz w:val="21"/>
          <w:szCs w:val="21"/>
          <w14:ligatures w14:val="none"/>
        </w:rPr>
        <w:t> (Gibbons &amp; Henderson 2012). Relational contracts across competing AI teams become unsustainable — our stated theoretical anchor. This implies consolidation is rational even if it sacrifices some exploration.</w:t>
      </w:r>
    </w:p>
    <w:p w14:paraId="4EEC2F77" w14:textId="77777777" w:rsidR="00080336" w:rsidRPr="00080336" w:rsidRDefault="00080336" w:rsidP="00080336">
      <w:pPr>
        <w:numPr>
          <w:ilvl w:val="0"/>
          <w:numId w:val="2"/>
        </w:num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AI shifted from architectural to component innovation.</w:t>
      </w:r>
      <w:r w:rsidRPr="00080336">
        <w:rPr>
          <w:rFonts w:ascii="Segoe UI" w:eastAsia="Times New Roman" w:hAnsi="Segoe UI" w:cs="Segoe UI"/>
          <w:color w:val="141413"/>
          <w:kern w:val="0"/>
          <w:sz w:val="21"/>
          <w:szCs w:val="21"/>
          <w14:ligatures w14:val="none"/>
        </w:rPr>
        <w:t> When AI was new, it required organizational restructuring (architectural). Now that foundation models are mature, AI is becoming a component that fits into existing architectures. If so, Henderson &amp; Clark's logic no longer applies because the innovation type changed.</w:t>
      </w:r>
    </w:p>
    <w:p w14:paraId="55E5C78A" w14:textId="77777777" w:rsidR="00080336" w:rsidRPr="00080336" w:rsidRDefault="00080336" w:rsidP="00080336">
      <w:pPr>
        <w:numPr>
          <w:ilvl w:val="0"/>
          <w:numId w:val="2"/>
        </w:num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consolidation IS the exploitation phase of a temporal ambidexterity cycle.</w:t>
      </w:r>
      <w:r w:rsidRPr="00080336">
        <w:rPr>
          <w:rFonts w:ascii="Segoe UI" w:eastAsia="Times New Roman" w:hAnsi="Segoe UI" w:cs="Segoe UI"/>
          <w:color w:val="141413"/>
          <w:kern w:val="0"/>
          <w:sz w:val="21"/>
          <w:szCs w:val="21"/>
          <w14:ligatures w14:val="none"/>
        </w:rPr>
        <w:t> Organizations explored in separate units, found what works, and are now consolidating to execute at scale. Samsung C-Lab does this deliberately. Others may be doing it unconsciously.</w:t>
      </w:r>
    </w:p>
    <w:p w14:paraId="6B24D4C5"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Explanation 2 is the most theoretically interesting because it predicts that the organizations that consolidated too early (Meta?) paid the price by destroying exploration capacity before AI matured into a component innovation. Meta's 5th restructuring and LeCun's departure are consistent with this. Google, which merged Brain and DeepMind </w:t>
      </w:r>
      <w:r w:rsidRPr="00080336">
        <w:rPr>
          <w:rFonts w:ascii="Segoe UI" w:eastAsia="Times New Roman" w:hAnsi="Segoe UI" w:cs="Segoe UI"/>
          <w:i/>
          <w:iCs/>
          <w:color w:val="141413"/>
          <w:kern w:val="0"/>
          <w:sz w:val="21"/>
          <w:szCs w:val="21"/>
          <w:bdr w:val="single" w:sz="2" w:space="0" w:color="1F1E1D" w:frame="1"/>
          <w14:ligatures w14:val="none"/>
        </w:rPr>
        <w:t>later</w:t>
      </w:r>
      <w:r w:rsidRPr="00080336">
        <w:rPr>
          <w:rFonts w:ascii="Segoe UI" w:eastAsia="Times New Roman" w:hAnsi="Segoe UI" w:cs="Segoe UI"/>
          <w:color w:val="141413"/>
          <w:kern w:val="0"/>
          <w:sz w:val="21"/>
          <w:szCs w:val="21"/>
          <w14:ligatures w14:val="none"/>
        </w:rPr>
        <w:t> (2023), may have timed it better.</w:t>
      </w:r>
    </w:p>
    <w:p w14:paraId="7F036906"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sidRPr="009E5105">
        <w:rPr>
          <w:rFonts w:ascii="Times New Roman" w:eastAsia="Times New Roman" w:hAnsi="Times New Roman" w:cs="Times New Roman"/>
          <w:noProof/>
          <w:kern w:val="0"/>
        </w:rPr>
        <w:pict w14:anchorId="44F2763C">
          <v:rect id="_x0000_i1028" alt="" style="width:468pt;height:.05pt;mso-width-percent:0;mso-height-percent:0;mso-width-percent:0;mso-height-percent:0" o:hralign="center" o:hrstd="t" o:hrnoshade="t" o:hr="t" fillcolor="#141413" stroked="f"/>
        </w:pict>
      </w:r>
    </w:p>
    <w:p w14:paraId="40E0F4C1"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5. The "Regulation = Expensive, Not Slow" Finding Extends Teece (1986) in an Unexpected Direction</w:t>
      </w:r>
    </w:p>
    <w:p w14:paraId="111A6768"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Teece predicts that complementary assets determine value capture from innovation. We've connected our "compliance as deployment advantage" to this via North's institutional economics. But there's a subtler point.</w:t>
      </w:r>
    </w:p>
    <w:p w14:paraId="3CFDCBB6"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Teece's framework says the </w:t>
      </w:r>
      <w:r w:rsidRPr="00080336">
        <w:rPr>
          <w:rFonts w:ascii="Segoe UI" w:eastAsia="Times New Roman" w:hAnsi="Segoe UI" w:cs="Segoe UI"/>
          <w:i/>
          <w:iCs/>
          <w:color w:val="141413"/>
          <w:kern w:val="0"/>
          <w:sz w:val="21"/>
          <w:szCs w:val="21"/>
          <w:bdr w:val="single" w:sz="2" w:space="0" w:color="1F1E1D" w:frame="1"/>
          <w14:ligatures w14:val="none"/>
        </w:rPr>
        <w:t>imitability</w:t>
      </w:r>
      <w:r w:rsidRPr="00080336">
        <w:rPr>
          <w:rFonts w:ascii="Segoe UI" w:eastAsia="Times New Roman" w:hAnsi="Segoe UI" w:cs="Segoe UI"/>
          <w:color w:val="141413"/>
          <w:kern w:val="0"/>
          <w:sz w:val="21"/>
          <w:szCs w:val="21"/>
          <w14:ligatures w14:val="none"/>
        </w:rPr>
        <w:t> of complementary assets determines their value. Compliance infrastructure (audit trails, regulatory relationships, explainability protocols) is </w:t>
      </w:r>
      <w:r w:rsidRPr="00080336">
        <w:rPr>
          <w:rFonts w:ascii="Segoe UI" w:eastAsia="Times New Roman" w:hAnsi="Segoe UI" w:cs="Segoe UI"/>
          <w:b/>
          <w:bCs/>
          <w:color w:val="141413"/>
          <w:kern w:val="0"/>
          <w:sz w:val="21"/>
          <w:szCs w:val="21"/>
          <w:bdr w:val="single" w:sz="2" w:space="0" w:color="1F1E1D" w:frame="1"/>
          <w14:ligatures w14:val="none"/>
        </w:rPr>
        <w:t>extremely difficult to imitate</w:t>
      </w:r>
      <w:r w:rsidRPr="00080336">
        <w:rPr>
          <w:rFonts w:ascii="Segoe UI" w:eastAsia="Times New Roman" w:hAnsi="Segoe UI" w:cs="Segoe UI"/>
          <w:color w:val="141413"/>
          <w:kern w:val="0"/>
          <w:sz w:val="21"/>
          <w:szCs w:val="21"/>
          <w14:ligatures w14:val="none"/>
        </w:rPr>
        <w:t>. It requires years of investment, industry-specific relationships, and institutional knowledge that can't be bought.</w:t>
      </w:r>
    </w:p>
    <w:p w14:paraId="6F7CD12B"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The implication</w:t>
      </w:r>
      <w:r w:rsidRPr="00080336">
        <w:rPr>
          <w:rFonts w:ascii="Segoe UI" w:eastAsia="Times New Roman" w:hAnsi="Segoe UI" w:cs="Segoe UI"/>
          <w:color w:val="141413"/>
          <w:kern w:val="0"/>
          <w:sz w:val="21"/>
          <w:szCs w:val="21"/>
          <w14:ligatures w14:val="none"/>
        </w:rPr>
        <w:t>: Regulated industries may have a </w:t>
      </w:r>
      <w:r w:rsidRPr="00080336">
        <w:rPr>
          <w:rFonts w:ascii="Segoe UI" w:eastAsia="Times New Roman" w:hAnsi="Segoe UI" w:cs="Segoe UI"/>
          <w:i/>
          <w:iCs/>
          <w:color w:val="141413"/>
          <w:kern w:val="0"/>
          <w:sz w:val="21"/>
          <w:szCs w:val="21"/>
          <w:bdr w:val="single" w:sz="2" w:space="0" w:color="1F1E1D" w:frame="1"/>
          <w14:ligatures w14:val="none"/>
        </w:rPr>
        <w:t>structural advantage</w:t>
      </w:r>
      <w:r w:rsidRPr="00080336">
        <w:rPr>
          <w:rFonts w:ascii="Segoe UI" w:eastAsia="Times New Roman" w:hAnsi="Segoe UI" w:cs="Segoe UI"/>
          <w:color w:val="141413"/>
          <w:kern w:val="0"/>
          <w:sz w:val="21"/>
          <w:szCs w:val="21"/>
          <w14:ligatures w14:val="none"/>
        </w:rPr>
        <w:t> in AI deployment that the innovation literature hasn't recognized. The standard view (Christensen, disruption theory) says incumbents in regulated industries should be most vulnerable because regulation slows their response. Our data says the opposite: regulation creates a non-imitable complementary asset that makes incumbents </w:t>
      </w:r>
      <w:r w:rsidRPr="00080336">
        <w:rPr>
          <w:rFonts w:ascii="Segoe UI" w:eastAsia="Times New Roman" w:hAnsi="Segoe UI" w:cs="Segoe UI"/>
          <w:i/>
          <w:iCs/>
          <w:color w:val="141413"/>
          <w:kern w:val="0"/>
          <w:sz w:val="21"/>
          <w:szCs w:val="21"/>
          <w:bdr w:val="single" w:sz="2" w:space="0" w:color="1F1E1D" w:frame="1"/>
          <w14:ligatures w14:val="none"/>
        </w:rPr>
        <w:t>more</w:t>
      </w:r>
      <w:r w:rsidRPr="00080336">
        <w:rPr>
          <w:rFonts w:ascii="Segoe UI" w:eastAsia="Times New Roman" w:hAnsi="Segoe UI" w:cs="Segoe UI"/>
          <w:color w:val="141413"/>
          <w:kern w:val="0"/>
          <w:sz w:val="21"/>
          <w:szCs w:val="21"/>
          <w14:ligatures w14:val="none"/>
        </w:rPr>
        <w:t> defensible, not less.</w:t>
      </w:r>
    </w:p>
    <w:p w14:paraId="22714679"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JPMorgan deploys in 8-week cycles. Travelers processes 65B data points. Bank of America has 213K employees on AI tools. These aren't slow organizations — they're organizations whose compliance infrastructure creates barriers to entry that AI startups can't replicate.</w:t>
      </w:r>
    </w:p>
    <w:p w14:paraId="6EA9605A"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lastRenderedPageBreak/>
        <w:t>This is a potentially publishable finding: </w:t>
      </w:r>
      <w:r w:rsidRPr="00080336">
        <w:rPr>
          <w:rFonts w:ascii="Segoe UI" w:eastAsia="Times New Roman" w:hAnsi="Segoe UI" w:cs="Segoe UI"/>
          <w:b/>
          <w:bCs/>
          <w:color w:val="141413"/>
          <w:kern w:val="0"/>
          <w:sz w:val="21"/>
          <w:szCs w:val="21"/>
          <w:bdr w:val="single" w:sz="2" w:space="0" w:color="1F1E1D" w:frame="1"/>
          <w14:ligatures w14:val="none"/>
        </w:rPr>
        <w:t>the Christensen disruption logic is systematically wrong for AI in regulated industries, because regulatory infrastructure functions as a non-imitable complementary asset (Teece) rather than a source of incumbent inertia.</w:t>
      </w:r>
    </w:p>
    <w:p w14:paraId="72E25913"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sidRPr="009E5105">
        <w:rPr>
          <w:rFonts w:ascii="Times New Roman" w:eastAsia="Times New Roman" w:hAnsi="Times New Roman" w:cs="Times New Roman"/>
          <w:noProof/>
          <w:kern w:val="0"/>
        </w:rPr>
        <w:pict w14:anchorId="51E1AC85">
          <v:rect id="_x0000_i1027" alt="" style="width:468pt;height:.05pt;mso-width-percent:0;mso-height-percent:0;mso-width-percent:0;mso-height-percent:0" o:hralign="center" o:hrstd="t" o:hrnoshade="t" o:hr="t" fillcolor="#141413" stroked="f"/>
        </w:pict>
      </w:r>
    </w:p>
    <w:p w14:paraId="70801BD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6. The Missing Theory: Why "Deploy to Thousands" Works</w:t>
      </w:r>
    </w:p>
    <w:p w14:paraId="7DB8331C"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Mechanism #5 (Deploy to Thousands Before You Know What Works) is our most widespread confirmed mechanism — 11 specimens. We anchor it to Arrow's learning-by-doing. But this anchor is too generic. Arrow says production generates learning. Obviously true, but it doesn't explain why </w:t>
      </w:r>
      <w:r w:rsidRPr="00080336">
        <w:rPr>
          <w:rFonts w:ascii="Segoe UI" w:eastAsia="Times New Roman" w:hAnsi="Segoe UI" w:cs="Segoe UI"/>
          <w:i/>
          <w:iCs/>
          <w:color w:val="141413"/>
          <w:kern w:val="0"/>
          <w:sz w:val="21"/>
          <w:szCs w:val="21"/>
          <w:bdr w:val="single" w:sz="2" w:space="0" w:color="1F1E1D" w:frame="1"/>
          <w14:ligatures w14:val="none"/>
        </w:rPr>
        <w:t>mass deployment</w:t>
      </w:r>
      <w:r w:rsidRPr="00080336">
        <w:rPr>
          <w:rFonts w:ascii="Segoe UI" w:eastAsia="Times New Roman" w:hAnsi="Segoe UI" w:cs="Segoe UI"/>
          <w:color w:val="141413"/>
          <w:kern w:val="0"/>
          <w:sz w:val="21"/>
          <w:szCs w:val="21"/>
          <w14:ligatures w14:val="none"/>
        </w:rPr>
        <w:t> is better than </w:t>
      </w:r>
      <w:r w:rsidRPr="00080336">
        <w:rPr>
          <w:rFonts w:ascii="Segoe UI" w:eastAsia="Times New Roman" w:hAnsi="Segoe UI" w:cs="Segoe UI"/>
          <w:i/>
          <w:iCs/>
          <w:color w:val="141413"/>
          <w:kern w:val="0"/>
          <w:sz w:val="21"/>
          <w:szCs w:val="21"/>
          <w:bdr w:val="single" w:sz="2" w:space="0" w:color="1F1E1D" w:frame="1"/>
          <w14:ligatures w14:val="none"/>
        </w:rPr>
        <w:t>targeted pilots</w:t>
      </w:r>
      <w:r w:rsidRPr="00080336">
        <w:rPr>
          <w:rFonts w:ascii="Segoe UI" w:eastAsia="Times New Roman" w:hAnsi="Segoe UI" w:cs="Segoe UI"/>
          <w:color w:val="141413"/>
          <w:kern w:val="0"/>
          <w:sz w:val="21"/>
          <w:szCs w:val="21"/>
          <w14:ligatures w14:val="none"/>
        </w:rPr>
        <w:t>.</w:t>
      </w:r>
    </w:p>
    <w:p w14:paraId="1E8DA1B3"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The real theoretical question: </w:t>
      </w:r>
      <w:r w:rsidRPr="00080336">
        <w:rPr>
          <w:rFonts w:ascii="Segoe UI" w:eastAsia="Times New Roman" w:hAnsi="Segoe UI" w:cs="Segoe UI"/>
          <w:b/>
          <w:bCs/>
          <w:color w:val="141413"/>
          <w:kern w:val="0"/>
          <w:sz w:val="21"/>
          <w:szCs w:val="21"/>
          <w:bdr w:val="single" w:sz="2" w:space="0" w:color="1F1E1D" w:frame="1"/>
          <w14:ligatures w14:val="none"/>
        </w:rPr>
        <w:t>What is the information economics of mass deployment?</w:t>
      </w:r>
    </w:p>
    <w:p w14:paraId="3A81127D"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Think about it as a search problem. If you deploy AI to 100 people in a targeted pilot, you learn whether AI works </w:t>
      </w:r>
      <w:r w:rsidRPr="00080336">
        <w:rPr>
          <w:rFonts w:ascii="Segoe UI" w:eastAsia="Times New Roman" w:hAnsi="Segoe UI" w:cs="Segoe UI"/>
          <w:i/>
          <w:iCs/>
          <w:color w:val="141413"/>
          <w:kern w:val="0"/>
          <w:sz w:val="21"/>
          <w:szCs w:val="21"/>
          <w:bdr w:val="single" w:sz="2" w:space="0" w:color="1F1E1D" w:frame="1"/>
          <w14:ligatures w14:val="none"/>
        </w:rPr>
        <w:t>for those 100 use cases</w:t>
      </w:r>
      <w:r w:rsidRPr="00080336">
        <w:rPr>
          <w:rFonts w:ascii="Segoe UI" w:eastAsia="Times New Roman" w:hAnsi="Segoe UI" w:cs="Segoe UI"/>
          <w:color w:val="141413"/>
          <w:kern w:val="0"/>
          <w:sz w:val="21"/>
          <w:szCs w:val="21"/>
          <w14:ligatures w14:val="none"/>
        </w:rPr>
        <w:t>. If you deploy to 30,000 people (P&amp;G, Travelers), you're running 30,000 parallel experiments. The information value is not 300x (it's correlated), but it's dramatically higher because you're sampling a much wider distribution of use cases. Some of those use cases are ones you never would have predicted.</w:t>
      </w:r>
    </w:p>
    <w:p w14:paraId="04AF23AD"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This is closer to </w:t>
      </w:r>
      <w:r w:rsidRPr="00080336">
        <w:rPr>
          <w:rFonts w:ascii="Segoe UI" w:eastAsia="Times New Roman" w:hAnsi="Segoe UI" w:cs="Segoe UI"/>
          <w:b/>
          <w:bCs/>
          <w:color w:val="141413"/>
          <w:kern w:val="0"/>
          <w:sz w:val="21"/>
          <w:szCs w:val="21"/>
          <w:bdr w:val="single" w:sz="2" w:space="0" w:color="1F1E1D" w:frame="1"/>
          <w14:ligatures w14:val="none"/>
        </w:rPr>
        <w:t>Thompson (1933) sampling</w:t>
      </w:r>
      <w:r w:rsidRPr="00080336">
        <w:rPr>
          <w:rFonts w:ascii="Segoe UI" w:eastAsia="Times New Roman" w:hAnsi="Segoe UI" w:cs="Segoe UI"/>
          <w:color w:val="141413"/>
          <w:kern w:val="0"/>
          <w:sz w:val="21"/>
          <w:szCs w:val="21"/>
          <w14:ligatures w14:val="none"/>
        </w:rPr>
        <w:t> or </w:t>
      </w:r>
      <w:r w:rsidRPr="00080336">
        <w:rPr>
          <w:rFonts w:ascii="Segoe UI" w:eastAsia="Times New Roman" w:hAnsi="Segoe UI" w:cs="Segoe UI"/>
          <w:b/>
          <w:bCs/>
          <w:color w:val="141413"/>
          <w:kern w:val="0"/>
          <w:sz w:val="21"/>
          <w:szCs w:val="21"/>
          <w:bdr w:val="single" w:sz="2" w:space="0" w:color="1F1E1D" w:frame="1"/>
          <w14:ligatures w14:val="none"/>
        </w:rPr>
        <w:t>multi-armed bandits</w:t>
      </w:r>
      <w:r w:rsidRPr="00080336">
        <w:rPr>
          <w:rFonts w:ascii="Segoe UI" w:eastAsia="Times New Roman" w:hAnsi="Segoe UI" w:cs="Segoe UI"/>
          <w:color w:val="141413"/>
          <w:kern w:val="0"/>
          <w:sz w:val="21"/>
          <w:szCs w:val="21"/>
          <w14:ligatures w14:val="none"/>
        </w:rPr>
        <w:t> than to Arrow's learning-by-doing. The theoretical anchor should be about the information value of sampling from a wide use-case distribution under uncertainty, not about cumulative production experience.</w:t>
      </w:r>
    </w:p>
    <w:p w14:paraId="4DF8444B"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Manso (2011) from our literature registry is relevant here too: mass deployment is actually a form of </w:t>
      </w:r>
      <w:r w:rsidRPr="00080336">
        <w:rPr>
          <w:rFonts w:ascii="Segoe UI" w:eastAsia="Times New Roman" w:hAnsi="Segoe UI" w:cs="Segoe UI"/>
          <w:i/>
          <w:iCs/>
          <w:color w:val="141413"/>
          <w:kern w:val="0"/>
          <w:sz w:val="21"/>
          <w:szCs w:val="21"/>
          <w:bdr w:val="single" w:sz="2" w:space="0" w:color="1F1E1D" w:frame="1"/>
          <w14:ligatures w14:val="none"/>
        </w:rPr>
        <w:t>tolerance for early failure</w:t>
      </w:r>
      <w:r w:rsidRPr="00080336">
        <w:rPr>
          <w:rFonts w:ascii="Segoe UI" w:eastAsia="Times New Roman" w:hAnsi="Segoe UI" w:cs="Segoe UI"/>
          <w:color w:val="141413"/>
          <w:kern w:val="0"/>
          <w:sz w:val="21"/>
          <w:szCs w:val="21"/>
          <w14:ligatures w14:val="none"/>
        </w:rPr>
        <w:t> applied at the organizational level. You deploy to thousands knowing most will use it badly, because the few who discover breakthrough use cases generate information worth more than the cost of all the mediocre usage.</w:t>
      </w:r>
    </w:p>
    <w:p w14:paraId="4860BDAC"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Pr>
          <w:noProof/>
        </w:rPr>
      </w:r>
      <w:r>
        <w:pict w14:anchorId="55DD6F10">
          <v:rect id="Horizontal Line 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" fillcolor="#141413" stroked="f">
            <o:lock v:ext="edit" rotation="t" aspectratio="t" verticies="t" text="t" shapetype="t"/>
            <w10:anchorlock/>
          </v:rect>
        </w:pict>
      </w:r>
    </w:p>
    <w:p w14:paraId="425953D0"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7. The Founder Authority Finding Needs Aghion &amp; Tirole, Not Just Holmstrom</w:t>
      </w:r>
    </w:p>
    <w:p w14:paraId="77F134B7"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We anchor the "founder authority determines structural models" insight to Holmstrom (1979) — founders don't face the agency problem hired CEOs do. But </w:t>
      </w:r>
      <w:r w:rsidRPr="00080336">
        <w:rPr>
          <w:rFonts w:ascii="Segoe UI" w:eastAsia="Times New Roman" w:hAnsi="Segoe UI" w:cs="Segoe UI"/>
          <w:b/>
          <w:bCs/>
          <w:color w:val="141413"/>
          <w:kern w:val="0"/>
          <w:sz w:val="21"/>
          <w:szCs w:val="21"/>
          <w:bdr w:val="single" w:sz="2" w:space="0" w:color="1F1E1D" w:frame="1"/>
          <w14:ligatures w14:val="none"/>
        </w:rPr>
        <w:t>Aghion &amp; Tirole (1997)</w:t>
      </w:r>
      <w:r w:rsidRPr="00080336">
        <w:rPr>
          <w:rFonts w:ascii="Segoe UI" w:eastAsia="Times New Roman" w:hAnsi="Segoe UI" w:cs="Segoe UI"/>
          <w:color w:val="141413"/>
          <w:kern w:val="0"/>
          <w:sz w:val="21"/>
          <w:szCs w:val="21"/>
          <w14:ligatures w14:val="none"/>
        </w:rPr>
        <w:t> is actually more precise.</w:t>
      </w:r>
    </w:p>
    <w:p w14:paraId="7B804EBB"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Aghion &amp; Tirole distinguish </w:t>
      </w:r>
      <w:r w:rsidRPr="00080336">
        <w:rPr>
          <w:rFonts w:ascii="Segoe UI" w:eastAsia="Times New Roman" w:hAnsi="Segoe UI" w:cs="Segoe UI"/>
          <w:i/>
          <w:iCs/>
          <w:color w:val="141413"/>
          <w:kern w:val="0"/>
          <w:sz w:val="21"/>
          <w:szCs w:val="21"/>
          <w:bdr w:val="single" w:sz="2" w:space="0" w:color="1F1E1D" w:frame="1"/>
          <w14:ligatures w14:val="none"/>
        </w:rPr>
        <w:t>formal</w:t>
      </w:r>
      <w:r w:rsidRPr="00080336">
        <w:rPr>
          <w:rFonts w:ascii="Segoe UI" w:eastAsia="Times New Roman" w:hAnsi="Segoe UI" w:cs="Segoe UI"/>
          <w:color w:val="141413"/>
          <w:kern w:val="0"/>
          <w:sz w:val="21"/>
          <w:szCs w:val="21"/>
          <w14:ligatures w14:val="none"/>
        </w:rPr>
        <w:t> authority (the right to decide) from </w:t>
      </w:r>
      <w:r w:rsidRPr="00080336">
        <w:rPr>
          <w:rFonts w:ascii="Segoe UI" w:eastAsia="Times New Roman" w:hAnsi="Segoe UI" w:cs="Segoe UI"/>
          <w:i/>
          <w:iCs/>
          <w:color w:val="141413"/>
          <w:kern w:val="0"/>
          <w:sz w:val="21"/>
          <w:szCs w:val="21"/>
          <w:bdr w:val="single" w:sz="2" w:space="0" w:color="1F1E1D" w:frame="1"/>
          <w14:ligatures w14:val="none"/>
        </w:rPr>
        <w:t>real</w:t>
      </w:r>
      <w:r w:rsidRPr="00080336">
        <w:rPr>
          <w:rFonts w:ascii="Segoe UI" w:eastAsia="Times New Roman" w:hAnsi="Segoe UI" w:cs="Segoe UI"/>
          <w:color w:val="141413"/>
          <w:kern w:val="0"/>
          <w:sz w:val="21"/>
          <w:szCs w:val="21"/>
          <w14:ligatures w14:val="none"/>
        </w:rPr>
        <w:t> authority (the effective control over decisions, based on who is better informed). Founders hold both: they have formal authority as controlling shareholders </w:t>
      </w:r>
      <w:r w:rsidRPr="00080336">
        <w:rPr>
          <w:rFonts w:ascii="Segoe UI" w:eastAsia="Times New Roman" w:hAnsi="Segoe UI" w:cs="Segoe UI"/>
          <w:i/>
          <w:iCs/>
          <w:color w:val="141413"/>
          <w:kern w:val="0"/>
          <w:sz w:val="21"/>
          <w:szCs w:val="21"/>
          <w:bdr w:val="single" w:sz="2" w:space="0" w:color="1F1E1D" w:frame="1"/>
          <w14:ligatures w14:val="none"/>
        </w:rPr>
        <w:t>and</w:t>
      </w:r>
      <w:r w:rsidRPr="00080336">
        <w:rPr>
          <w:rFonts w:ascii="Segoe UI" w:eastAsia="Times New Roman" w:hAnsi="Segoe UI" w:cs="Segoe UI"/>
          <w:color w:val="141413"/>
          <w:kern w:val="0"/>
          <w:sz w:val="21"/>
          <w:szCs w:val="21"/>
          <w14:ligatures w14:val="none"/>
        </w:rPr>
        <w:t> real authority because they deeply understand the technology.</w:t>
      </w:r>
    </w:p>
    <w:p w14:paraId="04595EB0"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Hired CEOs of incumbent firms have formal authority but often lack real authority over AI decisions — they don't understand the technology well enough to make informed calls, so they delegate to CAIOs or technical advisors. This creates the exact friction Aghion &amp; Tirole predict: when formal and real authority are split, there's organizational tension because the person who understands AI can't decide, and the person who decides doesn't understand AI.</w:t>
      </w:r>
    </w:p>
    <w:p w14:paraId="73923810"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b/>
          <w:bCs/>
          <w:color w:val="141413"/>
          <w:kern w:val="0"/>
          <w:sz w:val="21"/>
          <w:szCs w:val="21"/>
          <w:bdr w:val="single" w:sz="2" w:space="0" w:color="1F1E1D" w:frame="1"/>
          <w14:ligatures w14:val="none"/>
        </w:rPr>
        <w:t>This reframes the insight</w:t>
      </w:r>
      <w:r w:rsidRPr="00080336">
        <w:rPr>
          <w:rFonts w:ascii="Segoe UI" w:eastAsia="Times New Roman" w:hAnsi="Segoe UI" w:cs="Segoe UI"/>
          <w:color w:val="141413"/>
          <w:kern w:val="0"/>
          <w:sz w:val="21"/>
          <w:szCs w:val="21"/>
          <w14:ligatures w14:val="none"/>
        </w:rPr>
        <w:t>: It's not just that founders can impose mandates. It's that the </w:t>
      </w:r>
      <w:r w:rsidRPr="00080336">
        <w:rPr>
          <w:rFonts w:ascii="Segoe UI" w:eastAsia="Times New Roman" w:hAnsi="Segoe UI" w:cs="Segoe UI"/>
          <w:i/>
          <w:iCs/>
          <w:color w:val="141413"/>
          <w:kern w:val="0"/>
          <w:sz w:val="21"/>
          <w:szCs w:val="21"/>
          <w:bdr w:val="single" w:sz="2" w:space="0" w:color="1F1E1D" w:frame="1"/>
          <w14:ligatures w14:val="none"/>
        </w:rPr>
        <w:t>information structure</w:t>
      </w:r>
      <w:r w:rsidRPr="00080336">
        <w:rPr>
          <w:rFonts w:ascii="Segoe UI" w:eastAsia="Times New Roman" w:hAnsi="Segoe UI" w:cs="Segoe UI"/>
          <w:color w:val="141413"/>
          <w:kern w:val="0"/>
          <w:sz w:val="21"/>
          <w:szCs w:val="21"/>
          <w14:ligatures w14:val="none"/>
        </w:rPr>
        <w:t xml:space="preserve"> of AI-era leadership creates a formal-real authority gap in professional-CEO-led firms that </w:t>
      </w:r>
      <w:r w:rsidRPr="00080336">
        <w:rPr>
          <w:rFonts w:ascii="Segoe UI" w:eastAsia="Times New Roman" w:hAnsi="Segoe UI" w:cs="Segoe UI"/>
          <w:color w:val="141413"/>
          <w:kern w:val="0"/>
          <w:sz w:val="21"/>
          <w:szCs w:val="21"/>
          <w14:ligatures w14:val="none"/>
        </w:rPr>
        <w:lastRenderedPageBreak/>
        <w:t>doesn't exist in founder-led firms. The CAIO appointment wave is partially an attempt to resolve this gap — by creating a formal role that aligns real authority with formal authority over AI decisions. But our CAIO turnover data (NY State: 2nd CAIO in &lt;1 year) suggests the alignment isn't easy.</w:t>
      </w:r>
    </w:p>
    <w:p w14:paraId="4B7DAB82" w14:textId="77777777" w:rsidR="00080336" w:rsidRPr="00080336" w:rsidRDefault="009E5105" w:rsidP="00080336">
      <w:pPr>
        <w:spacing w:before="120" w:after="0" w:line="240" w:lineRule="auto"/>
        <w:rPr>
          <w:rFonts w:ascii="Segoe UI" w:eastAsia="Times New Roman" w:hAnsi="Segoe UI" w:cs="Segoe UI"/>
          <w:kern w:val="0"/>
          <w:sz w:val="21"/>
          <w:szCs w:val="21"/>
          <w14:ligatures w14:val="none"/>
        </w:rPr>
      </w:pPr>
      <w:r>
        <w:rPr>
          <w:noProof/>
        </w:rPr>
      </w:r>
      <w:r>
        <w:pict w14:anchorId="671398E9">
          <v:rect id="Horizontal Line 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" fillcolor="#141413" stroked="f">
            <o:lock v:ext="edit" rotation="t" aspectratio="t" verticies="t" text="t" shapetype="t"/>
            <w10:anchorlock/>
          </v:rect>
        </w:pict>
      </w:r>
    </w:p>
    <w:p w14:paraId="2F297112"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14:ligatures w14:val="none"/>
        </w:rPr>
      </w:pPr>
      <w:r w:rsidRPr="00080336">
        <w:rPr>
          <w:rFonts w:ascii="Segoe UI" w:eastAsia="Times New Roman" w:hAnsi="Segoe UI" w:cs="Segoe UI"/>
          <w:b/>
          <w:bCs/>
          <w:color w:val="141413"/>
          <w:kern w:val="0"/>
          <w:sz w:val="27"/>
          <w:szCs w:val="27"/>
          <w14:ligatures w14:val="none"/>
        </w:rPr>
        <w:t>Summary: What's Publishable</w:t>
      </w:r>
    </w:p>
    <w:p w14:paraId="63E38705"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The strongest puzzle for a paper is probably </w:t>
      </w:r>
      <w:r w:rsidRPr="00080336">
        <w:rPr>
          <w:rFonts w:ascii="Segoe UI" w:eastAsia="Times New Roman" w:hAnsi="Segoe UI" w:cs="Segoe UI"/>
          <w:b/>
          <w:bCs/>
          <w:color w:val="141413"/>
          <w:kern w:val="0"/>
          <w:sz w:val="21"/>
          <w:szCs w:val="21"/>
          <w:bdr w:val="single" w:sz="2" w:space="0" w:color="1F1E1D" w:frame="1"/>
          <w14:ligatures w14:val="none"/>
        </w:rPr>
        <w:t>#5 (regulation as advantage, not inertia)</w:t>
      </w:r>
      <w:r w:rsidRPr="00080336">
        <w:rPr>
          <w:rFonts w:ascii="Segoe UI" w:eastAsia="Times New Roman" w:hAnsi="Segoe UI" w:cs="Segoe UI"/>
          <w:color w:val="141413"/>
          <w:kern w:val="0"/>
          <w:sz w:val="21"/>
          <w:szCs w:val="21"/>
          <w14:ligatures w14:val="none"/>
        </w:rPr>
        <w:t> combined with </w:t>
      </w:r>
      <w:r w:rsidRPr="00080336">
        <w:rPr>
          <w:rFonts w:ascii="Segoe UI" w:eastAsia="Times New Roman" w:hAnsi="Segoe UI" w:cs="Segoe UI"/>
          <w:b/>
          <w:bCs/>
          <w:color w:val="141413"/>
          <w:kern w:val="0"/>
          <w:sz w:val="21"/>
          <w:szCs w:val="21"/>
          <w:bdr w:val="single" w:sz="2" w:space="0" w:color="1F1E1D" w:frame="1"/>
          <w14:ligatures w14:val="none"/>
        </w:rPr>
        <w:t>#4 (the consolidation arc vs. Henderson &amp; Clark)</w:t>
      </w:r>
      <w:r w:rsidRPr="00080336">
        <w:rPr>
          <w:rFonts w:ascii="Segoe UI" w:eastAsia="Times New Roman" w:hAnsi="Segoe UI" w:cs="Segoe UI"/>
          <w:color w:val="141413"/>
          <w:kern w:val="0"/>
          <w:sz w:val="21"/>
          <w:szCs w:val="21"/>
          <w14:ligatures w14:val="none"/>
        </w:rPr>
        <w:t>. Together they tell a coherent story: the standard innovation theories (Christensen's disruption, Henderson &amp; Clark's architectural innovation) make predictions about how AI should affect organizations, and our field data shows those predictions are systematically wrong in specific, theoretically interesting ways.</w:t>
      </w:r>
    </w:p>
    <w:p w14:paraId="2ABFAF99"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The </w:t>
      </w:r>
      <w:r w:rsidRPr="00080336">
        <w:rPr>
          <w:rFonts w:ascii="Segoe UI" w:eastAsia="Times New Roman" w:hAnsi="Segoe UI" w:cs="Segoe UI"/>
          <w:b/>
          <w:bCs/>
          <w:color w:val="141413"/>
          <w:kern w:val="0"/>
          <w:sz w:val="21"/>
          <w:szCs w:val="21"/>
          <w:bdr w:val="single" w:sz="2" w:space="0" w:color="1F1E1D" w:frame="1"/>
          <w14:ligatures w14:val="none"/>
        </w:rPr>
        <w:t>delayering mechanism question (#1)</w:t>
      </w:r>
      <w:r w:rsidRPr="00080336">
        <w:rPr>
          <w:rFonts w:ascii="Segoe UI" w:eastAsia="Times New Roman" w:hAnsi="Segoe UI" w:cs="Segoe UI"/>
          <w:color w:val="141413"/>
          <w:kern w:val="0"/>
          <w:sz w:val="21"/>
          <w:szCs w:val="21"/>
          <w14:ligatures w14:val="none"/>
        </w:rPr>
        <w:t> and the </w:t>
      </w:r>
      <w:r w:rsidRPr="00080336">
        <w:rPr>
          <w:rFonts w:ascii="Segoe UI" w:eastAsia="Times New Roman" w:hAnsi="Segoe UI" w:cs="Segoe UI"/>
          <w:b/>
          <w:bCs/>
          <w:color w:val="141413"/>
          <w:kern w:val="0"/>
          <w:sz w:val="21"/>
          <w:szCs w:val="21"/>
          <w:bdr w:val="single" w:sz="2" w:space="0" w:color="1F1E1D" w:frame="1"/>
          <w14:ligatures w14:val="none"/>
        </w:rPr>
        <w:t>information economics of mass deployment (#6)</w:t>
      </w:r>
      <w:r w:rsidRPr="00080336">
        <w:rPr>
          <w:rFonts w:ascii="Segoe UI" w:eastAsia="Times New Roman" w:hAnsi="Segoe UI" w:cs="Segoe UI"/>
          <w:color w:val="141413"/>
          <w:kern w:val="0"/>
          <w:sz w:val="21"/>
          <w:szCs w:val="21"/>
          <w14:ligatures w14:val="none"/>
        </w:rPr>
        <w:t> are the most theoretically original puzzles — places where our data points to mechanisms that the existing literature doesn't have good models for.</w:t>
      </w:r>
    </w:p>
    <w:p w14:paraId="16C03FD3" w14:textId="77777777" w:rsidR="00080336" w:rsidRPr="00080336" w:rsidRDefault="00080336" w:rsidP="000803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080336">
        <w:rPr>
          <w:rFonts w:ascii="Segoe UI" w:eastAsia="Times New Roman" w:hAnsi="Segoe UI" w:cs="Segoe UI"/>
          <w:color w:val="141413"/>
          <w:kern w:val="0"/>
          <w:sz w:val="21"/>
          <w:szCs w:val="21"/>
          <w14:ligatures w14:val="none"/>
        </w:rPr>
        <w:t>Want to dig deeper into any of these, or start thinking about which puzzle anchors the first paper?</w:t>
      </w:r>
    </w:p>
    <w:p w14:paraId="495E65D7" w14:textId="2680D58B" w:rsidR="00CB2EA4" w:rsidRPr="00080336" w:rsidRDefault="00CB2EA4" w:rsidP="00080336"/>
    <w:sectPr w:rsidR="00CB2EA4" w:rsidRPr="00080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B0A54"/>
    <w:multiLevelType w:val="multilevel"/>
    <w:tmpl w:val="E73E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8C0222"/>
    <w:multiLevelType w:val="multilevel"/>
    <w:tmpl w:val="2548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6004118">
    <w:abstractNumId w:val="1"/>
  </w:num>
  <w:num w:numId="2" w16cid:durableId="75432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B7"/>
    <w:rsid w:val="00080336"/>
    <w:rsid w:val="004958FA"/>
    <w:rsid w:val="004B3DCC"/>
    <w:rsid w:val="005542EE"/>
    <w:rsid w:val="007522BF"/>
    <w:rsid w:val="007B6B20"/>
    <w:rsid w:val="009E5105"/>
    <w:rsid w:val="00AA30BC"/>
    <w:rsid w:val="00B279A0"/>
    <w:rsid w:val="00BB334C"/>
    <w:rsid w:val="00C22143"/>
    <w:rsid w:val="00CB2EA4"/>
    <w:rsid w:val="00EF54B7"/>
    <w:rsid w:val="00F14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EEFBED0"/>
  <w15:chartTrackingRefBased/>
  <w15:docId w15:val="{0F0E8A4B-910C-2442-8ECB-84590EB6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4B7"/>
    <w:rPr>
      <w:rFonts w:eastAsiaTheme="majorEastAsia" w:cstheme="majorBidi"/>
      <w:color w:val="272727" w:themeColor="text1" w:themeTint="D8"/>
    </w:rPr>
  </w:style>
  <w:style w:type="paragraph" w:styleId="Title">
    <w:name w:val="Title"/>
    <w:basedOn w:val="Normal"/>
    <w:next w:val="Normal"/>
    <w:link w:val="TitleChar"/>
    <w:uiPriority w:val="10"/>
    <w:qFormat/>
    <w:rsid w:val="00EF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B7"/>
    <w:pPr>
      <w:spacing w:before="160"/>
      <w:jc w:val="center"/>
    </w:pPr>
    <w:rPr>
      <w:i/>
      <w:iCs/>
      <w:color w:val="404040" w:themeColor="text1" w:themeTint="BF"/>
    </w:rPr>
  </w:style>
  <w:style w:type="character" w:customStyle="1" w:styleId="QuoteChar">
    <w:name w:val="Quote Char"/>
    <w:basedOn w:val="DefaultParagraphFont"/>
    <w:link w:val="Quote"/>
    <w:uiPriority w:val="29"/>
    <w:rsid w:val="00EF54B7"/>
    <w:rPr>
      <w:i/>
      <w:iCs/>
      <w:color w:val="404040" w:themeColor="text1" w:themeTint="BF"/>
    </w:rPr>
  </w:style>
  <w:style w:type="paragraph" w:styleId="ListParagraph">
    <w:name w:val="List Paragraph"/>
    <w:basedOn w:val="Normal"/>
    <w:uiPriority w:val="34"/>
    <w:qFormat/>
    <w:rsid w:val="00EF54B7"/>
    <w:pPr>
      <w:ind w:left="720"/>
      <w:contextualSpacing/>
    </w:pPr>
  </w:style>
  <w:style w:type="character" w:styleId="IntenseEmphasis">
    <w:name w:val="Intense Emphasis"/>
    <w:basedOn w:val="DefaultParagraphFont"/>
    <w:uiPriority w:val="21"/>
    <w:qFormat/>
    <w:rsid w:val="00EF54B7"/>
    <w:rPr>
      <w:i/>
      <w:iCs/>
      <w:color w:val="0F4761" w:themeColor="accent1" w:themeShade="BF"/>
    </w:rPr>
  </w:style>
  <w:style w:type="paragraph" w:styleId="IntenseQuote">
    <w:name w:val="Intense Quote"/>
    <w:basedOn w:val="Normal"/>
    <w:next w:val="Normal"/>
    <w:link w:val="IntenseQuoteChar"/>
    <w:uiPriority w:val="30"/>
    <w:qFormat/>
    <w:rsid w:val="00EF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B7"/>
    <w:rPr>
      <w:i/>
      <w:iCs/>
      <w:color w:val="0F4761" w:themeColor="accent1" w:themeShade="BF"/>
    </w:rPr>
  </w:style>
  <w:style w:type="character" w:styleId="IntenseReference">
    <w:name w:val="Intense Reference"/>
    <w:basedOn w:val="DefaultParagraphFont"/>
    <w:uiPriority w:val="32"/>
    <w:qFormat/>
    <w:rsid w:val="00EF54B7"/>
    <w:rPr>
      <w:b/>
      <w:bCs/>
      <w:smallCaps/>
      <w:color w:val="0F4761" w:themeColor="accent1" w:themeShade="BF"/>
      <w:spacing w:val="5"/>
    </w:rPr>
  </w:style>
  <w:style w:type="paragraph" w:styleId="NormalWeb">
    <w:name w:val="Normal (Web)"/>
    <w:basedOn w:val="Normal"/>
    <w:uiPriority w:val="99"/>
    <w:semiHidden/>
    <w:unhideWhenUsed/>
    <w:rsid w:val="000803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80336"/>
    <w:rPr>
      <w:i/>
      <w:iCs/>
    </w:rPr>
  </w:style>
  <w:style w:type="character" w:styleId="Strong">
    <w:name w:val="Strong"/>
    <w:basedOn w:val="DefaultParagraphFont"/>
    <w:uiPriority w:val="22"/>
    <w:qFormat/>
    <w:rsid w:val="000803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1828</Words>
  <Characters>10973</Characters>
  <Application>Microsoft Office Word</Application>
  <DocSecurity>0</DocSecurity>
  <Lines>189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10</cp:revision>
  <dcterms:created xsi:type="dcterms:W3CDTF">2026-02-03T14:44:00Z</dcterms:created>
  <dcterms:modified xsi:type="dcterms:W3CDTF">2026-02-07T18:04:00Z</dcterms:modified>
</cp:coreProperties>
</file>