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FF2B6" w14:textId="4EEC9743" w:rsidR="00D55A59" w:rsidRDefault="00312A46" w:rsidP="00A96A90">
      <w:pPr>
        <w:widowControl/>
        <w:jc w:val="center"/>
        <w:rPr>
          <w:rFonts w:ascii="Times New Roman Bold" w:eastAsia="Times New Roman Bold" w:hAnsi="Times New Roman Bold" w:cs="Times New Roman Bold"/>
        </w:rPr>
      </w:pPr>
      <w:r>
        <w:rPr>
          <w:rFonts w:ascii="Times New Roman Bold"/>
          <w:u w:val="single"/>
        </w:rPr>
        <w:t>Wisconsin v Walgreen</w:t>
      </w:r>
      <w:r w:rsidR="00302F79">
        <w:rPr>
          <w:rFonts w:ascii="Times New Roman Bold"/>
          <w:u w:val="single"/>
        </w:rPr>
        <w:t xml:space="preserve"> Brief</w:t>
      </w:r>
    </w:p>
    <w:p w14:paraId="536F0C5A" w14:textId="0598748D" w:rsidR="00D55A59" w:rsidRDefault="00302F79" w:rsidP="00A96A90">
      <w:pPr>
        <w:widowControl/>
        <w:jc w:val="center"/>
      </w:pPr>
      <w:r>
        <w:t xml:space="preserve">Prepared by </w:t>
      </w:r>
      <w:r w:rsidR="00093C93">
        <w:t>Chanakya Gaur</w:t>
      </w:r>
    </w:p>
    <w:p w14:paraId="6639C989" w14:textId="77777777" w:rsidR="00D55A59" w:rsidRDefault="00D55A59" w:rsidP="00A96A90">
      <w:pPr>
        <w:widowControl/>
        <w:jc w:val="both"/>
      </w:pPr>
    </w:p>
    <w:p w14:paraId="51F57BBD" w14:textId="77777777" w:rsidR="00D55A59" w:rsidRDefault="00D55A59" w:rsidP="00A96A90">
      <w:pPr>
        <w:widowControl/>
        <w:jc w:val="both"/>
        <w:rPr>
          <w:rFonts w:ascii="Times New Roman Bold" w:eastAsia="Times New Roman Bold" w:hAnsi="Times New Roman Bold" w:cs="Times New Roman Bold"/>
          <w:u w:val="single"/>
        </w:rPr>
      </w:pPr>
    </w:p>
    <w:p w14:paraId="5198DBE0" w14:textId="24EBFF6F"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i/>
          <w:iCs/>
          <w:sz w:val="22"/>
          <w:szCs w:val="22"/>
        </w:rPr>
      </w:pPr>
      <w:r>
        <w:rPr>
          <w:rFonts w:ascii="Times New Roman Bold"/>
          <w:sz w:val="22"/>
          <w:szCs w:val="22"/>
        </w:rPr>
        <w:t>I.  Opening</w:t>
      </w:r>
    </w:p>
    <w:p w14:paraId="7037EE86" w14:textId="62EBA87C" w:rsidR="00D55A59"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bookmarkStart w:id="0" w:name="_Hlk506991267"/>
      <w:r w:rsidRPr="00093C93">
        <w:rPr>
          <w:rFonts w:hAnsi="Times New Roman" w:cs="Times New Roman"/>
          <w:sz w:val="22"/>
          <w:szCs w:val="22"/>
        </w:rPr>
        <w:t xml:space="preserve">Case: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00312A46">
        <w:rPr>
          <w:rFonts w:hAnsi="Times New Roman" w:cs="Times New Roman"/>
          <w:sz w:val="22"/>
          <w:szCs w:val="22"/>
        </w:rPr>
        <w:t>Wisconsin v Walgreen</w:t>
      </w:r>
    </w:p>
    <w:p w14:paraId="2CC675D4" w14:textId="5727E595" w:rsidR="00D55A59"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C</w:t>
      </w:r>
      <w:r w:rsidR="00312A46">
        <w:rPr>
          <w:rFonts w:hAnsi="Times New Roman" w:cs="Times New Roman"/>
          <w:sz w:val="22"/>
          <w:szCs w:val="22"/>
        </w:rPr>
        <w:t>ase No</w:t>
      </w:r>
      <w:r w:rsidRPr="00093C93">
        <w:rPr>
          <w:rFonts w:hAnsi="Times New Roman" w:cs="Times New Roman"/>
          <w:sz w:val="22"/>
          <w:szCs w:val="22"/>
        </w:rPr>
        <w:t xml:space="preserve">: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00800DFD">
        <w:rPr>
          <w:rFonts w:hAnsi="Times New Roman" w:cs="Times New Roman"/>
          <w:sz w:val="22"/>
          <w:szCs w:val="22"/>
        </w:rPr>
        <w:t>LS-9505221-PHM</w:t>
      </w:r>
    </w:p>
    <w:p w14:paraId="7089BE5C" w14:textId="33304135"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Court: </w:t>
      </w:r>
      <w:r>
        <w:rPr>
          <w:rFonts w:hAnsi="Times New Roman" w:cs="Times New Roman"/>
          <w:sz w:val="22"/>
          <w:szCs w:val="22"/>
        </w:rPr>
        <w:tab/>
      </w:r>
      <w:r>
        <w:rPr>
          <w:rFonts w:hAnsi="Times New Roman" w:cs="Times New Roman"/>
          <w:sz w:val="22"/>
          <w:szCs w:val="22"/>
        </w:rPr>
        <w:tab/>
      </w:r>
      <w:r>
        <w:rPr>
          <w:rFonts w:hAnsi="Times New Roman" w:cs="Times New Roman"/>
          <w:sz w:val="22"/>
          <w:szCs w:val="22"/>
        </w:rPr>
        <w:tab/>
      </w:r>
      <w:r w:rsidR="00800DFD">
        <w:rPr>
          <w:rFonts w:hAnsi="Times New Roman" w:cs="Times New Roman"/>
          <w:sz w:val="22"/>
          <w:szCs w:val="22"/>
        </w:rPr>
        <w:t>Wisconsin Appellate Court</w:t>
      </w:r>
    </w:p>
    <w:p w14:paraId="54A31643" w14:textId="18F9908E" w:rsidR="00D55A59" w:rsidRPr="00093C93"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P</w:t>
      </w:r>
      <w:r w:rsidR="00093C93" w:rsidRPr="00093C93">
        <w:rPr>
          <w:rFonts w:hAnsi="Times New Roman" w:cs="Times New Roman"/>
          <w:sz w:val="22"/>
          <w:szCs w:val="22"/>
        </w:rPr>
        <w:t xml:space="preserve">etitioner - </w:t>
      </w:r>
      <w:r w:rsidR="00093C93">
        <w:rPr>
          <w:rFonts w:hAnsi="Times New Roman" w:cs="Times New Roman"/>
          <w:sz w:val="22"/>
          <w:szCs w:val="22"/>
        </w:rPr>
        <w:tab/>
      </w:r>
      <w:r w:rsidR="00093C93">
        <w:rPr>
          <w:rFonts w:hAnsi="Times New Roman" w:cs="Times New Roman"/>
          <w:sz w:val="22"/>
          <w:szCs w:val="22"/>
        </w:rPr>
        <w:tab/>
      </w:r>
      <w:r w:rsidR="00093C93">
        <w:rPr>
          <w:rFonts w:hAnsi="Times New Roman" w:cs="Times New Roman"/>
          <w:sz w:val="22"/>
          <w:szCs w:val="22"/>
        </w:rPr>
        <w:tab/>
      </w:r>
      <w:r w:rsidR="00800DFD">
        <w:rPr>
          <w:rFonts w:hAnsi="Times New Roman" w:cs="Times New Roman"/>
          <w:sz w:val="22"/>
          <w:szCs w:val="22"/>
        </w:rPr>
        <w:t>Wisconsin Pharmacy Examining Board</w:t>
      </w:r>
    </w:p>
    <w:p w14:paraId="5E810365" w14:textId="1832D087"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Respondent - </w:t>
      </w:r>
      <w:r>
        <w:rPr>
          <w:rFonts w:hAnsi="Times New Roman" w:cs="Times New Roman"/>
          <w:sz w:val="22"/>
          <w:szCs w:val="22"/>
        </w:rPr>
        <w:tab/>
      </w:r>
      <w:r>
        <w:rPr>
          <w:rFonts w:hAnsi="Times New Roman" w:cs="Times New Roman"/>
          <w:sz w:val="22"/>
          <w:szCs w:val="22"/>
        </w:rPr>
        <w:tab/>
      </w:r>
      <w:r w:rsidR="00800DFD">
        <w:rPr>
          <w:rFonts w:hAnsi="Times New Roman" w:cs="Times New Roman"/>
          <w:sz w:val="22"/>
          <w:szCs w:val="22"/>
        </w:rPr>
        <w:t>Walgreens Co.</w:t>
      </w:r>
    </w:p>
    <w:p w14:paraId="52745028" w14:textId="0EFF393C" w:rsidR="00093C93" w:rsidRPr="00093C93"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rFonts w:hAnsi="Times New Roman" w:cs="Times New Roman"/>
          <w:sz w:val="22"/>
          <w:szCs w:val="22"/>
        </w:rPr>
      </w:pPr>
      <w:r w:rsidRPr="00093C93">
        <w:rPr>
          <w:rFonts w:hAnsi="Times New Roman" w:cs="Times New Roman"/>
          <w:sz w:val="22"/>
          <w:szCs w:val="22"/>
        </w:rPr>
        <w:t xml:space="preserve">Argued Date – </w:t>
      </w:r>
      <w:r>
        <w:rPr>
          <w:rFonts w:hAnsi="Times New Roman" w:cs="Times New Roman"/>
          <w:sz w:val="22"/>
          <w:szCs w:val="22"/>
        </w:rPr>
        <w:tab/>
      </w:r>
      <w:r>
        <w:rPr>
          <w:rFonts w:hAnsi="Times New Roman" w:cs="Times New Roman"/>
          <w:sz w:val="22"/>
          <w:szCs w:val="22"/>
        </w:rPr>
        <w:tab/>
      </w:r>
      <w:r w:rsidR="00800DFD">
        <w:rPr>
          <w:rFonts w:hAnsi="Times New Roman" w:cs="Times New Roman"/>
          <w:sz w:val="22"/>
          <w:szCs w:val="22"/>
        </w:rPr>
        <w:t>May 14, 1996</w:t>
      </w:r>
    </w:p>
    <w:p w14:paraId="0F99F6CA" w14:textId="337DCA2B" w:rsidR="00D55A59" w:rsidRDefault="00093C93"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r w:rsidRPr="00093C93">
        <w:rPr>
          <w:rFonts w:hAnsi="Times New Roman" w:cs="Times New Roman"/>
          <w:sz w:val="22"/>
          <w:szCs w:val="22"/>
        </w:rPr>
        <w:t xml:space="preserve">Decision Date – </w:t>
      </w:r>
      <w:r>
        <w:rPr>
          <w:rFonts w:hAnsi="Times New Roman" w:cs="Times New Roman"/>
          <w:sz w:val="22"/>
          <w:szCs w:val="22"/>
        </w:rPr>
        <w:tab/>
      </w:r>
      <w:r>
        <w:rPr>
          <w:rFonts w:hAnsi="Times New Roman" w:cs="Times New Roman"/>
          <w:sz w:val="22"/>
          <w:szCs w:val="22"/>
        </w:rPr>
        <w:tab/>
      </w:r>
      <w:bookmarkEnd w:id="0"/>
      <w:r w:rsidR="00800DFD">
        <w:rPr>
          <w:rFonts w:hAnsi="Times New Roman" w:cs="Times New Roman"/>
          <w:sz w:val="22"/>
          <w:szCs w:val="22"/>
        </w:rPr>
        <w:t>February 19, 1998</w:t>
      </w:r>
      <w:r w:rsidR="00302F79" w:rsidRPr="00093C93">
        <w:rPr>
          <w:rFonts w:hAnsi="Times New Roman" w:cs="Times New Roman"/>
          <w:sz w:val="22"/>
          <w:szCs w:val="22"/>
        </w:rPr>
        <w:tab/>
      </w:r>
      <w:r w:rsidR="00302F79">
        <w:rPr>
          <w:sz w:val="22"/>
          <w:szCs w:val="22"/>
        </w:rPr>
        <w:tab/>
      </w:r>
    </w:p>
    <w:p w14:paraId="209D4CD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p>
    <w:p w14:paraId="4D98D8EC" w14:textId="4DC37408"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i/>
          <w:iCs/>
          <w:sz w:val="22"/>
          <w:szCs w:val="22"/>
        </w:rPr>
      </w:pPr>
      <w:r>
        <w:rPr>
          <w:rFonts w:ascii="Times New Roman Bold"/>
          <w:sz w:val="22"/>
          <w:szCs w:val="22"/>
        </w:rPr>
        <w:t xml:space="preserve">II.  </w:t>
      </w:r>
      <w:r w:rsidR="00093C93">
        <w:rPr>
          <w:rFonts w:ascii="Times New Roman Bold"/>
          <w:sz w:val="22"/>
          <w:szCs w:val="22"/>
        </w:rPr>
        <w:t xml:space="preserve">Facts </w:t>
      </w:r>
    </w:p>
    <w:p w14:paraId="7BC6BE42" w14:textId="01555692" w:rsidR="00D55A59" w:rsidRDefault="00D97404" w:rsidP="00A96A90">
      <w:pPr>
        <w:widowControl/>
        <w:tabs>
          <w:tab w:val="left" w:pos="360"/>
          <w:tab w:val="left" w:pos="1080"/>
          <w:tab w:val="left" w:pos="1800"/>
          <w:tab w:val="left" w:pos="2520"/>
          <w:tab w:val="left" w:pos="3240"/>
          <w:tab w:val="left" w:pos="3960"/>
          <w:tab w:val="left" w:pos="4680"/>
          <w:tab w:val="left" w:pos="5400"/>
          <w:tab w:val="left" w:pos="6120"/>
          <w:tab w:val="left" w:pos="6840"/>
          <w:tab w:val="right" w:pos="7560"/>
        </w:tabs>
        <w:jc w:val="both"/>
        <w:rPr>
          <w:sz w:val="22"/>
          <w:szCs w:val="22"/>
        </w:rPr>
      </w:pPr>
      <w:r>
        <w:rPr>
          <w:sz w:val="22"/>
          <w:szCs w:val="22"/>
        </w:rPr>
        <w:tab/>
      </w:r>
      <w:r w:rsidR="00800DFD">
        <w:rPr>
          <w:sz w:val="22"/>
          <w:szCs w:val="22"/>
        </w:rPr>
        <w:t>Walgreen Co</w:t>
      </w:r>
      <w:r w:rsidR="00F97473">
        <w:rPr>
          <w:sz w:val="22"/>
          <w:szCs w:val="22"/>
        </w:rPr>
        <w:t>.</w:t>
      </w:r>
      <w:r w:rsidR="00800DFD">
        <w:rPr>
          <w:sz w:val="22"/>
          <w:szCs w:val="22"/>
        </w:rPr>
        <w:t xml:space="preserve">, a national company which conducts business in the field of pharmaceutical medicine tested a computer system which involved ten physicians to send electronic prescriptions to any Walgreen pharmacy. These electronic prescriptions contained the exact information as that of a written prescription. However, it did not include the signature of the physician. This </w:t>
      </w:r>
      <w:r w:rsidR="00C20D59">
        <w:rPr>
          <w:sz w:val="22"/>
          <w:szCs w:val="22"/>
        </w:rPr>
        <w:t>violated various</w:t>
      </w:r>
      <w:r w:rsidR="00800DFD">
        <w:rPr>
          <w:sz w:val="22"/>
          <w:szCs w:val="22"/>
        </w:rPr>
        <w:t xml:space="preserve"> regulatory statutes and administrative rules </w:t>
      </w:r>
      <w:r w:rsidR="00C20D59">
        <w:rPr>
          <w:sz w:val="22"/>
          <w:szCs w:val="22"/>
        </w:rPr>
        <w:t xml:space="preserve">regarding acceptance of prescriptions by pharmacies. The board claims that Walgreens violated statute 450.11 since a computer electronic mail was more analogous compared to a prescription, written or oral, since it only contained letters and numbers and lacked a signature. The board also claimed that Walgreens violated the rebate rule since they received financial benefit from supplying the physicians participating with computers. </w:t>
      </w:r>
      <w:r w:rsidR="00302F79">
        <w:rPr>
          <w:sz w:val="22"/>
          <w:szCs w:val="22"/>
        </w:rPr>
        <w:tab/>
      </w:r>
      <w:r w:rsidR="00302F79">
        <w:rPr>
          <w:sz w:val="22"/>
          <w:szCs w:val="22"/>
        </w:rPr>
        <w:tab/>
      </w:r>
      <w:r w:rsidR="00302F79">
        <w:rPr>
          <w:sz w:val="22"/>
          <w:szCs w:val="22"/>
        </w:rPr>
        <w:tab/>
      </w:r>
    </w:p>
    <w:p w14:paraId="127DD2BB" w14:textId="77777777" w:rsidR="00D55A59" w:rsidRDefault="00D55A5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p>
    <w:p w14:paraId="000A0104" w14:textId="76249DF8" w:rsidR="00D55A59" w:rsidRDefault="00302F7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720" w:hanging="720"/>
        <w:jc w:val="both"/>
        <w:rPr>
          <w:sz w:val="22"/>
          <w:szCs w:val="22"/>
        </w:rPr>
      </w:pPr>
      <w:r>
        <w:rPr>
          <w:rFonts w:ascii="Times New Roman Bold"/>
          <w:sz w:val="22"/>
          <w:szCs w:val="22"/>
        </w:rPr>
        <w:t>III.</w:t>
      </w:r>
      <w:r w:rsidR="000657FD">
        <w:rPr>
          <w:rFonts w:ascii="Times New Roman Bold"/>
          <w:sz w:val="22"/>
          <w:szCs w:val="22"/>
        </w:rPr>
        <w:t xml:space="preserve">  </w:t>
      </w:r>
      <w:r>
        <w:rPr>
          <w:rFonts w:ascii="Times New Roman Bold"/>
          <w:sz w:val="22"/>
          <w:szCs w:val="22"/>
        </w:rPr>
        <w:t xml:space="preserve">Issue </w:t>
      </w:r>
    </w:p>
    <w:p w14:paraId="11BF82D2" w14:textId="43C3CE52" w:rsidR="00D55A59" w:rsidRDefault="00D97404"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r>
        <w:rPr>
          <w:sz w:val="22"/>
          <w:szCs w:val="22"/>
        </w:rPr>
        <w:tab/>
      </w:r>
      <w:r w:rsidR="00EF2CDC">
        <w:rPr>
          <w:sz w:val="22"/>
          <w:szCs w:val="22"/>
        </w:rPr>
        <w:t>Is Walgreen violating the statute 450.11?</w:t>
      </w:r>
    </w:p>
    <w:p w14:paraId="26B0D423" w14:textId="77777777" w:rsidR="00093C93" w:rsidRDefault="00093C93"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sz w:val="22"/>
          <w:szCs w:val="22"/>
        </w:rPr>
      </w:pPr>
    </w:p>
    <w:p w14:paraId="7B0A5BCC" w14:textId="6959E5E4" w:rsidR="00D55A59" w:rsidRDefault="00302F79" w:rsidP="00A96A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jc w:val="both"/>
        <w:rPr>
          <w:rFonts w:ascii="Times New Roman Bold" w:eastAsia="Times New Roman Bold" w:hAnsi="Times New Roman Bold" w:cs="Times New Roman Bold"/>
          <w:sz w:val="22"/>
          <w:szCs w:val="22"/>
        </w:rPr>
      </w:pPr>
      <w:r>
        <w:rPr>
          <w:rFonts w:ascii="Times New Roman Bold"/>
          <w:sz w:val="22"/>
          <w:szCs w:val="22"/>
        </w:rPr>
        <w:t>IV.  Decision</w:t>
      </w:r>
    </w:p>
    <w:p w14:paraId="57709313" w14:textId="45FA1882" w:rsidR="00D55A59" w:rsidRDefault="00D97404"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EF2CDC">
        <w:rPr>
          <w:sz w:val="22"/>
          <w:szCs w:val="22"/>
        </w:rPr>
        <w:t>N</w:t>
      </w:r>
      <w:r w:rsidR="00093C93" w:rsidRPr="00093C93">
        <w:rPr>
          <w:sz w:val="22"/>
          <w:szCs w:val="22"/>
        </w:rPr>
        <w:t>o.</w:t>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t xml:space="preserve"> </w:t>
      </w:r>
      <w:r w:rsidR="00302F79">
        <w:rPr>
          <w:sz w:val="22"/>
          <w:szCs w:val="22"/>
        </w:rPr>
        <w:tab/>
      </w:r>
    </w:p>
    <w:p w14:paraId="14C7246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36CB8D55" w14:textId="2E496226"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rFonts w:ascii="Times New Roman Bold" w:eastAsia="Times New Roman Bold" w:hAnsi="Times New Roman Bold" w:cs="Times New Roman Bold"/>
          <w:sz w:val="22"/>
          <w:szCs w:val="22"/>
        </w:rPr>
      </w:pPr>
      <w:r>
        <w:rPr>
          <w:rFonts w:ascii="Times New Roman Bold"/>
          <w:sz w:val="22"/>
          <w:szCs w:val="22"/>
        </w:rPr>
        <w:t xml:space="preserve">V.  Rationale </w:t>
      </w:r>
      <w:r>
        <w:rPr>
          <w:i/>
          <w:iCs/>
          <w:sz w:val="22"/>
          <w:szCs w:val="22"/>
        </w:rPr>
        <w:t>-</w:t>
      </w:r>
    </w:p>
    <w:p w14:paraId="39F9C587" w14:textId="217CE162" w:rsidR="00D55A59" w:rsidRDefault="00D97404"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t xml:space="preserve">The court disagreed with the argument </w:t>
      </w:r>
      <w:r w:rsidR="00EF2CDC">
        <w:rPr>
          <w:sz w:val="22"/>
          <w:szCs w:val="22"/>
        </w:rPr>
        <w:t>made by the board and claimed that a computer transmitted prescription was analogous to a handwritten prescription and should have been treated the same. The court went on to say that it was very much like an oral prescription which according to the statute was legal. It reasoned that like a telephone call, a computer-transmitted message is similar electronic transmissions.</w:t>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r w:rsidR="00302F79">
        <w:rPr>
          <w:sz w:val="22"/>
          <w:szCs w:val="22"/>
        </w:rPr>
        <w:tab/>
      </w:r>
    </w:p>
    <w:p w14:paraId="3E1BA91B"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46333B36" w14:textId="7295DD98" w:rsidR="00D55A59"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rFonts w:ascii="Times New Roman Bold" w:eastAsia="Times New Roman Bold" w:hAnsi="Times New Roman Bold" w:cs="Times New Roman Bold"/>
          <w:sz w:val="22"/>
          <w:szCs w:val="22"/>
        </w:rPr>
      </w:pPr>
      <w:r>
        <w:rPr>
          <w:rFonts w:ascii="Times New Roman Bold"/>
          <w:sz w:val="22"/>
          <w:szCs w:val="22"/>
        </w:rPr>
        <w:t>VI.  Holding</w:t>
      </w:r>
    </w:p>
    <w:p w14:paraId="056781BD" w14:textId="440953C9" w:rsidR="00D55A59" w:rsidRDefault="00E8472A"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r>
        <w:rPr>
          <w:sz w:val="22"/>
          <w:szCs w:val="22"/>
        </w:rPr>
        <w:tab/>
      </w:r>
      <w:r w:rsidR="00EF2CDC">
        <w:rPr>
          <w:sz w:val="22"/>
          <w:szCs w:val="22"/>
        </w:rPr>
        <w:t xml:space="preserve">The statute 450.11 states that prescriptions must be delivered to the pharmacy either orally or in written format. However, electronic mail does not violate this statute as it is </w:t>
      </w:r>
      <w:proofErr w:type="gramStart"/>
      <w:r w:rsidR="00EF2CDC">
        <w:rPr>
          <w:sz w:val="22"/>
          <w:szCs w:val="22"/>
        </w:rPr>
        <w:t>similar to</w:t>
      </w:r>
      <w:proofErr w:type="gramEnd"/>
      <w:r w:rsidR="00EF2CDC">
        <w:rPr>
          <w:sz w:val="22"/>
          <w:szCs w:val="22"/>
        </w:rPr>
        <w:t xml:space="preserve"> both a written as well as oral prescription.</w:t>
      </w:r>
    </w:p>
    <w:p w14:paraId="6EE8D712" w14:textId="77777777" w:rsidR="00D55A59" w:rsidRDefault="00D55A5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sz w:val="22"/>
          <w:szCs w:val="22"/>
        </w:rPr>
      </w:pPr>
    </w:p>
    <w:p w14:paraId="3DA3B432" w14:textId="10A8A0FD" w:rsidR="00E8472A" w:rsidRDefault="00302F79"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rPr>
          <w:i/>
          <w:iCs/>
          <w:sz w:val="22"/>
          <w:szCs w:val="22"/>
        </w:rPr>
      </w:pPr>
      <w:r>
        <w:rPr>
          <w:rFonts w:ascii="Times New Roman Bold"/>
          <w:sz w:val="22"/>
          <w:szCs w:val="22"/>
        </w:rPr>
        <w:t xml:space="preserve">VII.  Opinion </w:t>
      </w:r>
    </w:p>
    <w:p w14:paraId="758FBC35" w14:textId="03A30C76" w:rsidR="00D55A59" w:rsidRDefault="00E8472A" w:rsidP="00A96A90">
      <w:pPr>
        <w:widowControl/>
        <w:tabs>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jc w:val="both"/>
      </w:pPr>
      <w:r>
        <w:rPr>
          <w:i/>
          <w:iCs/>
          <w:sz w:val="22"/>
          <w:szCs w:val="22"/>
        </w:rPr>
        <w:tab/>
      </w:r>
      <w:r w:rsidR="00EF2CDC">
        <w:rPr>
          <w:sz w:val="22"/>
          <w:szCs w:val="22"/>
        </w:rPr>
        <w:t>I agree with the decision of the court. However, I also believe that emails can be forged and thus without a signature, the trust value of the prescription may lower. Nonetheless, Walgreens did not violate the statute directly but used a loophole since electronic transmissions were not a part of it.</w:t>
      </w:r>
      <w:bookmarkStart w:id="1" w:name="_GoBack"/>
      <w:bookmarkEnd w:id="1"/>
      <w:r w:rsidR="00302F79">
        <w:rPr>
          <w:i/>
          <w:iCs/>
          <w:sz w:val="22"/>
          <w:szCs w:val="22"/>
        </w:rPr>
        <w:tab/>
      </w:r>
    </w:p>
    <w:sectPr w:rsidR="00D55A59">
      <w:headerReference w:type="default" r:id="rId6"/>
      <w:footerReference w:type="default" r:id="rId7"/>
      <w:pgSz w:w="12240" w:h="15840"/>
      <w:pgMar w:top="1440" w:right="720" w:bottom="1080" w:left="1440" w:header="144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4BDDE" w14:textId="77777777" w:rsidR="00F505E9" w:rsidRDefault="00F505E9">
      <w:r>
        <w:separator/>
      </w:r>
    </w:p>
  </w:endnote>
  <w:endnote w:type="continuationSeparator" w:id="0">
    <w:p w14:paraId="397C7160" w14:textId="77777777" w:rsidR="00F505E9" w:rsidRDefault="00F50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11B0D" w14:textId="77777777" w:rsidR="00D55A59" w:rsidRDefault="00D55A5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03651" w14:textId="77777777" w:rsidR="00F505E9" w:rsidRDefault="00F505E9">
      <w:r>
        <w:separator/>
      </w:r>
    </w:p>
  </w:footnote>
  <w:footnote w:type="continuationSeparator" w:id="0">
    <w:p w14:paraId="089E2B0B" w14:textId="77777777" w:rsidR="00F505E9" w:rsidRDefault="00F50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C45EE" w14:textId="77777777" w:rsidR="00D55A59" w:rsidRDefault="00D55A5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A59"/>
    <w:rsid w:val="000657FD"/>
    <w:rsid w:val="00093C93"/>
    <w:rsid w:val="00130901"/>
    <w:rsid w:val="00176ABC"/>
    <w:rsid w:val="002A746D"/>
    <w:rsid w:val="00302F79"/>
    <w:rsid w:val="00312A46"/>
    <w:rsid w:val="006D73DC"/>
    <w:rsid w:val="006F564D"/>
    <w:rsid w:val="00800DFD"/>
    <w:rsid w:val="00A96A90"/>
    <w:rsid w:val="00AE2FEA"/>
    <w:rsid w:val="00C20D59"/>
    <w:rsid w:val="00D55A59"/>
    <w:rsid w:val="00D97404"/>
    <w:rsid w:val="00E8472A"/>
    <w:rsid w:val="00EF2CDC"/>
    <w:rsid w:val="00F505E9"/>
    <w:rsid w:val="00F9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EF97"/>
  <w15:docId w15:val="{054D827B-5DFA-4D6C-95D5-6E58D304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pPr>
    <w:rPr>
      <w:rFonts w:hAnsi="Arial Unicode MS" w:cs="Arial Unicode M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Chanakya Gaur</dc:creator>
  <cp:keywords/>
  <dc:description/>
  <cp:lastModifiedBy>Chanakya Gaur</cp:lastModifiedBy>
  <cp:revision>6</cp:revision>
  <dcterms:created xsi:type="dcterms:W3CDTF">2018-02-21T17:53:00Z</dcterms:created>
  <dcterms:modified xsi:type="dcterms:W3CDTF">2018-03-07T22:09:00Z</dcterms:modified>
</cp:coreProperties>
</file>