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A4F8975" wp14:paraId="3D7D9B35" wp14:textId="27167019">
      <w:pPr>
        <w:pStyle w:val="Normal"/>
        <w:rPr>
          <w:rFonts w:ascii="Aptos" w:hAnsi="Aptos"/>
          <w:b w:val="1"/>
          <w:bCs w:val="1"/>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Chẩn</w:t>
      </w:r>
      <w:r w:rsidRPr="2A4F8975" w:rsidR="3B208ECF">
        <w:rPr>
          <w:rFonts w:ascii="Aptos" w:hAnsi="Aptos"/>
          <w:b w:val="1"/>
          <w:bCs w:val="1"/>
          <w:i w:val="0"/>
          <w:iCs w:val="0"/>
          <w:caps w:val="0"/>
          <w:smallCaps w:val="0"/>
          <w:noProof w:val="0"/>
          <w:sz w:val="24"/>
          <w:szCs w:val="24"/>
          <w:lang w:val="en-US"/>
        </w:rPr>
        <w:t xml:space="preserve"> </w:t>
      </w:r>
      <w:r w:rsidRPr="2A4F8975" w:rsidR="3B208ECF">
        <w:rPr>
          <w:rFonts w:ascii="Aptos" w:hAnsi="Aptos"/>
          <w:b w:val="1"/>
          <w:bCs w:val="1"/>
          <w:i w:val="0"/>
          <w:iCs w:val="0"/>
          <w:caps w:val="0"/>
          <w:smallCaps w:val="0"/>
          <w:noProof w:val="0"/>
          <w:sz w:val="24"/>
          <w:szCs w:val="24"/>
          <w:lang w:val="en-US"/>
        </w:rPr>
        <w:t>đoán</w:t>
      </w:r>
      <w:r w:rsidRPr="2A4F8975" w:rsidR="3B208ECF">
        <w:rPr>
          <w:rFonts w:ascii="Aptos" w:hAnsi="Aptos"/>
          <w:b w:val="1"/>
          <w:bCs w:val="1"/>
          <w:i w:val="0"/>
          <w:iCs w:val="0"/>
          <w:caps w:val="0"/>
          <w:smallCaps w:val="0"/>
          <w:noProof w:val="0"/>
          <w:sz w:val="24"/>
          <w:szCs w:val="24"/>
          <w:lang w:val="en-US"/>
        </w:rPr>
        <w:t xml:space="preserve"> </w:t>
      </w:r>
      <w:r w:rsidRPr="2A4F8975" w:rsidR="3B208ECF">
        <w:rPr>
          <w:rFonts w:ascii="Aptos" w:hAnsi="Aptos"/>
          <w:b w:val="1"/>
          <w:bCs w:val="1"/>
          <w:i w:val="0"/>
          <w:iCs w:val="0"/>
          <w:caps w:val="0"/>
          <w:smallCaps w:val="0"/>
          <w:noProof w:val="0"/>
          <w:sz w:val="24"/>
          <w:szCs w:val="24"/>
          <w:lang w:val="en-US"/>
        </w:rPr>
        <w:t>và</w:t>
      </w:r>
      <w:r w:rsidRPr="2A4F8975" w:rsidR="3B208ECF">
        <w:rPr>
          <w:rFonts w:ascii="Aptos" w:hAnsi="Aptos"/>
          <w:b w:val="1"/>
          <w:bCs w:val="1"/>
          <w:i w:val="0"/>
          <w:iCs w:val="0"/>
          <w:caps w:val="0"/>
          <w:smallCaps w:val="0"/>
          <w:noProof w:val="0"/>
          <w:sz w:val="24"/>
          <w:szCs w:val="24"/>
          <w:lang w:val="en-US"/>
        </w:rPr>
        <w:t xml:space="preserve"> </w:t>
      </w:r>
      <w:r w:rsidRPr="2A4F8975" w:rsidR="3B208ECF">
        <w:rPr>
          <w:rFonts w:ascii="Aptos" w:hAnsi="Aptos"/>
          <w:b w:val="1"/>
          <w:bCs w:val="1"/>
          <w:i w:val="0"/>
          <w:iCs w:val="0"/>
          <w:caps w:val="0"/>
          <w:smallCaps w:val="0"/>
          <w:noProof w:val="0"/>
          <w:sz w:val="24"/>
          <w:szCs w:val="24"/>
          <w:lang w:val="en-US"/>
        </w:rPr>
        <w:t>Phân</w:t>
      </w:r>
      <w:r w:rsidRPr="2A4F8975" w:rsidR="3B208ECF">
        <w:rPr>
          <w:rFonts w:ascii="Aptos" w:hAnsi="Aptos"/>
          <w:b w:val="1"/>
          <w:bCs w:val="1"/>
          <w:i w:val="0"/>
          <w:iCs w:val="0"/>
          <w:caps w:val="0"/>
          <w:smallCaps w:val="0"/>
          <w:noProof w:val="0"/>
          <w:sz w:val="24"/>
          <w:szCs w:val="24"/>
          <w:lang w:val="en-US"/>
        </w:rPr>
        <w:t xml:space="preserve"> </w:t>
      </w:r>
      <w:r w:rsidRPr="2A4F8975" w:rsidR="3B208ECF">
        <w:rPr>
          <w:rFonts w:ascii="Aptos" w:hAnsi="Aptos"/>
          <w:b w:val="1"/>
          <w:bCs w:val="1"/>
          <w:i w:val="0"/>
          <w:iCs w:val="0"/>
          <w:caps w:val="0"/>
          <w:smallCaps w:val="0"/>
          <w:noProof w:val="0"/>
          <w:sz w:val="24"/>
          <w:szCs w:val="24"/>
          <w:lang w:val="en-US"/>
        </w:rPr>
        <w:t>loại</w:t>
      </w:r>
      <w:r w:rsidRPr="2A4F8975" w:rsidR="3B208ECF">
        <w:rPr>
          <w:rFonts w:ascii="Aptos" w:hAnsi="Aptos"/>
          <w:b w:val="1"/>
          <w:bCs w:val="1"/>
          <w:i w:val="0"/>
          <w:iCs w:val="0"/>
          <w:caps w:val="0"/>
          <w:smallCaps w:val="0"/>
          <w:noProof w:val="0"/>
          <w:sz w:val="24"/>
          <w:szCs w:val="24"/>
          <w:lang w:val="en-US"/>
        </w:rPr>
        <w:t xml:space="preserve"> </w:t>
      </w:r>
      <w:r w:rsidRPr="2A4F8975" w:rsidR="3B208ECF">
        <w:rPr>
          <w:rFonts w:ascii="Aptos" w:hAnsi="Aptos"/>
          <w:b w:val="1"/>
          <w:bCs w:val="1"/>
          <w:i w:val="0"/>
          <w:iCs w:val="0"/>
          <w:caps w:val="0"/>
          <w:smallCaps w:val="0"/>
          <w:noProof w:val="0"/>
          <w:sz w:val="24"/>
          <w:szCs w:val="24"/>
          <w:lang w:val="en-US"/>
        </w:rPr>
        <w:t>Bệnh</w:t>
      </w:r>
      <w:r w:rsidRPr="2A4F8975" w:rsidR="3B208ECF">
        <w:rPr>
          <w:rFonts w:ascii="Aptos" w:hAnsi="Aptos"/>
          <w:b w:val="1"/>
          <w:bCs w:val="1"/>
          <w:i w:val="0"/>
          <w:iCs w:val="0"/>
          <w:caps w:val="0"/>
          <w:smallCaps w:val="0"/>
          <w:noProof w:val="0"/>
          <w:sz w:val="24"/>
          <w:szCs w:val="24"/>
          <w:lang w:val="en-US"/>
        </w:rPr>
        <w:t xml:space="preserve"> đ</w:t>
      </w:r>
      <w:r w:rsidRPr="2A4F8975" w:rsidR="3B208ECF">
        <w:rPr>
          <w:rFonts w:ascii="Aptos" w:hAnsi="Aptos"/>
          <w:b w:val="1"/>
          <w:bCs w:val="1"/>
          <w:i w:val="0"/>
          <w:iCs w:val="0"/>
          <w:caps w:val="0"/>
          <w:smallCaps w:val="0"/>
          <w:noProof w:val="0"/>
          <w:sz w:val="24"/>
          <w:szCs w:val="24"/>
          <w:lang w:val="en-US"/>
        </w:rPr>
        <w:t>ái</w:t>
      </w:r>
      <w:r w:rsidRPr="2A4F8975" w:rsidR="3B208ECF">
        <w:rPr>
          <w:rFonts w:ascii="Aptos" w:hAnsi="Aptos"/>
          <w:b w:val="1"/>
          <w:bCs w:val="1"/>
          <w:i w:val="0"/>
          <w:iCs w:val="0"/>
          <w:caps w:val="0"/>
          <w:smallCaps w:val="0"/>
          <w:noProof w:val="0"/>
          <w:sz w:val="24"/>
          <w:szCs w:val="24"/>
          <w:lang w:val="en-US"/>
        </w:rPr>
        <w:t xml:space="preserve"> </w:t>
      </w:r>
      <w:r w:rsidRPr="2A4F8975" w:rsidR="3B208ECF">
        <w:rPr>
          <w:rFonts w:ascii="Aptos" w:hAnsi="Aptos"/>
          <w:b w:val="1"/>
          <w:bCs w:val="1"/>
          <w:i w:val="0"/>
          <w:iCs w:val="0"/>
          <w:caps w:val="0"/>
          <w:smallCaps w:val="0"/>
          <w:noProof w:val="0"/>
          <w:sz w:val="24"/>
          <w:szCs w:val="24"/>
          <w:lang w:val="en-US"/>
        </w:rPr>
        <w:t>tháo</w:t>
      </w:r>
      <w:r w:rsidRPr="2A4F8975" w:rsidR="3B208ECF">
        <w:rPr>
          <w:rFonts w:ascii="Aptos" w:hAnsi="Aptos"/>
          <w:b w:val="1"/>
          <w:bCs w:val="1"/>
          <w:i w:val="0"/>
          <w:iCs w:val="0"/>
          <w:caps w:val="0"/>
          <w:smallCaps w:val="0"/>
          <w:noProof w:val="0"/>
          <w:sz w:val="24"/>
          <w:szCs w:val="24"/>
          <w:lang w:val="en-US"/>
        </w:rPr>
        <w:t xml:space="preserve"> </w:t>
      </w:r>
      <w:r w:rsidRPr="2A4F8975" w:rsidR="3B208ECF">
        <w:rPr>
          <w:rFonts w:ascii="Aptos" w:hAnsi="Aptos"/>
          <w:b w:val="1"/>
          <w:bCs w:val="1"/>
          <w:i w:val="0"/>
          <w:iCs w:val="0"/>
          <w:caps w:val="0"/>
          <w:smallCaps w:val="0"/>
          <w:noProof w:val="0"/>
          <w:sz w:val="24"/>
          <w:szCs w:val="24"/>
          <w:lang w:val="en-US"/>
        </w:rPr>
        <w:t>đường</w:t>
      </w:r>
    </w:p>
    <w:p xmlns:wp14="http://schemas.microsoft.com/office/word/2010/wordml" w:rsidP="2A4F8975" wp14:paraId="235E8552" wp14:textId="2FAC57C3">
      <w:pPr>
        <w:rPr>
          <w:rFonts w:ascii="Aptos" w:hAnsi="Aptos"/>
          <w:sz w:val="24"/>
          <w:szCs w:val="24"/>
        </w:rPr>
      </w:pPr>
    </w:p>
    <w:p xmlns:wp14="http://schemas.microsoft.com/office/word/2010/wordml" w:rsidP="2A4F8975" wp14:paraId="60ED8837" wp14:textId="541C5484">
      <w:pPr>
        <w:pStyle w:val="Normal"/>
        <w:rPr>
          <w:rFonts w:ascii="Aptos" w:hAnsi="Aptos"/>
          <w:b w:val="1"/>
          <w:bCs w:val="1"/>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Nội dung</w:t>
      </w:r>
    </w:p>
    <w:p xmlns:wp14="http://schemas.microsoft.com/office/word/2010/wordml" w:rsidP="2A4F8975" wp14:paraId="5D23D491" wp14:textId="5016823D">
      <w:pPr>
        <w:pStyle w:val="Normal"/>
        <w:numPr>
          <w:ilvl w:val="0"/>
          <w:numId w:val="1"/>
        </w:numPr>
        <w:rPr>
          <w:rFonts w:ascii="Aptos" w:hAnsi="Aptos"/>
          <w:b w:val="1"/>
          <w:bCs w:val="1"/>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Giới thiệu</w:t>
      </w:r>
    </w:p>
    <w:p xmlns:wp14="http://schemas.microsoft.com/office/word/2010/wordml" w:rsidP="2A4F8975" wp14:paraId="5558362C" wp14:textId="11C791D0">
      <w:pPr>
        <w:pStyle w:val="Normal"/>
        <w:numPr>
          <w:ilvl w:val="0"/>
          <w:numId w:val="1"/>
        </w:numPr>
        <w:rPr>
          <w:rFonts w:ascii="Aptos" w:hAnsi="Aptos"/>
          <w:b w:val="1"/>
          <w:bCs w:val="1"/>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Tóm tắt</w:t>
      </w:r>
    </w:p>
    <w:p xmlns:wp14="http://schemas.microsoft.com/office/word/2010/wordml" w:rsidP="2A4F8975" wp14:paraId="05358DE0" wp14:textId="51E5DC75">
      <w:pPr>
        <w:pStyle w:val="Normal"/>
        <w:numPr>
          <w:ilvl w:val="0"/>
          <w:numId w:val="1"/>
        </w:numPr>
        <w:rPr>
          <w:rFonts w:ascii="Aptos" w:hAnsi="Aptos"/>
          <w:b w:val="1"/>
          <w:bCs w:val="1"/>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Bối cảnh lịch sử và Sự phát triển của Phân loại</w:t>
      </w:r>
    </w:p>
    <w:p xmlns:wp14="http://schemas.microsoft.com/office/word/2010/wordml" w:rsidP="2A4F8975" wp14:paraId="00B2DC28" wp14:textId="03326A8C">
      <w:pPr>
        <w:pStyle w:val="Normal"/>
        <w:numPr>
          <w:ilvl w:val="0"/>
          <w:numId w:val="1"/>
        </w:numPr>
        <w:rPr>
          <w:rFonts w:ascii="Aptos" w:hAnsi="Aptos"/>
          <w:b w:val="1"/>
          <w:bCs w:val="1"/>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Định nghĩa và Tiêu chuẩn Chẩn đoán</w:t>
      </w:r>
    </w:p>
    <w:p xmlns:wp14="http://schemas.microsoft.com/office/word/2010/wordml" w:rsidP="2A4F8975" wp14:paraId="51E038EB" wp14:textId="31830D85">
      <w:pPr>
        <w:pStyle w:val="Normal"/>
        <w:numPr>
          <w:ilvl w:val="1"/>
          <w:numId w:val="1"/>
        </w:numPr>
        <w:rPr>
          <w:rFonts w:ascii="Aptos" w:hAnsi="Aptos"/>
          <w:b w:val="0"/>
          <w:bCs w:val="0"/>
          <w:i w:val="0"/>
          <w:iCs w:val="0"/>
          <w:caps w:val="0"/>
          <w:smallCaps w:val="0"/>
          <w:noProof w:val="0"/>
          <w:sz w:val="24"/>
          <w:szCs w:val="24"/>
          <w:lang w:val="en-US"/>
        </w:rPr>
      </w:pPr>
      <w:r w:rsidRPr="2A4F8975" w:rsidR="3B208ECF">
        <w:rPr>
          <w:rFonts w:ascii="Aptos" w:hAnsi="Aptos"/>
          <w:b w:val="0"/>
          <w:bCs w:val="0"/>
          <w:i w:val="0"/>
          <w:iCs w:val="0"/>
          <w:caps w:val="0"/>
          <w:smallCaps w:val="0"/>
          <w:noProof w:val="0"/>
          <w:sz w:val="24"/>
          <w:szCs w:val="24"/>
          <w:lang w:val="en-US"/>
        </w:rPr>
        <w:t>4.1. Định nghĩa Bệnh Đái tháo đường</w:t>
      </w:r>
    </w:p>
    <w:p xmlns:wp14="http://schemas.microsoft.com/office/word/2010/wordml" w:rsidP="2A4F8975" wp14:paraId="45FFBE10" wp14:textId="43ED2590">
      <w:pPr>
        <w:pStyle w:val="Normal"/>
        <w:numPr>
          <w:ilvl w:val="1"/>
          <w:numId w:val="1"/>
        </w:numPr>
        <w:rPr>
          <w:rFonts w:ascii="Aptos" w:hAnsi="Aptos"/>
          <w:b w:val="0"/>
          <w:bCs w:val="0"/>
          <w:i w:val="0"/>
          <w:iCs w:val="0"/>
          <w:caps w:val="0"/>
          <w:smallCaps w:val="0"/>
          <w:noProof w:val="0"/>
          <w:sz w:val="24"/>
          <w:szCs w:val="24"/>
          <w:lang w:val="en-US"/>
        </w:rPr>
      </w:pPr>
      <w:r w:rsidRPr="2A4F8975" w:rsidR="3B208ECF">
        <w:rPr>
          <w:rFonts w:ascii="Aptos" w:hAnsi="Aptos"/>
          <w:b w:val="0"/>
          <w:bCs w:val="0"/>
          <w:i w:val="0"/>
          <w:iCs w:val="0"/>
          <w:caps w:val="0"/>
          <w:smallCaps w:val="0"/>
          <w:noProof w:val="0"/>
          <w:sz w:val="24"/>
          <w:szCs w:val="24"/>
          <w:lang w:val="en-US"/>
        </w:rPr>
        <w:t>4.2. Tiêu chuẩn Chẩn đoán cho Người lớn không Mang thai</w:t>
      </w:r>
    </w:p>
    <w:p xmlns:wp14="http://schemas.microsoft.com/office/word/2010/wordml" w:rsidP="2A4F8975" wp14:paraId="53D87CF0" wp14:textId="7982C777">
      <w:pPr>
        <w:pStyle w:val="Normal"/>
        <w:numPr>
          <w:ilvl w:val="1"/>
          <w:numId w:val="1"/>
        </w:numPr>
        <w:rPr>
          <w:rFonts w:ascii="Aptos" w:hAnsi="Aptos"/>
          <w:b w:val="0"/>
          <w:bCs w:val="0"/>
          <w:i w:val="0"/>
          <w:iCs w:val="0"/>
          <w:caps w:val="0"/>
          <w:smallCaps w:val="0"/>
          <w:noProof w:val="0"/>
          <w:sz w:val="24"/>
          <w:szCs w:val="24"/>
          <w:lang w:val="en-US"/>
        </w:rPr>
      </w:pPr>
      <w:r w:rsidRPr="2A4F8975" w:rsidR="3B208ECF">
        <w:rPr>
          <w:rFonts w:ascii="Aptos" w:hAnsi="Aptos"/>
          <w:b w:val="0"/>
          <w:bCs w:val="0"/>
          <w:i w:val="0"/>
          <w:iCs w:val="0"/>
          <w:caps w:val="0"/>
          <w:smallCaps w:val="0"/>
          <w:noProof w:val="0"/>
          <w:sz w:val="24"/>
          <w:szCs w:val="24"/>
          <w:lang w:val="en-US"/>
        </w:rPr>
        <w:t>4.3. Tiêu chuẩn Chẩn đoán cho Trẻ em và Đái tháo đường Thai kỳ</w:t>
      </w:r>
    </w:p>
    <w:p xmlns:wp14="http://schemas.microsoft.com/office/word/2010/wordml" w:rsidP="2A4F8975" wp14:paraId="07196DF1" wp14:textId="6473EC9E">
      <w:pPr>
        <w:pStyle w:val="Normal"/>
        <w:numPr>
          <w:ilvl w:val="0"/>
          <w:numId w:val="1"/>
        </w:numPr>
        <w:rPr>
          <w:rFonts w:ascii="Aptos" w:hAnsi="Aptos"/>
          <w:b w:val="1"/>
          <w:bCs w:val="1"/>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Phân loại Căn nguyên Bệnh Đái tháo đường</w:t>
      </w:r>
    </w:p>
    <w:p xmlns:wp14="http://schemas.microsoft.com/office/word/2010/wordml" w:rsidP="2A4F8975" wp14:paraId="7841ABED" wp14:textId="2CC84D2E">
      <w:pPr>
        <w:pStyle w:val="Normal"/>
        <w:numPr>
          <w:ilvl w:val="1"/>
          <w:numId w:val="1"/>
        </w:numPr>
        <w:rPr>
          <w:rFonts w:ascii="Aptos" w:hAnsi="Aptos"/>
          <w:b w:val="0"/>
          <w:bCs w:val="0"/>
          <w:i w:val="0"/>
          <w:iCs w:val="0"/>
          <w:caps w:val="0"/>
          <w:smallCaps w:val="0"/>
          <w:noProof w:val="0"/>
          <w:sz w:val="24"/>
          <w:szCs w:val="24"/>
          <w:lang w:val="en-US"/>
        </w:rPr>
      </w:pPr>
      <w:r w:rsidRPr="2A4F8975" w:rsidR="3B208ECF">
        <w:rPr>
          <w:rFonts w:ascii="Aptos" w:hAnsi="Aptos"/>
          <w:b w:val="0"/>
          <w:bCs w:val="0"/>
          <w:i w:val="0"/>
          <w:iCs w:val="0"/>
          <w:caps w:val="0"/>
          <w:smallCaps w:val="0"/>
          <w:noProof w:val="0"/>
          <w:sz w:val="24"/>
          <w:szCs w:val="24"/>
          <w:lang w:val="en-US"/>
        </w:rPr>
        <w:t>5.1. Đái tháo đường Type 1</w:t>
      </w:r>
    </w:p>
    <w:p xmlns:wp14="http://schemas.microsoft.com/office/word/2010/wordml" w:rsidP="2A4F8975" wp14:paraId="544472F1" wp14:textId="5126D42D">
      <w:pPr>
        <w:pStyle w:val="Normal"/>
        <w:numPr>
          <w:ilvl w:val="1"/>
          <w:numId w:val="1"/>
        </w:numPr>
        <w:rPr>
          <w:rFonts w:ascii="Aptos" w:hAnsi="Aptos"/>
          <w:b w:val="0"/>
          <w:bCs w:val="0"/>
          <w:i w:val="0"/>
          <w:iCs w:val="0"/>
          <w:caps w:val="0"/>
          <w:smallCaps w:val="0"/>
          <w:noProof w:val="0"/>
          <w:sz w:val="24"/>
          <w:szCs w:val="24"/>
          <w:lang w:val="en-US"/>
        </w:rPr>
      </w:pPr>
      <w:r w:rsidRPr="2A4F8975" w:rsidR="3B208ECF">
        <w:rPr>
          <w:rFonts w:ascii="Aptos" w:hAnsi="Aptos"/>
          <w:b w:val="0"/>
          <w:bCs w:val="0"/>
          <w:i w:val="0"/>
          <w:iCs w:val="0"/>
          <w:caps w:val="0"/>
          <w:smallCaps w:val="0"/>
          <w:noProof w:val="0"/>
          <w:sz w:val="24"/>
          <w:szCs w:val="24"/>
          <w:lang w:val="en-US"/>
        </w:rPr>
        <w:t>5.2. Đái tháo đường Type 2</w:t>
      </w:r>
    </w:p>
    <w:p xmlns:wp14="http://schemas.microsoft.com/office/word/2010/wordml" w:rsidP="2A4F8975" wp14:paraId="53D964A0" wp14:textId="59265D4D">
      <w:pPr>
        <w:pStyle w:val="Normal"/>
        <w:numPr>
          <w:ilvl w:val="1"/>
          <w:numId w:val="1"/>
        </w:numPr>
        <w:rPr>
          <w:rFonts w:ascii="Aptos" w:hAnsi="Aptos"/>
          <w:b w:val="0"/>
          <w:bCs w:val="0"/>
          <w:i w:val="0"/>
          <w:iCs w:val="0"/>
          <w:caps w:val="0"/>
          <w:smallCaps w:val="0"/>
          <w:noProof w:val="0"/>
          <w:sz w:val="24"/>
          <w:szCs w:val="24"/>
          <w:lang w:val="en-US"/>
        </w:rPr>
      </w:pPr>
      <w:r w:rsidRPr="2A4F8975" w:rsidR="3B208ECF">
        <w:rPr>
          <w:rFonts w:ascii="Aptos" w:hAnsi="Aptos"/>
          <w:b w:val="0"/>
          <w:bCs w:val="0"/>
          <w:i w:val="0"/>
          <w:iCs w:val="0"/>
          <w:caps w:val="0"/>
          <w:smallCaps w:val="0"/>
          <w:noProof w:val="0"/>
          <w:sz w:val="24"/>
          <w:szCs w:val="24"/>
          <w:lang w:val="en-US"/>
        </w:rPr>
        <w:t>5.3. Các Type Đặc biệt Khác</w:t>
      </w:r>
    </w:p>
    <w:p xmlns:wp14="http://schemas.microsoft.com/office/word/2010/wordml" w:rsidP="2A4F8975" wp14:paraId="6075180B" wp14:textId="6DDE65D0">
      <w:pPr>
        <w:pStyle w:val="Normal"/>
        <w:numPr>
          <w:ilvl w:val="1"/>
          <w:numId w:val="1"/>
        </w:numPr>
        <w:rPr>
          <w:rFonts w:ascii="Aptos" w:hAnsi="Aptos"/>
          <w:b w:val="0"/>
          <w:bCs w:val="0"/>
          <w:i w:val="0"/>
          <w:iCs w:val="0"/>
          <w:caps w:val="0"/>
          <w:smallCaps w:val="0"/>
          <w:noProof w:val="0"/>
          <w:sz w:val="24"/>
          <w:szCs w:val="24"/>
          <w:lang w:val="en-US"/>
        </w:rPr>
      </w:pPr>
      <w:r w:rsidRPr="2A4F8975" w:rsidR="3B208ECF">
        <w:rPr>
          <w:rFonts w:ascii="Aptos" w:hAnsi="Aptos"/>
          <w:b w:val="0"/>
          <w:bCs w:val="0"/>
          <w:i w:val="0"/>
          <w:iCs w:val="0"/>
          <w:caps w:val="0"/>
          <w:smallCaps w:val="0"/>
          <w:noProof w:val="0"/>
          <w:sz w:val="24"/>
          <w:szCs w:val="24"/>
          <w:lang w:val="en-US"/>
        </w:rPr>
        <w:t>5.4. Đái tháo đường Thai kỳ</w:t>
      </w:r>
    </w:p>
    <w:p xmlns:wp14="http://schemas.microsoft.com/office/word/2010/wordml" w:rsidP="2A4F8975" wp14:paraId="54C561A8" wp14:textId="7312F089">
      <w:pPr>
        <w:pStyle w:val="Normal"/>
        <w:numPr>
          <w:ilvl w:val="0"/>
          <w:numId w:val="1"/>
        </w:numPr>
        <w:rPr>
          <w:rFonts w:ascii="Aptos" w:hAnsi="Aptos"/>
          <w:b w:val="1"/>
          <w:bCs w:val="1"/>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Giai đoạn Lâm sàng và Các Nhóm Nguy cơ Thống kê</w:t>
      </w:r>
    </w:p>
    <w:p xmlns:wp14="http://schemas.microsoft.com/office/word/2010/wordml" w:rsidP="2A4F8975" wp14:paraId="29AC6DD5" wp14:textId="44F2F22D">
      <w:pPr>
        <w:pStyle w:val="Normal"/>
        <w:numPr>
          <w:ilvl w:val="1"/>
          <w:numId w:val="1"/>
        </w:numPr>
        <w:rPr>
          <w:rFonts w:ascii="Aptos" w:hAnsi="Aptos"/>
          <w:b w:val="0"/>
          <w:bCs w:val="0"/>
          <w:i w:val="0"/>
          <w:iCs w:val="0"/>
          <w:caps w:val="0"/>
          <w:smallCaps w:val="0"/>
          <w:noProof w:val="0"/>
          <w:sz w:val="24"/>
          <w:szCs w:val="24"/>
          <w:lang w:val="en-US"/>
        </w:rPr>
      </w:pPr>
      <w:r w:rsidRPr="2A4F8975" w:rsidR="3B208ECF">
        <w:rPr>
          <w:rFonts w:ascii="Aptos" w:hAnsi="Aptos"/>
          <w:b w:val="0"/>
          <w:bCs w:val="0"/>
          <w:i w:val="0"/>
          <w:iCs w:val="0"/>
          <w:caps w:val="0"/>
          <w:smallCaps w:val="0"/>
          <w:noProof w:val="0"/>
          <w:sz w:val="24"/>
          <w:szCs w:val="24"/>
          <w:lang w:val="en-US"/>
        </w:rPr>
        <w:t>6.1. Rối loạn Dung nạp Glucose (IGT &amp; IFG)</w:t>
      </w:r>
    </w:p>
    <w:p xmlns:wp14="http://schemas.microsoft.com/office/word/2010/wordml" w:rsidP="2A4F8975" wp14:paraId="72693E65" wp14:textId="34C66D21">
      <w:pPr>
        <w:pStyle w:val="Normal"/>
        <w:numPr>
          <w:ilvl w:val="1"/>
          <w:numId w:val="1"/>
        </w:numPr>
        <w:rPr>
          <w:rFonts w:ascii="Aptos" w:hAnsi="Aptos"/>
          <w:b w:val="0"/>
          <w:bCs w:val="0"/>
          <w:i w:val="0"/>
          <w:iCs w:val="0"/>
          <w:caps w:val="0"/>
          <w:smallCaps w:val="0"/>
          <w:noProof w:val="0"/>
          <w:sz w:val="24"/>
          <w:szCs w:val="24"/>
          <w:lang w:val="en-US"/>
        </w:rPr>
      </w:pPr>
      <w:r w:rsidRPr="2A4F8975" w:rsidR="3B208ECF">
        <w:rPr>
          <w:rFonts w:ascii="Aptos" w:hAnsi="Aptos"/>
          <w:b w:val="0"/>
          <w:bCs w:val="0"/>
          <w:i w:val="0"/>
          <w:iCs w:val="0"/>
          <w:caps w:val="0"/>
          <w:smallCaps w:val="0"/>
          <w:noProof w:val="0"/>
          <w:sz w:val="24"/>
          <w:szCs w:val="24"/>
          <w:lang w:val="en-US"/>
        </w:rPr>
        <w:t>6.2. Các Nhóm Nguy cơ Thống kê</w:t>
      </w:r>
    </w:p>
    <w:p xmlns:wp14="http://schemas.microsoft.com/office/word/2010/wordml" w:rsidP="2A4F8975" wp14:paraId="3F6E069B" wp14:textId="0E16F7F2">
      <w:pPr>
        <w:pStyle w:val="Normal"/>
        <w:numPr>
          <w:ilvl w:val="0"/>
          <w:numId w:val="1"/>
        </w:numPr>
        <w:rPr>
          <w:rFonts w:ascii="Aptos" w:hAnsi="Aptos"/>
          <w:b w:val="1"/>
          <w:bCs w:val="1"/>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Phân tích Nâng cao: Dự báo Khởi phát Đái tháo đường bằng Thuật toán ADAP</w:t>
      </w:r>
    </w:p>
    <w:p xmlns:wp14="http://schemas.microsoft.com/office/word/2010/wordml" w:rsidP="2A4F8975" wp14:paraId="46A04AD9" wp14:textId="3B8F54AE">
      <w:pPr>
        <w:pStyle w:val="Normal"/>
        <w:numPr>
          <w:ilvl w:val="0"/>
          <w:numId w:val="1"/>
        </w:numPr>
        <w:rPr>
          <w:rFonts w:ascii="Aptos" w:hAnsi="Aptos"/>
          <w:b w:val="1"/>
          <w:bCs w:val="1"/>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Hội chứng Chuyển hóa</w:t>
      </w:r>
    </w:p>
    <w:p xmlns:wp14="http://schemas.microsoft.com/office/word/2010/wordml" w:rsidP="2A4F8975" wp14:paraId="0CACAC9F" wp14:textId="33D7D39B">
      <w:pPr>
        <w:pStyle w:val="Normal"/>
        <w:numPr>
          <w:ilvl w:val="0"/>
          <w:numId w:val="1"/>
        </w:numPr>
        <w:rPr>
          <w:rFonts w:ascii="Aptos" w:hAnsi="Aptos"/>
          <w:b w:val="1"/>
          <w:bCs w:val="1"/>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Kết luận</w:t>
      </w:r>
    </w:p>
    <w:p xmlns:wp14="http://schemas.microsoft.com/office/word/2010/wordml" w:rsidP="2A4F8975" wp14:paraId="25119A1D" wp14:textId="0CFDF971">
      <w:pPr>
        <w:pStyle w:val="Normal"/>
        <w:numPr>
          <w:ilvl w:val="0"/>
          <w:numId w:val="1"/>
        </w:numPr>
        <w:rPr>
          <w:rFonts w:ascii="Aptos" w:hAnsi="Aptos"/>
          <w:b w:val="1"/>
          <w:bCs w:val="1"/>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Tài liệu Tham khảo</w:t>
      </w:r>
    </w:p>
    <w:p xmlns:wp14="http://schemas.microsoft.com/office/word/2010/wordml" w:rsidP="2A4F8975" wp14:paraId="76582388" wp14:textId="029C50F1">
      <w:pPr>
        <w:rPr>
          <w:rFonts w:ascii="Aptos" w:hAnsi="Aptos"/>
          <w:sz w:val="24"/>
          <w:szCs w:val="24"/>
        </w:rPr>
      </w:pPr>
    </w:p>
    <w:p xmlns:wp14="http://schemas.microsoft.com/office/word/2010/wordml" w:rsidP="2A4F8975" wp14:paraId="59FDD354" wp14:textId="4479118B">
      <w:pPr>
        <w:pStyle w:val="Normal"/>
        <w:rPr>
          <w:rFonts w:ascii="Aptos" w:hAnsi="Aptos"/>
          <w:b w:val="1"/>
          <w:bCs w:val="1"/>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1. Giới thiệu</w:t>
      </w:r>
    </w:p>
    <w:p xmlns:wp14="http://schemas.microsoft.com/office/word/2010/wordml" w:rsidP="2A4F8975" wp14:paraId="32897BF2" wp14:textId="658E1E06">
      <w:pPr>
        <w:rPr>
          <w:rFonts w:ascii="Aptos" w:hAnsi="Aptos"/>
          <w:b w:val="0"/>
          <w:bCs w:val="0"/>
          <w:i w:val="0"/>
          <w:iCs w:val="0"/>
          <w:caps w:val="0"/>
          <w:smallCaps w:val="0"/>
          <w:noProof w:val="0"/>
          <w:sz w:val="24"/>
          <w:szCs w:val="24"/>
          <w:lang w:val="en-US"/>
        </w:rPr>
      </w:pPr>
      <w:r w:rsidRPr="2A4F8975" w:rsidR="3B208ECF">
        <w:rPr>
          <w:rFonts w:ascii="Aptos" w:hAnsi="Aptos"/>
          <w:b w:val="0"/>
          <w:bCs w:val="0"/>
          <w:i w:val="0"/>
          <w:iCs w:val="0"/>
          <w:caps w:val="0"/>
          <w:smallCaps w:val="0"/>
          <w:noProof w:val="0"/>
          <w:sz w:val="24"/>
          <w:szCs w:val="24"/>
          <w:lang w:val="en-US"/>
        </w:rPr>
        <w:t>Báo cáo này tổng hợp thông tin quan trọng từ ba tài liệu nền tảng về bệnh đái tháo đường:</w:t>
      </w:r>
    </w:p>
    <w:p xmlns:wp14="http://schemas.microsoft.com/office/word/2010/wordml" w:rsidP="2A4F8975" wp14:paraId="7775CE82" wp14:textId="7636FAE3">
      <w:pPr>
        <w:pStyle w:val="Normal"/>
        <w:numPr>
          <w:ilvl w:val="0"/>
          <w:numId w:val="2"/>
        </w:numPr>
        <w:rPr>
          <w:rFonts w:ascii="Aptos" w:hAnsi="Aptos"/>
          <w:b w:val="0"/>
          <w:bCs w:val="0"/>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Tư vấn của WHO (1999):</w:t>
      </w:r>
      <w:r w:rsidRPr="2A4F8975" w:rsidR="3B208ECF">
        <w:rPr>
          <w:rFonts w:ascii="Aptos" w:hAnsi="Aptos"/>
          <w:b w:val="0"/>
          <w:bCs w:val="0"/>
          <w:i w:val="0"/>
          <w:iCs w:val="0"/>
          <w:caps w:val="0"/>
          <w:smallCaps w:val="0"/>
          <w:noProof w:val="0"/>
          <w:sz w:val="24"/>
          <w:szCs w:val="24"/>
          <w:lang w:val="en-US"/>
        </w:rPr>
        <w:t xml:space="preserve"> Cung cấp định nghĩa, tiêu chuẩn chẩn đoán được quốc tế chấp nhận và một hệ thống phân loại căn nguyên hiện đại.</w:t>
      </w:r>
    </w:p>
    <w:p xmlns:wp14="http://schemas.microsoft.com/office/word/2010/wordml" w:rsidP="2A4F8975" wp14:paraId="01D093C7" wp14:textId="1DB2A42C">
      <w:pPr>
        <w:pStyle w:val="Normal"/>
        <w:numPr>
          <w:ilvl w:val="0"/>
          <w:numId w:val="2"/>
        </w:numPr>
        <w:rPr>
          <w:rFonts w:ascii="Aptos" w:hAnsi="Aptos"/>
          <w:b w:val="0"/>
          <w:bCs w:val="0"/>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Nhóm Dữ liệu Đái tháo đường Quốc gia Hoa Kỳ (NDDG, 1979):</w:t>
      </w:r>
      <w:r w:rsidRPr="2A4F8975" w:rsidR="3B208ECF">
        <w:rPr>
          <w:rFonts w:ascii="Aptos" w:hAnsi="Aptos"/>
          <w:b w:val="0"/>
          <w:bCs w:val="0"/>
          <w:i w:val="0"/>
          <w:iCs w:val="0"/>
          <w:caps w:val="0"/>
          <w:smallCaps w:val="0"/>
          <w:noProof w:val="0"/>
          <w:sz w:val="24"/>
          <w:szCs w:val="24"/>
          <w:lang w:val="en-US"/>
        </w:rPr>
        <w:t xml:space="preserve"> Đại diện cho một khuôn khổ lịch sử then chốt, lần đầu tiên thiết lập các tiêu chuẩn chẩn đoán được chuẩn hóa và công nhận tính không đồng nhất của bệnh đái tháo đường.</w:t>
      </w:r>
    </w:p>
    <w:p xmlns:wp14="http://schemas.microsoft.com/office/word/2010/wordml" w:rsidP="2A4F8975" wp14:paraId="7BAEE062" wp14:textId="1AD450D3">
      <w:pPr>
        <w:pStyle w:val="Normal"/>
        <w:numPr>
          <w:ilvl w:val="0"/>
          <w:numId w:val="2"/>
        </w:numPr>
        <w:rPr>
          <w:rFonts w:ascii="Aptos" w:hAnsi="Aptos"/>
          <w:b w:val="0"/>
          <w:bCs w:val="0"/>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Smith và cộng sự (1988):</w:t>
      </w:r>
      <w:r w:rsidRPr="2A4F8975" w:rsidR="3B208ECF">
        <w:rPr>
          <w:rFonts w:ascii="Aptos" w:hAnsi="Aptos"/>
          <w:b w:val="0"/>
          <w:bCs w:val="0"/>
          <w:i w:val="0"/>
          <w:iCs w:val="0"/>
          <w:caps w:val="0"/>
          <w:smallCaps w:val="0"/>
          <w:noProof w:val="0"/>
          <w:sz w:val="24"/>
          <w:szCs w:val="24"/>
          <w:lang w:val="en-US"/>
        </w:rPr>
        <w:t xml:space="preserve"> Trình bày một ứng dụng sớm của thuật toán học máy (ADAP) để dự báo sự khởi phát bệnh đái tháo đường, làm nổi bật sự giao thoa giữa khoa học dữ liệu và chẩn đoán y tế.</w:t>
      </w:r>
    </w:p>
    <w:p xmlns:wp14="http://schemas.microsoft.com/office/word/2010/wordml" w:rsidP="2A4F8975" wp14:paraId="0435E028" wp14:textId="5577432B">
      <w:pPr>
        <w:rPr>
          <w:rFonts w:ascii="Aptos" w:hAnsi="Aptos"/>
          <w:b w:val="0"/>
          <w:bCs w:val="0"/>
          <w:i w:val="0"/>
          <w:iCs w:val="0"/>
          <w:caps w:val="0"/>
          <w:smallCaps w:val="0"/>
          <w:noProof w:val="0"/>
          <w:sz w:val="24"/>
          <w:szCs w:val="24"/>
          <w:lang w:val="en-US"/>
        </w:rPr>
      </w:pPr>
      <w:r w:rsidRPr="2A4F8975" w:rsidR="3B208ECF">
        <w:rPr>
          <w:rFonts w:ascii="Aptos" w:hAnsi="Aptos"/>
          <w:b w:val="0"/>
          <w:bCs w:val="0"/>
          <w:i w:val="0"/>
          <w:iCs w:val="0"/>
          <w:caps w:val="0"/>
          <w:smallCaps w:val="0"/>
          <w:noProof w:val="0"/>
          <w:sz w:val="24"/>
          <w:szCs w:val="24"/>
          <w:lang w:val="en-US"/>
        </w:rPr>
        <w:t>Báo cáo nhằm mục đích cung cấp một cái nhìn tổng quan rõ ràng về cách bệnh đái tháo đường được định nghĩa, chẩn đoán và phân loại, theo dõi sự phát triển của các khái niệm này và khám phá một phương pháp dự đoán mới.</w:t>
      </w:r>
    </w:p>
    <w:p xmlns:wp14="http://schemas.microsoft.com/office/word/2010/wordml" w:rsidP="2A4F8975" wp14:paraId="208B51E8" wp14:textId="4393FED1">
      <w:pPr>
        <w:pStyle w:val="Normal"/>
        <w:rPr>
          <w:rFonts w:ascii="Aptos" w:hAnsi="Aptos"/>
          <w:b w:val="1"/>
          <w:bCs w:val="1"/>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2. Tóm tắt</w:t>
      </w:r>
    </w:p>
    <w:p xmlns:wp14="http://schemas.microsoft.com/office/word/2010/wordml" w:rsidP="2A4F8975" wp14:paraId="38CA507E" wp14:textId="5BCAAFBE">
      <w:pPr>
        <w:rPr>
          <w:rFonts w:ascii="Aptos" w:hAnsi="Aptos"/>
          <w:b w:val="0"/>
          <w:bCs w:val="0"/>
          <w:i w:val="0"/>
          <w:iCs w:val="0"/>
          <w:caps w:val="0"/>
          <w:smallCaps w:val="0"/>
          <w:noProof w:val="0"/>
          <w:sz w:val="24"/>
          <w:szCs w:val="24"/>
          <w:lang w:val="en-US"/>
        </w:rPr>
      </w:pPr>
      <w:r w:rsidRPr="2A4F8975" w:rsidR="3B208ECF">
        <w:rPr>
          <w:rFonts w:ascii="Aptos" w:hAnsi="Aptos"/>
          <w:b w:val="0"/>
          <w:bCs w:val="0"/>
          <w:i w:val="0"/>
          <w:iCs w:val="0"/>
          <w:caps w:val="0"/>
          <w:smallCaps w:val="0"/>
          <w:noProof w:val="0"/>
          <w:sz w:val="24"/>
          <w:szCs w:val="24"/>
          <w:lang w:val="en-US"/>
        </w:rPr>
        <w:t>Bệnh Đái tháo đường là một rối loạn chuyển hóa phức tạp đặc trưng bởi tình trạng tăng đường huyết mãn tính. Việc chẩn đoán dựa trên các ngưỡng cụ thể đối với glucose huyết tương lúc đói (FPG) và/hoặc glucose sau 2 giờ làm nghiệm pháp dung nạp glucose đường uống (OGTT). Hệ thống phân loại đã phát triển từ một hệ thống dựa chủ yếu vào điều trị lâm sàng (IDDM/NIDDM) sang một khuôn khổ căn nguyên (Type 1/Type 2) phản ánh quá trình bệnh lý cơ bản. Các giai đoạn trung gian quan trọng như Rối loạn dung nạp glucose (IGT) và Rối loạn đường huyết lúc đói (IFG) giúp xác định những cá nhân có nguy cơ cao phát triển thành đái tháo đường. Nghiên cứu vẫn tiếp tục khám phá các mô hình dự đoán, chẳng hạn như mạng nơ-ron, để xác định sớm hơn các cá nhân có nguy cơ.</w:t>
      </w:r>
    </w:p>
    <w:p xmlns:wp14="http://schemas.microsoft.com/office/word/2010/wordml" w:rsidP="2A4F8975" wp14:paraId="5C0C72AA" wp14:textId="2032EC4A">
      <w:pPr>
        <w:pStyle w:val="Normal"/>
        <w:rPr>
          <w:rFonts w:ascii="Aptos" w:hAnsi="Aptos"/>
          <w:b w:val="1"/>
          <w:bCs w:val="1"/>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3. Bối cảnh lịch sử và Sự phát triển của Phân loại</w:t>
      </w:r>
    </w:p>
    <w:p xmlns:wp14="http://schemas.microsoft.com/office/word/2010/wordml" w:rsidP="2A4F8975" wp14:paraId="46D08774" wp14:textId="0602D232">
      <w:pPr>
        <w:rPr>
          <w:rFonts w:ascii="Aptos" w:hAnsi="Aptos"/>
          <w:b w:val="0"/>
          <w:bCs w:val="0"/>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Bài báo NDDG năm 1979</w:t>
      </w:r>
      <w:r w:rsidRPr="2A4F8975" w:rsidR="3B208ECF">
        <w:rPr>
          <w:rFonts w:ascii="Aptos" w:hAnsi="Aptos"/>
          <w:b w:val="0"/>
          <w:bCs w:val="0"/>
          <w:i w:val="0"/>
          <w:iCs w:val="0"/>
          <w:caps w:val="0"/>
          <w:smallCaps w:val="0"/>
          <w:noProof w:val="0"/>
          <w:sz w:val="24"/>
          <w:szCs w:val="24"/>
          <w:lang w:val="en-US"/>
        </w:rPr>
        <w:t xml:space="preserve"> là một nỗ lực mang tính bước ngoặt nhằm giải quyết sự hỗn loạn trong danh pháp và chẩn đoán bệnh đái tháo đường. Những đóng góp chính của nó bao gồm:</w:t>
      </w:r>
    </w:p>
    <w:p xmlns:wp14="http://schemas.microsoft.com/office/word/2010/wordml" w:rsidP="2A4F8975" wp14:paraId="26F761B1" wp14:textId="542F3F66">
      <w:pPr>
        <w:pStyle w:val="Normal"/>
        <w:numPr>
          <w:ilvl w:val="0"/>
          <w:numId w:val="3"/>
        </w:numPr>
        <w:rPr>
          <w:rFonts w:ascii="Aptos" w:hAnsi="Aptos"/>
          <w:b w:val="0"/>
          <w:bCs w:val="0"/>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Giới thiệu các phân loại riêng biệt:</w:t>
      </w:r>
      <w:r w:rsidRPr="2A4F8975" w:rsidR="3B208ECF">
        <w:rPr>
          <w:rFonts w:ascii="Aptos" w:hAnsi="Aptos"/>
          <w:b w:val="0"/>
          <w:bCs w:val="0"/>
          <w:i w:val="0"/>
          <w:iCs w:val="0"/>
          <w:caps w:val="0"/>
          <w:smallCaps w:val="0"/>
          <w:noProof w:val="0"/>
          <w:sz w:val="24"/>
          <w:szCs w:val="24"/>
          <w:lang w:val="en-US"/>
        </w:rPr>
        <w:t xml:space="preserve"> Nó đề xuất Đái tháo đường Phụ thuộc Insulin (IDDM, Type 1) và Đái tháo đường Không phụ thuộc Insulin (NIDDM, Type 2) là các thực thể riêng biệt, chuyển hướng khỏi các phân loại dựa trên tuổi tác như "đái tháo đường vị thành niên" hay "khởi phát ở người lớn".</w:t>
      </w:r>
    </w:p>
    <w:p xmlns:wp14="http://schemas.microsoft.com/office/word/2010/wordml" w:rsidP="2A4F8975" wp14:paraId="049398FD" wp14:textId="4E92B265">
      <w:pPr>
        <w:pStyle w:val="Normal"/>
        <w:numPr>
          <w:ilvl w:val="0"/>
          <w:numId w:val="3"/>
        </w:numPr>
        <w:rPr>
          <w:rFonts w:ascii="Aptos" w:hAnsi="Aptos"/>
          <w:b w:val="0"/>
          <w:bCs w:val="0"/>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Chuẩn hóa Tiêu chí Chẩn đoán:</w:t>
      </w:r>
      <w:r w:rsidRPr="2A4F8975" w:rsidR="3B208ECF">
        <w:rPr>
          <w:rFonts w:ascii="Aptos" w:hAnsi="Aptos"/>
          <w:b w:val="0"/>
          <w:bCs w:val="0"/>
          <w:i w:val="0"/>
          <w:iCs w:val="0"/>
          <w:caps w:val="0"/>
          <w:smallCaps w:val="0"/>
          <w:noProof w:val="0"/>
          <w:sz w:val="24"/>
          <w:szCs w:val="24"/>
          <w:lang w:val="en-US"/>
        </w:rPr>
        <w:t xml:space="preserve"> Nó thiết lập các tiêu chí số cụ thể để chẩn đoán dựa trên giá trị FPG và OGTT.</w:t>
      </w:r>
    </w:p>
    <w:p xmlns:wp14="http://schemas.microsoft.com/office/word/2010/wordml" w:rsidP="2A4F8975" wp14:paraId="118B7C7A" wp14:textId="61BFB7C2">
      <w:pPr>
        <w:pStyle w:val="Normal"/>
        <w:numPr>
          <w:ilvl w:val="0"/>
          <w:numId w:val="3"/>
        </w:numPr>
        <w:rPr>
          <w:rFonts w:ascii="Aptos" w:hAnsi="Aptos"/>
          <w:b w:val="0"/>
          <w:bCs w:val="0"/>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Tạo ra các Nhóm Nguy cơ:</w:t>
      </w:r>
      <w:r w:rsidRPr="2A4F8975" w:rsidR="3B208ECF">
        <w:rPr>
          <w:rFonts w:ascii="Aptos" w:hAnsi="Aptos"/>
          <w:b w:val="0"/>
          <w:bCs w:val="0"/>
          <w:i w:val="0"/>
          <w:iCs w:val="0"/>
          <w:caps w:val="0"/>
          <w:smallCaps w:val="0"/>
          <w:noProof w:val="0"/>
          <w:sz w:val="24"/>
          <w:szCs w:val="24"/>
          <w:lang w:val="en-US"/>
        </w:rPr>
        <w:t xml:space="preserve"> Nó xác định các nhóm như "Rối loạn dung nạp glucose (IGT)" và "Bất thường Khả năng Dung nạp Glucose Tiềm tàng".</w:t>
      </w:r>
    </w:p>
    <w:p xmlns:wp14="http://schemas.microsoft.com/office/word/2010/wordml" w:rsidP="2A4F8975" wp14:paraId="0FDAD7BA" wp14:textId="78DDF68B">
      <w:pPr>
        <w:rPr>
          <w:rFonts w:ascii="Aptos" w:hAnsi="Aptos"/>
          <w:b w:val="0"/>
          <w:bCs w:val="0"/>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Tư vấn của WHO năm 1999</w:t>
      </w:r>
      <w:r w:rsidRPr="2A4F8975" w:rsidR="3B208ECF">
        <w:rPr>
          <w:rFonts w:ascii="Aptos" w:hAnsi="Aptos"/>
          <w:b w:val="0"/>
          <w:bCs w:val="0"/>
          <w:i w:val="0"/>
          <w:iCs w:val="0"/>
          <w:caps w:val="0"/>
          <w:smallCaps w:val="0"/>
          <w:noProof w:val="0"/>
          <w:sz w:val="24"/>
          <w:szCs w:val="24"/>
          <w:lang w:val="en-US"/>
        </w:rPr>
        <w:t xml:space="preserve"> đã tinh chỉnh khuôn khổ này dựa trên hai thập kỷ nghiên cứu bổ sung. Những thay đổi chính bao gồm:</w:t>
      </w:r>
    </w:p>
    <w:p xmlns:wp14="http://schemas.microsoft.com/office/word/2010/wordml" w:rsidP="2A4F8975" wp14:paraId="0D6DBBCD" wp14:textId="6EBA0023">
      <w:pPr>
        <w:pStyle w:val="Normal"/>
        <w:numPr>
          <w:ilvl w:val="0"/>
          <w:numId w:val="4"/>
        </w:numPr>
        <w:rPr>
          <w:rFonts w:ascii="Aptos" w:hAnsi="Aptos"/>
          <w:b w:val="0"/>
          <w:bCs w:val="0"/>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Thay thế Thuật ngữ:</w:t>
      </w:r>
      <w:r w:rsidRPr="2A4F8975" w:rsidR="3B208ECF">
        <w:rPr>
          <w:rFonts w:ascii="Aptos" w:hAnsi="Aptos"/>
          <w:b w:val="0"/>
          <w:bCs w:val="0"/>
          <w:i w:val="0"/>
          <w:iCs w:val="0"/>
          <w:caps w:val="0"/>
          <w:smallCaps w:val="0"/>
          <w:noProof w:val="0"/>
          <w:sz w:val="24"/>
          <w:szCs w:val="24"/>
          <w:lang w:val="en-US"/>
        </w:rPr>
        <w:t xml:space="preserve"> Các thuật ngữ IDDM và NIDDM được thay thế bằng Type 1 và Type 2 để tập trung vào căn nguyên thay vì điều trị.</w:t>
      </w:r>
    </w:p>
    <w:p xmlns:wp14="http://schemas.microsoft.com/office/word/2010/wordml" w:rsidP="2A4F8975" wp14:paraId="361A7D42" wp14:textId="31E259A9">
      <w:pPr>
        <w:pStyle w:val="Normal"/>
        <w:numPr>
          <w:ilvl w:val="0"/>
          <w:numId w:val="4"/>
        </w:numPr>
        <w:rPr>
          <w:rFonts w:ascii="Aptos" w:hAnsi="Aptos"/>
          <w:b w:val="0"/>
          <w:bCs w:val="0"/>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Hạ thấp Ngưỡng Glucose Lúc đói:</w:t>
      </w:r>
      <w:r w:rsidRPr="2A4F8975" w:rsidR="3B208ECF">
        <w:rPr>
          <w:rFonts w:ascii="Aptos" w:hAnsi="Aptos"/>
          <w:b w:val="0"/>
          <w:bCs w:val="0"/>
          <w:i w:val="0"/>
          <w:iCs w:val="0"/>
          <w:caps w:val="0"/>
          <w:smallCaps w:val="0"/>
          <w:noProof w:val="0"/>
          <w:sz w:val="24"/>
          <w:szCs w:val="24"/>
          <w:lang w:val="en-US"/>
        </w:rPr>
        <w:t xml:space="preserve"> Ngưỡng chẩn đoán FPG được hạ từ ≥140 mg/dL xuống ≥126 mg/dL (7.0 mmol/L).</w:t>
      </w:r>
    </w:p>
    <w:p xmlns:wp14="http://schemas.microsoft.com/office/word/2010/wordml" w:rsidP="2A4F8975" wp14:paraId="3045CDED" wp14:textId="502C3D90">
      <w:pPr>
        <w:pStyle w:val="Normal"/>
        <w:numPr>
          <w:ilvl w:val="0"/>
          <w:numId w:val="4"/>
        </w:numPr>
        <w:rPr>
          <w:rFonts w:ascii="Aptos" w:hAnsi="Aptos"/>
          <w:b w:val="0"/>
          <w:bCs w:val="0"/>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Giới thiệu Giai đoạn Lâm sàng và Phân loại Căn nguyên:</w:t>
      </w:r>
      <w:r w:rsidRPr="2A4F8975" w:rsidR="3B208ECF">
        <w:rPr>
          <w:rFonts w:ascii="Aptos" w:hAnsi="Aptos"/>
          <w:b w:val="0"/>
          <w:bCs w:val="0"/>
          <w:i w:val="0"/>
          <w:iCs w:val="0"/>
          <w:caps w:val="0"/>
          <w:smallCaps w:val="0"/>
          <w:noProof w:val="0"/>
          <w:sz w:val="24"/>
          <w:szCs w:val="24"/>
          <w:lang w:val="en-US"/>
        </w:rPr>
        <w:t xml:space="preserve"> Nó trình bày một cách tiếp cận kép: phân loại theo nguyên nhân (type căn nguyên) và theo tình trạng hiện tại của bệnh (giai đoạn lâm sàng), thừa nhận rằng một bệnh nhân có thể chuyển đổi giữa các giai đoạn (ví dụ: từ bình thường đường huyết sang đái tháo đường).</w:t>
      </w:r>
    </w:p>
    <w:p xmlns:wp14="http://schemas.microsoft.com/office/word/2010/wordml" w:rsidP="2A4F8975" wp14:paraId="3BA65BA9" wp14:textId="2DE50F71">
      <w:pPr>
        <w:pStyle w:val="Normal"/>
        <w:rPr>
          <w:rFonts w:ascii="Aptos" w:hAnsi="Aptos"/>
          <w:b w:val="1"/>
          <w:bCs w:val="1"/>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4. Định nghĩa và Tiêu chuẩn Chẩn đoán</w:t>
      </w:r>
    </w:p>
    <w:p xmlns:wp14="http://schemas.microsoft.com/office/word/2010/wordml" w:rsidP="2A4F8975" wp14:paraId="452209CF" wp14:textId="56A36D9D">
      <w:pPr>
        <w:pStyle w:val="Normal"/>
        <w:rPr>
          <w:rFonts w:ascii="Aptos" w:hAnsi="Aptos"/>
          <w:b w:val="1"/>
          <w:bCs w:val="1"/>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4.1. Định nghĩa Bệnh Đái tháo đường</w:t>
      </w:r>
    </w:p>
    <w:p xmlns:wp14="http://schemas.microsoft.com/office/word/2010/wordml" w:rsidP="2A4F8975" wp14:paraId="1BC8817E" wp14:textId="5B063E5E">
      <w:pPr>
        <w:rPr>
          <w:rFonts w:ascii="Aptos" w:hAnsi="Aptos"/>
          <w:b w:val="0"/>
          <w:bCs w:val="0"/>
          <w:i w:val="0"/>
          <w:iCs w:val="0"/>
          <w:caps w:val="0"/>
          <w:smallCaps w:val="0"/>
          <w:noProof w:val="0"/>
          <w:sz w:val="24"/>
          <w:szCs w:val="24"/>
          <w:lang w:val="en-US"/>
        </w:rPr>
      </w:pPr>
      <w:r w:rsidRPr="2A4F8975" w:rsidR="3B208ECF">
        <w:rPr>
          <w:rFonts w:ascii="Aptos" w:hAnsi="Aptos"/>
          <w:b w:val="0"/>
          <w:bCs w:val="0"/>
          <w:i w:val="0"/>
          <w:iCs w:val="0"/>
          <w:caps w:val="0"/>
          <w:smallCaps w:val="0"/>
          <w:noProof w:val="0"/>
          <w:sz w:val="24"/>
          <w:szCs w:val="24"/>
          <w:lang w:val="en-US"/>
        </w:rPr>
        <w:t>Bệnh đái tháo đường là một rối loạn chuyển hóa do nhiều nguyên nhân, đặc trưng bởi tình trạng tăng đường huyết mãn tính do khiếm khuyết trong bài tiết insulin, tác động của insulin, hoặc cả hai. Hậu quả lâu dài bao gồm tổn thương, rối loạn chức năng và suy yếu các cơ quan khác nhau, đặc biệt là mắt, thận, thần kinh, tim và mạch máu.</w:t>
      </w:r>
    </w:p>
    <w:p xmlns:wp14="http://schemas.microsoft.com/office/word/2010/wordml" w:rsidP="2A4F8975" wp14:paraId="2EC978E8" wp14:textId="48F78919">
      <w:pPr>
        <w:pStyle w:val="Normal"/>
        <w:rPr>
          <w:rFonts w:ascii="Aptos" w:hAnsi="Aptos"/>
          <w:b w:val="1"/>
          <w:bCs w:val="1"/>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4.2. Tiêu chuẩn Chẩn đoán cho Người lớn không Mang thai</w:t>
      </w:r>
    </w:p>
    <w:p xmlns:wp14="http://schemas.microsoft.com/office/word/2010/wordml" w:rsidP="2A4F8975" wp14:paraId="6A6DD904" wp14:textId="777478ED">
      <w:pPr>
        <w:rPr>
          <w:rFonts w:ascii="Aptos" w:hAnsi="Aptos"/>
          <w:b w:val="0"/>
          <w:bCs w:val="0"/>
          <w:i w:val="0"/>
          <w:iCs w:val="0"/>
          <w:caps w:val="0"/>
          <w:smallCaps w:val="0"/>
          <w:noProof w:val="0"/>
          <w:sz w:val="24"/>
          <w:szCs w:val="24"/>
          <w:lang w:val="en-US"/>
        </w:rPr>
      </w:pPr>
      <w:r w:rsidRPr="2A4F8975" w:rsidR="3B208ECF">
        <w:rPr>
          <w:rFonts w:ascii="Aptos" w:hAnsi="Aptos"/>
          <w:b w:val="0"/>
          <w:bCs w:val="0"/>
          <w:i w:val="0"/>
          <w:iCs w:val="0"/>
          <w:caps w:val="0"/>
          <w:smallCaps w:val="0"/>
          <w:noProof w:val="0"/>
          <w:sz w:val="24"/>
          <w:szCs w:val="24"/>
          <w:lang w:val="en-US"/>
        </w:rPr>
        <w:t>Chẩn đoán yêu cầu xác nhận vào một ngày tiếp theo trừ khi có các triệu chứng kinh điển của tăng đường huyết. Các tiêu chí như sau:</w:t>
      </w:r>
    </w:p>
    <w:tbl>
      <w:tblPr>
        <w:tblStyle w:val="TableNormal"/>
        <w:bidiVisual w:val="0"/>
        <w:tblW w:w="0" w:type="auto"/>
        <w:tblLayout w:type="fixed"/>
        <w:tblLook w:val="06A0" w:firstRow="1" w:lastRow="0" w:firstColumn="1" w:lastColumn="0" w:noHBand="1" w:noVBand="1"/>
      </w:tblPr>
      <w:tblGrid>
        <w:gridCol w:w="1756"/>
        <w:gridCol w:w="2781"/>
        <w:gridCol w:w="1981"/>
        <w:gridCol w:w="2842"/>
      </w:tblGrid>
      <w:tr w:rsidR="2A4F8975" w:rsidTr="2A4F8975" w14:paraId="1B9DF36B">
        <w:trPr>
          <w:trHeight w:val="300"/>
        </w:trPr>
        <w:tc>
          <w:tcPr>
            <w:tcW w:w="1756" w:type="dxa"/>
            <w:tcBorders>
              <w:top w:val="nil"/>
              <w:bottom w:val="single" w:sz="5"/>
            </w:tcBorders>
            <w:tcMar>
              <w:top w:w="150" w:type="dxa"/>
              <w:bottom w:w="150" w:type="dxa"/>
              <w:right w:w="240" w:type="dxa"/>
            </w:tcMar>
            <w:vAlign w:val="center"/>
          </w:tcPr>
          <w:p w:rsidR="2A4F8975" w:rsidP="2A4F8975" w:rsidRDefault="2A4F8975" w14:paraId="232EB068" w14:textId="4B1E7523">
            <w:pPr>
              <w:rPr>
                <w:rFonts w:ascii="Aptos" w:hAnsi="Aptos"/>
                <w:b w:val="0"/>
                <w:bCs w:val="0"/>
                <w:i w:val="0"/>
                <w:iCs w:val="0"/>
                <w:sz w:val="24"/>
                <w:szCs w:val="24"/>
              </w:rPr>
            </w:pPr>
            <w:r w:rsidRPr="2A4F8975" w:rsidR="2A4F8975">
              <w:rPr>
                <w:rFonts w:ascii="Aptos" w:hAnsi="Aptos"/>
                <w:b w:val="0"/>
                <w:bCs w:val="0"/>
                <w:i w:val="0"/>
                <w:iCs w:val="0"/>
                <w:sz w:val="24"/>
                <w:szCs w:val="24"/>
              </w:rPr>
              <w:t>Tình trạng</w:t>
            </w:r>
          </w:p>
        </w:tc>
        <w:tc>
          <w:tcPr>
            <w:tcW w:w="2781" w:type="dxa"/>
            <w:tcBorders>
              <w:top w:val="nil"/>
              <w:bottom w:val="single" w:sz="5"/>
            </w:tcBorders>
            <w:tcMar>
              <w:top w:w="150" w:type="dxa"/>
              <w:left w:w="240" w:type="dxa"/>
              <w:bottom w:w="150" w:type="dxa"/>
              <w:right w:w="240" w:type="dxa"/>
            </w:tcMar>
            <w:vAlign w:val="center"/>
          </w:tcPr>
          <w:p w:rsidR="2A4F8975" w:rsidP="2A4F8975" w:rsidRDefault="2A4F8975" w14:paraId="2DB339F2" w14:textId="790CAA83">
            <w:pPr>
              <w:rPr>
                <w:rFonts w:ascii="Aptos" w:hAnsi="Aptos"/>
                <w:b w:val="0"/>
                <w:bCs w:val="0"/>
                <w:i w:val="0"/>
                <w:iCs w:val="0"/>
                <w:sz w:val="24"/>
                <w:szCs w:val="24"/>
              </w:rPr>
            </w:pPr>
            <w:r w:rsidRPr="2A4F8975" w:rsidR="2A4F8975">
              <w:rPr>
                <w:rFonts w:ascii="Aptos" w:hAnsi="Aptos"/>
                <w:b w:val="0"/>
                <w:bCs w:val="0"/>
                <w:i w:val="0"/>
                <w:iCs w:val="0"/>
                <w:sz w:val="24"/>
                <w:szCs w:val="24"/>
              </w:rPr>
              <w:t>Glucose Huyết tương Lúc đói</w:t>
            </w:r>
          </w:p>
        </w:tc>
        <w:tc>
          <w:tcPr>
            <w:tcW w:w="1981" w:type="dxa"/>
            <w:tcBorders>
              <w:top w:val="nil"/>
              <w:bottom w:val="single" w:sz="5"/>
            </w:tcBorders>
            <w:tcMar>
              <w:top w:w="150" w:type="dxa"/>
              <w:left w:w="240" w:type="dxa"/>
              <w:bottom w:w="150" w:type="dxa"/>
              <w:right w:w="240" w:type="dxa"/>
            </w:tcMar>
            <w:vAlign w:val="center"/>
          </w:tcPr>
          <w:p w:rsidR="2A4F8975" w:rsidP="2A4F8975" w:rsidRDefault="2A4F8975" w14:paraId="78C5AB47" w14:textId="09E30802">
            <w:pPr>
              <w:rPr>
                <w:rFonts w:ascii="Aptos" w:hAnsi="Aptos"/>
                <w:b w:val="0"/>
                <w:bCs w:val="0"/>
                <w:i w:val="0"/>
                <w:iCs w:val="0"/>
                <w:sz w:val="24"/>
                <w:szCs w:val="24"/>
              </w:rPr>
            </w:pPr>
            <w:r w:rsidRPr="2A4F8975" w:rsidR="2A4F8975">
              <w:rPr>
                <w:rFonts w:ascii="Aptos" w:hAnsi="Aptos"/>
                <w:b w:val="0"/>
                <w:bCs w:val="0"/>
                <w:i w:val="0"/>
                <w:iCs w:val="0"/>
                <w:sz w:val="24"/>
                <w:szCs w:val="24"/>
              </w:rPr>
              <w:t>Glucose Huyết tương Sau 2 giờ (OGTT)</w:t>
            </w:r>
          </w:p>
        </w:tc>
        <w:tc>
          <w:tcPr>
            <w:tcW w:w="2842" w:type="dxa"/>
            <w:tcBorders>
              <w:top w:sz="0"/>
              <w:left w:sz="0"/>
              <w:bottom w:sz="0"/>
              <w:right w:sz="0"/>
            </w:tcBorders>
            <w:tcMar/>
            <w:vAlign w:val="center"/>
          </w:tcPr>
          <w:p w:rsidR="2A4F8975" w:rsidRDefault="2A4F8975" w14:paraId="0E5505CC" w14:textId="2888C556"/>
        </w:tc>
      </w:tr>
      <w:tr w:rsidR="2A4F8975" w:rsidTr="2A4F8975" w14:paraId="1790D4F7">
        <w:trPr>
          <w:trHeight w:val="300"/>
        </w:trPr>
        <w:tc>
          <w:tcPr>
            <w:tcW w:w="1756" w:type="dxa"/>
            <w:tcBorders>
              <w:bottom w:val="single" w:sz="5"/>
            </w:tcBorders>
            <w:tcMar>
              <w:top w:w="150" w:type="dxa"/>
              <w:bottom w:w="150" w:type="dxa"/>
              <w:right w:w="240" w:type="dxa"/>
            </w:tcMar>
            <w:vAlign w:val="center"/>
          </w:tcPr>
          <w:p w:rsidR="2A4F8975" w:rsidP="2A4F8975" w:rsidRDefault="2A4F8975" w14:paraId="49466B26" w14:textId="7915FE28">
            <w:pPr>
              <w:rPr>
                <w:rFonts w:ascii="Aptos" w:hAnsi="Aptos"/>
                <w:b w:val="1"/>
                <w:bCs w:val="1"/>
                <w:i w:val="0"/>
                <w:iCs w:val="0"/>
                <w:sz w:val="24"/>
                <w:szCs w:val="24"/>
              </w:rPr>
            </w:pPr>
            <w:r w:rsidRPr="2A4F8975" w:rsidR="2A4F8975">
              <w:rPr>
                <w:rFonts w:ascii="Aptos" w:hAnsi="Aptos"/>
                <w:b w:val="1"/>
                <w:bCs w:val="1"/>
                <w:i w:val="0"/>
                <w:iCs w:val="0"/>
                <w:sz w:val="24"/>
                <w:szCs w:val="24"/>
              </w:rPr>
              <w:t>Bệnh Đái tháo đường</w:t>
            </w:r>
          </w:p>
        </w:tc>
        <w:tc>
          <w:tcPr>
            <w:tcW w:w="2781" w:type="dxa"/>
            <w:tcBorders>
              <w:bottom w:val="single" w:sz="5"/>
            </w:tcBorders>
            <w:tcMar>
              <w:top w:w="150" w:type="dxa"/>
              <w:left w:w="240" w:type="dxa"/>
              <w:bottom w:w="150" w:type="dxa"/>
              <w:right w:w="240" w:type="dxa"/>
            </w:tcMar>
            <w:vAlign w:val="center"/>
          </w:tcPr>
          <w:p w:rsidR="2A4F8975" w:rsidP="2A4F8975" w:rsidRDefault="2A4F8975" w14:paraId="49A1CFD1" w14:textId="7BFDC89B">
            <w:pPr>
              <w:rPr>
                <w:rFonts w:ascii="Aptos" w:hAnsi="Aptos"/>
                <w:b w:val="1"/>
                <w:bCs w:val="1"/>
                <w:i w:val="0"/>
                <w:iCs w:val="0"/>
                <w:sz w:val="24"/>
                <w:szCs w:val="24"/>
              </w:rPr>
            </w:pPr>
            <w:r w:rsidRPr="2A4F8975" w:rsidR="2A4F8975">
              <w:rPr>
                <w:rFonts w:ascii="Aptos" w:hAnsi="Aptos"/>
                <w:b w:val="1"/>
                <w:bCs w:val="1"/>
                <w:i w:val="0"/>
                <w:iCs w:val="0"/>
                <w:sz w:val="24"/>
                <w:szCs w:val="24"/>
              </w:rPr>
              <w:t>≥ 126 mg/dL (7.0 mmol/L)</w:t>
            </w:r>
          </w:p>
        </w:tc>
        <w:tc>
          <w:tcPr>
            <w:tcW w:w="1981" w:type="dxa"/>
            <w:tcBorders>
              <w:bottom w:val="single" w:sz="5"/>
            </w:tcBorders>
            <w:tcMar>
              <w:top w:w="150" w:type="dxa"/>
              <w:left w:w="240" w:type="dxa"/>
              <w:bottom w:w="150" w:type="dxa"/>
              <w:right w:w="240" w:type="dxa"/>
            </w:tcMar>
            <w:vAlign w:val="center"/>
          </w:tcPr>
          <w:p w:rsidR="2A4F8975" w:rsidP="2A4F8975" w:rsidRDefault="2A4F8975" w14:paraId="2A65A931" w14:textId="31409989">
            <w:pPr>
              <w:rPr>
                <w:rFonts w:ascii="Aptos" w:hAnsi="Aptos"/>
                <w:b w:val="1"/>
                <w:bCs w:val="1"/>
                <w:i w:val="0"/>
                <w:iCs w:val="0"/>
                <w:sz w:val="24"/>
                <w:szCs w:val="24"/>
              </w:rPr>
            </w:pPr>
            <w:r w:rsidRPr="2A4F8975" w:rsidR="2A4F8975">
              <w:rPr>
                <w:rFonts w:ascii="Aptos" w:hAnsi="Aptos"/>
                <w:b w:val="1"/>
                <w:bCs w:val="1"/>
                <w:i w:val="0"/>
                <w:iCs w:val="0"/>
                <w:sz w:val="24"/>
                <w:szCs w:val="24"/>
              </w:rPr>
              <w:t>hoặc</w:t>
            </w:r>
          </w:p>
        </w:tc>
        <w:tc>
          <w:tcPr>
            <w:tcW w:w="2842" w:type="dxa"/>
            <w:tcBorders>
              <w:bottom w:val="single" w:sz="5"/>
            </w:tcBorders>
            <w:tcMar>
              <w:top w:w="150" w:type="dxa"/>
              <w:left w:w="240" w:type="dxa"/>
              <w:bottom w:w="150" w:type="dxa"/>
            </w:tcMar>
            <w:vAlign w:val="center"/>
          </w:tcPr>
          <w:p w:rsidR="2A4F8975" w:rsidP="2A4F8975" w:rsidRDefault="2A4F8975" w14:paraId="49EE7F9A" w14:textId="4E687491">
            <w:pPr>
              <w:rPr>
                <w:rFonts w:ascii="Aptos" w:hAnsi="Aptos"/>
                <w:b w:val="1"/>
                <w:bCs w:val="1"/>
                <w:i w:val="0"/>
                <w:iCs w:val="0"/>
                <w:sz w:val="24"/>
                <w:szCs w:val="24"/>
              </w:rPr>
            </w:pPr>
            <w:r w:rsidRPr="2A4F8975" w:rsidR="2A4F8975">
              <w:rPr>
                <w:rFonts w:ascii="Aptos" w:hAnsi="Aptos"/>
                <w:b w:val="1"/>
                <w:bCs w:val="1"/>
                <w:i w:val="0"/>
                <w:iCs w:val="0"/>
                <w:sz w:val="24"/>
                <w:szCs w:val="24"/>
              </w:rPr>
              <w:t>≥ 200 mg/dL (11.1 mmol/L)</w:t>
            </w:r>
          </w:p>
        </w:tc>
      </w:tr>
      <w:tr w:rsidR="2A4F8975" w:rsidTr="2A4F8975" w14:paraId="7C7070E1">
        <w:trPr>
          <w:trHeight w:val="300"/>
        </w:trPr>
        <w:tc>
          <w:tcPr>
            <w:tcW w:w="1756" w:type="dxa"/>
            <w:tcBorders>
              <w:bottom w:val="single" w:sz="5"/>
            </w:tcBorders>
            <w:tcMar>
              <w:top w:w="150" w:type="dxa"/>
              <w:bottom w:w="150" w:type="dxa"/>
              <w:right w:w="240" w:type="dxa"/>
            </w:tcMar>
            <w:vAlign w:val="center"/>
          </w:tcPr>
          <w:p w:rsidR="2A4F8975" w:rsidP="2A4F8975" w:rsidRDefault="2A4F8975" w14:paraId="37AF1F00" w14:textId="07750F67">
            <w:pPr>
              <w:rPr>
                <w:rFonts w:ascii="Aptos" w:hAnsi="Aptos"/>
                <w:b w:val="1"/>
                <w:bCs w:val="1"/>
                <w:i w:val="0"/>
                <w:iCs w:val="0"/>
                <w:sz w:val="24"/>
                <w:szCs w:val="24"/>
              </w:rPr>
            </w:pPr>
            <w:r w:rsidRPr="2A4F8975" w:rsidR="2A4F8975">
              <w:rPr>
                <w:rFonts w:ascii="Aptos" w:hAnsi="Aptos"/>
                <w:b w:val="1"/>
                <w:bCs w:val="1"/>
                <w:i w:val="0"/>
                <w:iCs w:val="0"/>
                <w:sz w:val="24"/>
                <w:szCs w:val="24"/>
              </w:rPr>
              <w:t>Rối loạn dung nạp Glucose (IGT)</w:t>
            </w:r>
          </w:p>
        </w:tc>
        <w:tc>
          <w:tcPr>
            <w:tcW w:w="2781" w:type="dxa"/>
            <w:tcBorders>
              <w:bottom w:val="single" w:sz="5"/>
            </w:tcBorders>
            <w:tcMar>
              <w:top w:w="150" w:type="dxa"/>
              <w:left w:w="240" w:type="dxa"/>
              <w:bottom w:w="150" w:type="dxa"/>
              <w:right w:w="240" w:type="dxa"/>
            </w:tcMar>
            <w:vAlign w:val="center"/>
          </w:tcPr>
          <w:p w:rsidR="2A4F8975" w:rsidP="2A4F8975" w:rsidRDefault="2A4F8975" w14:paraId="671B3CB5" w14:textId="7A39C8C8">
            <w:pPr>
              <w:rPr>
                <w:rFonts w:ascii="Aptos" w:hAnsi="Aptos"/>
                <w:b w:val="0"/>
                <w:bCs w:val="0"/>
                <w:i w:val="0"/>
                <w:iCs w:val="0"/>
                <w:sz w:val="24"/>
                <w:szCs w:val="24"/>
              </w:rPr>
            </w:pPr>
            <w:r w:rsidRPr="2A4F8975" w:rsidR="2A4F8975">
              <w:rPr>
                <w:rFonts w:ascii="Aptos" w:hAnsi="Aptos"/>
                <w:b w:val="0"/>
                <w:bCs w:val="0"/>
                <w:i w:val="0"/>
                <w:iCs w:val="0"/>
                <w:sz w:val="24"/>
                <w:szCs w:val="24"/>
              </w:rPr>
              <w:t>&lt; 126 mg/dL (7.0 mmol/L)</w:t>
            </w:r>
          </w:p>
        </w:tc>
        <w:tc>
          <w:tcPr>
            <w:tcW w:w="1981" w:type="dxa"/>
            <w:tcBorders>
              <w:bottom w:val="single" w:sz="5"/>
            </w:tcBorders>
            <w:tcMar>
              <w:top w:w="150" w:type="dxa"/>
              <w:left w:w="240" w:type="dxa"/>
              <w:bottom w:w="150" w:type="dxa"/>
              <w:right w:w="240" w:type="dxa"/>
            </w:tcMar>
            <w:vAlign w:val="center"/>
          </w:tcPr>
          <w:p w:rsidR="2A4F8975" w:rsidP="2A4F8975" w:rsidRDefault="2A4F8975" w14:paraId="4F39CF2F" w14:textId="5011EF7E">
            <w:pPr>
              <w:rPr>
                <w:rFonts w:ascii="Aptos" w:hAnsi="Aptos"/>
                <w:b w:val="1"/>
                <w:bCs w:val="1"/>
                <w:i w:val="0"/>
                <w:iCs w:val="0"/>
                <w:sz w:val="24"/>
                <w:szCs w:val="24"/>
              </w:rPr>
            </w:pPr>
            <w:r w:rsidRPr="2A4F8975" w:rsidR="2A4F8975">
              <w:rPr>
                <w:rFonts w:ascii="Aptos" w:hAnsi="Aptos"/>
                <w:b w:val="1"/>
                <w:bCs w:val="1"/>
                <w:i w:val="0"/>
                <w:iCs w:val="0"/>
                <w:sz w:val="24"/>
                <w:szCs w:val="24"/>
              </w:rPr>
              <w:t>và</w:t>
            </w:r>
          </w:p>
        </w:tc>
        <w:tc>
          <w:tcPr>
            <w:tcW w:w="2842" w:type="dxa"/>
            <w:tcBorders>
              <w:bottom w:val="single" w:sz="5"/>
            </w:tcBorders>
            <w:tcMar>
              <w:top w:w="150" w:type="dxa"/>
              <w:left w:w="240" w:type="dxa"/>
              <w:bottom w:w="150" w:type="dxa"/>
            </w:tcMar>
            <w:vAlign w:val="center"/>
          </w:tcPr>
          <w:p w:rsidR="2A4F8975" w:rsidP="2A4F8975" w:rsidRDefault="2A4F8975" w14:paraId="5DB242CD" w14:textId="494FD5CE">
            <w:pPr>
              <w:rPr>
                <w:rFonts w:ascii="Aptos" w:hAnsi="Aptos"/>
                <w:b w:val="0"/>
                <w:bCs w:val="0"/>
                <w:i w:val="0"/>
                <w:iCs w:val="0"/>
                <w:sz w:val="24"/>
                <w:szCs w:val="24"/>
              </w:rPr>
            </w:pPr>
            <w:r w:rsidRPr="2A4F8975" w:rsidR="2A4F8975">
              <w:rPr>
                <w:rFonts w:ascii="Aptos" w:hAnsi="Aptos"/>
                <w:b w:val="0"/>
                <w:bCs w:val="0"/>
                <w:i w:val="0"/>
                <w:iCs w:val="0"/>
                <w:sz w:val="24"/>
                <w:szCs w:val="24"/>
              </w:rPr>
              <w:t>≥ 140 mg/dL (7.8 mmol/L) và &lt; 200 mg/dL (11.1 mmol/L)</w:t>
            </w:r>
          </w:p>
        </w:tc>
      </w:tr>
      <w:tr w:rsidR="2A4F8975" w:rsidTr="2A4F8975" w14:paraId="0CB139CF">
        <w:trPr>
          <w:trHeight w:val="300"/>
        </w:trPr>
        <w:tc>
          <w:tcPr>
            <w:tcW w:w="1756" w:type="dxa"/>
            <w:tcBorders>
              <w:bottom w:val="single" w:sz="5"/>
            </w:tcBorders>
            <w:tcMar>
              <w:top w:w="150" w:type="dxa"/>
              <w:bottom w:w="150" w:type="dxa"/>
              <w:right w:w="240" w:type="dxa"/>
            </w:tcMar>
            <w:vAlign w:val="center"/>
          </w:tcPr>
          <w:p w:rsidR="2A4F8975" w:rsidP="2A4F8975" w:rsidRDefault="2A4F8975" w14:paraId="02BAB523" w14:textId="3720F18E">
            <w:pPr>
              <w:rPr>
                <w:rFonts w:ascii="Aptos" w:hAnsi="Aptos"/>
                <w:b w:val="1"/>
                <w:bCs w:val="1"/>
                <w:i w:val="0"/>
                <w:iCs w:val="0"/>
                <w:sz w:val="24"/>
                <w:szCs w:val="24"/>
              </w:rPr>
            </w:pPr>
            <w:r w:rsidRPr="2A4F8975" w:rsidR="2A4F8975">
              <w:rPr>
                <w:rFonts w:ascii="Aptos" w:hAnsi="Aptos"/>
                <w:b w:val="1"/>
                <w:bCs w:val="1"/>
                <w:i w:val="0"/>
                <w:iCs w:val="0"/>
                <w:sz w:val="24"/>
                <w:szCs w:val="24"/>
              </w:rPr>
              <w:t>Rối loạn đường huyết lúc đói (IFG)</w:t>
            </w:r>
          </w:p>
        </w:tc>
        <w:tc>
          <w:tcPr>
            <w:tcW w:w="2781" w:type="dxa"/>
            <w:tcBorders>
              <w:bottom w:val="single" w:sz="5"/>
            </w:tcBorders>
            <w:tcMar>
              <w:top w:w="150" w:type="dxa"/>
              <w:left w:w="240" w:type="dxa"/>
              <w:bottom w:w="150" w:type="dxa"/>
              <w:right w:w="240" w:type="dxa"/>
            </w:tcMar>
            <w:vAlign w:val="center"/>
          </w:tcPr>
          <w:p w:rsidR="2A4F8975" w:rsidP="2A4F8975" w:rsidRDefault="2A4F8975" w14:paraId="72E187E3" w14:textId="612A3903">
            <w:pPr>
              <w:rPr>
                <w:rFonts w:ascii="Aptos" w:hAnsi="Aptos"/>
                <w:b w:val="0"/>
                <w:bCs w:val="0"/>
                <w:i w:val="0"/>
                <w:iCs w:val="0"/>
                <w:sz w:val="24"/>
                <w:szCs w:val="24"/>
              </w:rPr>
            </w:pPr>
            <w:r w:rsidRPr="2A4F8975" w:rsidR="2A4F8975">
              <w:rPr>
                <w:rFonts w:ascii="Aptos" w:hAnsi="Aptos"/>
                <w:b w:val="0"/>
                <w:bCs w:val="0"/>
                <w:i w:val="0"/>
                <w:iCs w:val="0"/>
                <w:sz w:val="24"/>
                <w:szCs w:val="24"/>
              </w:rPr>
              <w:t>≥ 110 mg/dL (6.1 mmol/L) và &lt; 126 mg/dL (7.0 mmol/L)</w:t>
            </w:r>
          </w:p>
        </w:tc>
        <w:tc>
          <w:tcPr>
            <w:tcW w:w="1981" w:type="dxa"/>
            <w:tcBorders>
              <w:bottom w:val="single" w:sz="5"/>
            </w:tcBorders>
            <w:tcMar>
              <w:top w:w="150" w:type="dxa"/>
              <w:left w:w="240" w:type="dxa"/>
              <w:bottom w:w="150" w:type="dxa"/>
              <w:right w:w="240" w:type="dxa"/>
            </w:tcMar>
            <w:vAlign w:val="center"/>
          </w:tcPr>
          <w:p w:rsidR="2A4F8975" w:rsidP="2A4F8975" w:rsidRDefault="2A4F8975" w14:paraId="6588A336" w14:textId="343B98B6">
            <w:pPr>
              <w:rPr>
                <w:rFonts w:ascii="Aptos" w:hAnsi="Aptos"/>
                <w:b w:val="1"/>
                <w:bCs w:val="1"/>
                <w:i w:val="0"/>
                <w:iCs w:val="0"/>
                <w:sz w:val="24"/>
                <w:szCs w:val="24"/>
              </w:rPr>
            </w:pPr>
            <w:r w:rsidRPr="2A4F8975" w:rsidR="2A4F8975">
              <w:rPr>
                <w:rFonts w:ascii="Aptos" w:hAnsi="Aptos"/>
                <w:b w:val="1"/>
                <w:bCs w:val="1"/>
                <w:i w:val="0"/>
                <w:iCs w:val="0"/>
                <w:sz w:val="24"/>
                <w:szCs w:val="24"/>
              </w:rPr>
              <w:t>và (nếu đo)</w:t>
            </w:r>
          </w:p>
        </w:tc>
        <w:tc>
          <w:tcPr>
            <w:tcW w:w="2842" w:type="dxa"/>
            <w:tcBorders>
              <w:bottom w:val="single" w:sz="5"/>
            </w:tcBorders>
            <w:tcMar>
              <w:top w:w="150" w:type="dxa"/>
              <w:left w:w="240" w:type="dxa"/>
              <w:bottom w:w="150" w:type="dxa"/>
            </w:tcMar>
            <w:vAlign w:val="center"/>
          </w:tcPr>
          <w:p w:rsidR="2A4F8975" w:rsidP="2A4F8975" w:rsidRDefault="2A4F8975" w14:paraId="7162F244" w14:textId="657B78F9">
            <w:pPr>
              <w:rPr>
                <w:rFonts w:ascii="Aptos" w:hAnsi="Aptos"/>
                <w:b w:val="0"/>
                <w:bCs w:val="0"/>
                <w:i w:val="0"/>
                <w:iCs w:val="0"/>
                <w:sz w:val="24"/>
                <w:szCs w:val="24"/>
              </w:rPr>
            </w:pPr>
            <w:r w:rsidRPr="2A4F8975" w:rsidR="2A4F8975">
              <w:rPr>
                <w:rFonts w:ascii="Aptos" w:hAnsi="Aptos"/>
                <w:b w:val="0"/>
                <w:bCs w:val="0"/>
                <w:i w:val="0"/>
                <w:iCs w:val="0"/>
                <w:sz w:val="24"/>
                <w:szCs w:val="24"/>
              </w:rPr>
              <w:t>&lt; 140 mg/dL (7.8 mmol/L)</w:t>
            </w:r>
          </w:p>
        </w:tc>
      </w:tr>
    </w:tbl>
    <w:p xmlns:wp14="http://schemas.microsoft.com/office/word/2010/wordml" w:rsidP="2A4F8975" wp14:paraId="79CB9157" wp14:textId="47767AC1">
      <w:pPr>
        <w:pStyle w:val="Normal"/>
        <w:rPr>
          <w:rFonts w:ascii="Aptos" w:hAnsi="Aptos"/>
          <w:b w:val="1"/>
          <w:bCs w:val="1"/>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4.3. Tiêu chuẩn Chẩn đoán cho Trẻ em và Đái tháo đường Thai kỳ</w:t>
      </w:r>
    </w:p>
    <w:p xmlns:wp14="http://schemas.microsoft.com/office/word/2010/wordml" w:rsidP="2A4F8975" wp14:paraId="13A4F452" wp14:textId="76AFCF76">
      <w:pPr>
        <w:pStyle w:val="Normal"/>
        <w:numPr>
          <w:ilvl w:val="0"/>
          <w:numId w:val="5"/>
        </w:numPr>
        <w:rPr>
          <w:rFonts w:ascii="Aptos" w:hAnsi="Aptos"/>
          <w:b w:val="0"/>
          <w:bCs w:val="0"/>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Trẻ em:</w:t>
      </w:r>
      <w:r w:rsidRPr="2A4F8975" w:rsidR="3B208ECF">
        <w:rPr>
          <w:rFonts w:ascii="Aptos" w:hAnsi="Aptos"/>
          <w:b w:val="0"/>
          <w:bCs w:val="0"/>
          <w:i w:val="0"/>
          <w:iCs w:val="0"/>
          <w:caps w:val="0"/>
          <w:smallCaps w:val="0"/>
          <w:noProof w:val="0"/>
          <w:sz w:val="24"/>
          <w:szCs w:val="24"/>
          <w:lang w:val="en-US"/>
        </w:rPr>
        <w:t xml:space="preserve"> Chẩn đoán thường được thực hiện khi có các triệu chứng kinh điển và nồng độ glucose huyết tương bất kỳ &gt;200 mg/dL. Nghiệm pháp OGTT hiếm khi cần thiết.</w:t>
      </w:r>
    </w:p>
    <w:p xmlns:wp14="http://schemas.microsoft.com/office/word/2010/wordml" w:rsidP="2A4F8975" wp14:paraId="1FEE751E" wp14:textId="333385EA">
      <w:pPr>
        <w:pStyle w:val="Normal"/>
        <w:numPr>
          <w:ilvl w:val="0"/>
          <w:numId w:val="5"/>
        </w:numPr>
        <w:rPr>
          <w:rFonts w:ascii="Aptos" w:hAnsi="Aptos"/>
          <w:b w:val="0"/>
          <w:bCs w:val="0"/>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Đái tháo đường Thai kỳ (GDM):</w:t>
      </w:r>
      <w:r w:rsidRPr="2A4F8975" w:rsidR="3B208ECF">
        <w:rPr>
          <w:rFonts w:ascii="Aptos" w:hAnsi="Aptos"/>
          <w:b w:val="0"/>
          <w:bCs w:val="0"/>
          <w:i w:val="0"/>
          <w:iCs w:val="0"/>
          <w:caps w:val="0"/>
          <w:smallCaps w:val="0"/>
          <w:noProof w:val="0"/>
          <w:sz w:val="24"/>
          <w:szCs w:val="24"/>
          <w:lang w:val="en-US"/>
        </w:rPr>
        <w:t xml:space="preserve"> Được chẩn đoán bằng cách sử dụng OGTT 75g trong thai kỳ. Tình trạng không dung nạp glucose khởi phát hoặc được phát hiện lần đầu trong thai kỳ được phân loại là GDM.</w:t>
      </w:r>
    </w:p>
    <w:p xmlns:wp14="http://schemas.microsoft.com/office/word/2010/wordml" w:rsidP="2A4F8975" wp14:paraId="226BFCF6" wp14:textId="28240779">
      <w:pPr>
        <w:pStyle w:val="Normal"/>
        <w:rPr>
          <w:rFonts w:ascii="Aptos" w:hAnsi="Aptos"/>
          <w:b w:val="1"/>
          <w:bCs w:val="1"/>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5. Phân loại Căn nguyên Bệnh Đái tháo đường</w:t>
      </w:r>
    </w:p>
    <w:p xmlns:wp14="http://schemas.microsoft.com/office/word/2010/wordml" w:rsidP="2A4F8975" wp14:paraId="03C94DD1" wp14:textId="1D3701F3">
      <w:pPr>
        <w:pStyle w:val="Normal"/>
        <w:rPr>
          <w:rFonts w:ascii="Aptos" w:hAnsi="Aptos"/>
          <w:b w:val="1"/>
          <w:bCs w:val="1"/>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5.1. Đái tháo đường Type 1</w:t>
      </w:r>
    </w:p>
    <w:p xmlns:wp14="http://schemas.microsoft.com/office/word/2010/wordml" w:rsidP="2A4F8975" wp14:paraId="2432B49F" wp14:textId="363CADFC">
      <w:pPr>
        <w:pStyle w:val="Normal"/>
        <w:numPr>
          <w:ilvl w:val="0"/>
          <w:numId w:val="6"/>
        </w:numPr>
        <w:rPr>
          <w:rFonts w:ascii="Aptos" w:hAnsi="Aptos"/>
          <w:b w:val="0"/>
          <w:bCs w:val="0"/>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Bệnh lý:</w:t>
      </w:r>
      <w:r w:rsidRPr="2A4F8975" w:rsidR="3B208ECF">
        <w:rPr>
          <w:rFonts w:ascii="Aptos" w:hAnsi="Aptos"/>
          <w:b w:val="0"/>
          <w:bCs w:val="0"/>
          <w:i w:val="0"/>
          <w:iCs w:val="0"/>
          <w:caps w:val="0"/>
          <w:smallCaps w:val="0"/>
          <w:noProof w:val="0"/>
          <w:sz w:val="24"/>
          <w:szCs w:val="24"/>
          <w:lang w:val="en-US"/>
        </w:rPr>
        <w:t xml:space="preserve"> Sự phá hủy tế bào beta, thường dẫn đến thiếu hụt insulin tuyệt đối.</w:t>
      </w:r>
    </w:p>
    <w:p xmlns:wp14="http://schemas.microsoft.com/office/word/2010/wordml" w:rsidP="2A4F8975" wp14:paraId="06830898" wp14:textId="76D20B59">
      <w:pPr>
        <w:pStyle w:val="Normal"/>
        <w:numPr>
          <w:ilvl w:val="0"/>
          <w:numId w:val="6"/>
        </w:numPr>
        <w:rPr>
          <w:rFonts w:ascii="Aptos" w:hAnsi="Aptos"/>
          <w:b w:val="1"/>
          <w:bCs w:val="1"/>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Phân type:</w:t>
      </w:r>
    </w:p>
    <w:p xmlns:wp14="http://schemas.microsoft.com/office/word/2010/wordml" w:rsidP="2A4F8975" wp14:paraId="23FA5FDF" wp14:textId="482C3D91">
      <w:pPr>
        <w:pStyle w:val="Normal"/>
        <w:numPr>
          <w:ilvl w:val="1"/>
          <w:numId w:val="6"/>
        </w:numPr>
        <w:rPr>
          <w:rFonts w:ascii="Aptos" w:hAnsi="Aptos"/>
          <w:b w:val="0"/>
          <w:bCs w:val="0"/>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Tự miễn:</w:t>
      </w:r>
      <w:r w:rsidRPr="2A4F8975" w:rsidR="3B208ECF">
        <w:rPr>
          <w:rFonts w:ascii="Aptos" w:hAnsi="Aptos"/>
          <w:b w:val="0"/>
          <w:bCs w:val="0"/>
          <w:i w:val="0"/>
          <w:iCs w:val="0"/>
          <w:caps w:val="0"/>
          <w:smallCaps w:val="0"/>
          <w:noProof w:val="0"/>
          <w:sz w:val="24"/>
          <w:szCs w:val="24"/>
          <w:lang w:val="en-US"/>
        </w:rPr>
        <w:t xml:space="preserve"> Dạng phổ biến nhất, đặc trưng bởi sự hiện diện của tự kháng thể (ví dụ: GAD, tế bào đảo tụy).</w:t>
      </w:r>
    </w:p>
    <w:p xmlns:wp14="http://schemas.microsoft.com/office/word/2010/wordml" w:rsidP="2A4F8975" wp14:paraId="7316A008" wp14:textId="740BA3DC">
      <w:pPr>
        <w:pStyle w:val="Normal"/>
        <w:numPr>
          <w:ilvl w:val="1"/>
          <w:numId w:val="6"/>
        </w:numPr>
        <w:rPr>
          <w:rFonts w:ascii="Aptos" w:hAnsi="Aptos"/>
          <w:b w:val="0"/>
          <w:bCs w:val="0"/>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Vô căn:</w:t>
      </w:r>
      <w:r w:rsidRPr="2A4F8975" w:rsidR="3B208ECF">
        <w:rPr>
          <w:rFonts w:ascii="Aptos" w:hAnsi="Aptos"/>
          <w:b w:val="0"/>
          <w:bCs w:val="0"/>
          <w:i w:val="0"/>
          <w:iCs w:val="0"/>
          <w:caps w:val="0"/>
          <w:smallCaps w:val="0"/>
          <w:noProof w:val="0"/>
          <w:sz w:val="24"/>
          <w:szCs w:val="24"/>
          <w:lang w:val="en-US"/>
        </w:rPr>
        <w:t xml:space="preserve"> Không rõ nguyên nhân hoặc không có bằng chứng tự miễn dịch.</w:t>
      </w:r>
    </w:p>
    <w:p xmlns:wp14="http://schemas.microsoft.com/office/word/2010/wordml" w:rsidP="2A4F8975" wp14:paraId="176F83D7" wp14:textId="4F23847F">
      <w:pPr>
        <w:pStyle w:val="Normal"/>
        <w:numPr>
          <w:ilvl w:val="0"/>
          <w:numId w:val="6"/>
        </w:numPr>
        <w:rPr>
          <w:rFonts w:ascii="Aptos" w:hAnsi="Aptos"/>
          <w:b w:val="0"/>
          <w:bCs w:val="0"/>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Lâm sàng:</w:t>
      </w:r>
      <w:r w:rsidRPr="2A4F8975" w:rsidR="3B208ECF">
        <w:rPr>
          <w:rFonts w:ascii="Aptos" w:hAnsi="Aptos"/>
          <w:b w:val="0"/>
          <w:bCs w:val="0"/>
          <w:i w:val="0"/>
          <w:iCs w:val="0"/>
          <w:caps w:val="0"/>
          <w:smallCaps w:val="0"/>
          <w:noProof w:val="0"/>
          <w:sz w:val="24"/>
          <w:szCs w:val="24"/>
          <w:lang w:val="en-US"/>
        </w:rPr>
        <w:t xml:space="preserve"> Bệnh nhân dễ bị nhiễm toan ceton và cần insulin để duy trì sự sống.</w:t>
      </w:r>
    </w:p>
    <w:p xmlns:wp14="http://schemas.microsoft.com/office/word/2010/wordml" w:rsidP="2A4F8975" wp14:paraId="31429034" wp14:textId="1BD6B212">
      <w:pPr>
        <w:pStyle w:val="Normal"/>
        <w:rPr>
          <w:rFonts w:ascii="Aptos" w:hAnsi="Aptos"/>
          <w:b w:val="1"/>
          <w:bCs w:val="1"/>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5.2. Đái tháo đường Type 2</w:t>
      </w:r>
    </w:p>
    <w:p xmlns:wp14="http://schemas.microsoft.com/office/word/2010/wordml" w:rsidP="2A4F8975" wp14:paraId="73383E1C" wp14:textId="19086C55">
      <w:pPr>
        <w:pStyle w:val="Normal"/>
        <w:numPr>
          <w:ilvl w:val="0"/>
          <w:numId w:val="7"/>
        </w:numPr>
        <w:rPr>
          <w:rFonts w:ascii="Aptos" w:hAnsi="Aptos"/>
          <w:b w:val="0"/>
          <w:bCs w:val="0"/>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Bệnh lý:</w:t>
      </w:r>
      <w:r w:rsidRPr="2A4F8975" w:rsidR="3B208ECF">
        <w:rPr>
          <w:rFonts w:ascii="Aptos" w:hAnsi="Aptos"/>
          <w:b w:val="0"/>
          <w:bCs w:val="0"/>
          <w:i w:val="0"/>
          <w:iCs w:val="0"/>
          <w:caps w:val="0"/>
          <w:smallCaps w:val="0"/>
          <w:noProof w:val="0"/>
          <w:sz w:val="24"/>
          <w:szCs w:val="24"/>
          <w:lang w:val="en-US"/>
        </w:rPr>
        <w:t xml:space="preserve"> Phạm vi từ kháng insulin chiếm ưu thế với thiếu hụt insulin tương đối đến khiếm khuyết bài tiết insulin chủ yếu. Nguyên nhân cụ thể chưa được biết rõ.</w:t>
      </w:r>
    </w:p>
    <w:p xmlns:wp14="http://schemas.microsoft.com/office/word/2010/wordml" w:rsidP="2A4F8975" wp14:paraId="76AC0D8E" wp14:textId="24D42836">
      <w:pPr>
        <w:pStyle w:val="Normal"/>
        <w:numPr>
          <w:ilvl w:val="0"/>
          <w:numId w:val="7"/>
        </w:numPr>
        <w:rPr>
          <w:rFonts w:ascii="Aptos" w:hAnsi="Aptos"/>
          <w:b w:val="0"/>
          <w:bCs w:val="0"/>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Lâm sàng:</w:t>
      </w:r>
      <w:r w:rsidRPr="2A4F8975" w:rsidR="3B208ECF">
        <w:rPr>
          <w:rFonts w:ascii="Aptos" w:hAnsi="Aptos"/>
          <w:b w:val="0"/>
          <w:bCs w:val="0"/>
          <w:i w:val="0"/>
          <w:iCs w:val="0"/>
          <w:caps w:val="0"/>
          <w:smallCaps w:val="0"/>
          <w:noProof w:val="0"/>
          <w:sz w:val="24"/>
          <w:szCs w:val="24"/>
          <w:lang w:val="en-US"/>
        </w:rPr>
        <w:t xml:space="preserve"> Đây là dạng đái tháo đường phổ biến nhất. Nó thường liên quan đến béo phì và ít vận động. Nhiễm toan ceton không phổ biến.</w:t>
      </w:r>
    </w:p>
    <w:p xmlns:wp14="http://schemas.microsoft.com/office/word/2010/wordml" w:rsidP="2A4F8975" wp14:paraId="76C4B2C2" wp14:textId="07A4B6E1">
      <w:pPr>
        <w:pStyle w:val="Normal"/>
        <w:rPr>
          <w:rFonts w:ascii="Aptos" w:hAnsi="Aptos"/>
          <w:b w:val="1"/>
          <w:bCs w:val="1"/>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5.3. Các Type Đặc biệt Khác</w:t>
      </w:r>
    </w:p>
    <w:p xmlns:wp14="http://schemas.microsoft.com/office/word/2010/wordml" w:rsidP="2A4F8975" wp14:paraId="7FF20A33" wp14:textId="63CD74E0">
      <w:pPr>
        <w:rPr>
          <w:rFonts w:ascii="Aptos" w:hAnsi="Aptos"/>
          <w:b w:val="0"/>
          <w:bCs w:val="0"/>
          <w:i w:val="0"/>
          <w:iCs w:val="0"/>
          <w:caps w:val="0"/>
          <w:smallCaps w:val="0"/>
          <w:noProof w:val="0"/>
          <w:sz w:val="24"/>
          <w:szCs w:val="24"/>
          <w:lang w:val="en-US"/>
        </w:rPr>
      </w:pPr>
      <w:r w:rsidRPr="2A4F8975" w:rsidR="3B208ECF">
        <w:rPr>
          <w:rFonts w:ascii="Aptos" w:hAnsi="Aptos"/>
          <w:b w:val="0"/>
          <w:bCs w:val="0"/>
          <w:i w:val="0"/>
          <w:iCs w:val="0"/>
          <w:caps w:val="0"/>
          <w:smallCaps w:val="0"/>
          <w:noProof w:val="0"/>
          <w:sz w:val="24"/>
          <w:szCs w:val="24"/>
          <w:lang w:val="en-US"/>
        </w:rPr>
        <w:t>Danh mục này bao gồm đái tháo đường do các nguyên nhân có thể xác định khác:</w:t>
      </w:r>
    </w:p>
    <w:p xmlns:wp14="http://schemas.microsoft.com/office/word/2010/wordml" w:rsidP="2A4F8975" wp14:paraId="61712DEB" wp14:textId="6C186A85">
      <w:pPr>
        <w:pStyle w:val="Normal"/>
        <w:numPr>
          <w:ilvl w:val="0"/>
          <w:numId w:val="8"/>
        </w:numPr>
        <w:rPr>
          <w:rFonts w:ascii="Aptos" w:hAnsi="Aptos"/>
          <w:b w:val="0"/>
          <w:bCs w:val="0"/>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Khiếm khuyết di truyền</w:t>
      </w:r>
      <w:r w:rsidRPr="2A4F8975" w:rsidR="3B208ECF">
        <w:rPr>
          <w:rFonts w:ascii="Aptos" w:hAnsi="Aptos"/>
          <w:b w:val="0"/>
          <w:bCs w:val="0"/>
          <w:i w:val="0"/>
          <w:iCs w:val="0"/>
          <w:caps w:val="0"/>
          <w:smallCaps w:val="0"/>
          <w:noProof w:val="0"/>
          <w:sz w:val="24"/>
          <w:szCs w:val="24"/>
          <w:lang w:val="en-US"/>
        </w:rPr>
        <w:t xml:space="preserve"> của chức năng tế bào beta (ví dụ: MODY - Đái tháo đường Khởi phát ở Người trưởng thành Trẻ tuổi).</w:t>
      </w:r>
    </w:p>
    <w:p xmlns:wp14="http://schemas.microsoft.com/office/word/2010/wordml" w:rsidP="2A4F8975" wp14:paraId="4CD6FF33" wp14:textId="3A4CB265">
      <w:pPr>
        <w:pStyle w:val="Normal"/>
        <w:numPr>
          <w:ilvl w:val="0"/>
          <w:numId w:val="8"/>
        </w:numPr>
        <w:rPr>
          <w:rFonts w:ascii="Aptos" w:hAnsi="Aptos"/>
          <w:b w:val="0"/>
          <w:bCs w:val="0"/>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Khiếm khuyết di truyền</w:t>
      </w:r>
      <w:r w:rsidRPr="2A4F8975" w:rsidR="3B208ECF">
        <w:rPr>
          <w:rFonts w:ascii="Aptos" w:hAnsi="Aptos"/>
          <w:b w:val="0"/>
          <w:bCs w:val="0"/>
          <w:i w:val="0"/>
          <w:iCs w:val="0"/>
          <w:caps w:val="0"/>
          <w:smallCaps w:val="0"/>
          <w:noProof w:val="0"/>
          <w:sz w:val="24"/>
          <w:szCs w:val="24"/>
          <w:lang w:val="en-US"/>
        </w:rPr>
        <w:t xml:space="preserve"> trong tác động của insulin.</w:t>
      </w:r>
    </w:p>
    <w:p xmlns:wp14="http://schemas.microsoft.com/office/word/2010/wordml" w:rsidP="2A4F8975" wp14:paraId="32120B03" wp14:textId="01FBAAB0">
      <w:pPr>
        <w:pStyle w:val="Normal"/>
        <w:numPr>
          <w:ilvl w:val="0"/>
          <w:numId w:val="8"/>
        </w:numPr>
        <w:rPr>
          <w:rFonts w:ascii="Aptos" w:hAnsi="Aptos"/>
          <w:b w:val="0"/>
          <w:bCs w:val="0"/>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Bệnh của tuyến tụy ngoại tiết</w:t>
      </w:r>
      <w:r w:rsidRPr="2A4F8975" w:rsidR="3B208ECF">
        <w:rPr>
          <w:rFonts w:ascii="Aptos" w:hAnsi="Aptos"/>
          <w:b w:val="0"/>
          <w:bCs w:val="0"/>
          <w:i w:val="0"/>
          <w:iCs w:val="0"/>
          <w:caps w:val="0"/>
          <w:smallCaps w:val="0"/>
          <w:noProof w:val="0"/>
          <w:sz w:val="24"/>
          <w:szCs w:val="24"/>
          <w:lang w:val="en-US"/>
        </w:rPr>
        <w:t xml:space="preserve"> (ví dụ: viêm tụy, xơ nang).</w:t>
      </w:r>
    </w:p>
    <w:p xmlns:wp14="http://schemas.microsoft.com/office/word/2010/wordml" w:rsidP="2A4F8975" wp14:paraId="6685B126" wp14:textId="5706FC95">
      <w:pPr>
        <w:pStyle w:val="Normal"/>
        <w:numPr>
          <w:ilvl w:val="0"/>
          <w:numId w:val="8"/>
        </w:numPr>
        <w:rPr>
          <w:rFonts w:ascii="Aptos" w:hAnsi="Aptos"/>
          <w:b w:val="0"/>
          <w:bCs w:val="0"/>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Bệnh nội tiết</w:t>
      </w:r>
      <w:r w:rsidRPr="2A4F8975" w:rsidR="3B208ECF">
        <w:rPr>
          <w:rFonts w:ascii="Aptos" w:hAnsi="Aptos"/>
          <w:b w:val="0"/>
          <w:bCs w:val="0"/>
          <w:i w:val="0"/>
          <w:iCs w:val="0"/>
          <w:caps w:val="0"/>
          <w:smallCaps w:val="0"/>
          <w:noProof w:val="0"/>
          <w:sz w:val="24"/>
          <w:szCs w:val="24"/>
          <w:lang w:val="en-US"/>
        </w:rPr>
        <w:t xml:space="preserve"> (ví dụ: hội chứng Cushing, bệnh to đầu chi).</w:t>
      </w:r>
    </w:p>
    <w:p xmlns:wp14="http://schemas.microsoft.com/office/word/2010/wordml" w:rsidP="2A4F8975" wp14:paraId="38671502" wp14:textId="5E82D6C9">
      <w:pPr>
        <w:pStyle w:val="Normal"/>
        <w:numPr>
          <w:ilvl w:val="0"/>
          <w:numId w:val="8"/>
        </w:numPr>
        <w:rPr>
          <w:rFonts w:ascii="Aptos" w:hAnsi="Aptos"/>
          <w:b w:val="0"/>
          <w:bCs w:val="0"/>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Do thuốc hoặc hóa chất</w:t>
      </w:r>
      <w:r w:rsidRPr="2A4F8975" w:rsidR="3B208ECF">
        <w:rPr>
          <w:rFonts w:ascii="Aptos" w:hAnsi="Aptos"/>
          <w:b w:val="0"/>
          <w:bCs w:val="0"/>
          <w:i w:val="0"/>
          <w:iCs w:val="0"/>
          <w:caps w:val="0"/>
          <w:smallCaps w:val="0"/>
          <w:noProof w:val="0"/>
          <w:sz w:val="24"/>
          <w:szCs w:val="24"/>
          <w:lang w:val="en-US"/>
        </w:rPr>
        <w:t xml:space="preserve"> (ví dụ: corticosteroid).</w:t>
      </w:r>
    </w:p>
    <w:p xmlns:wp14="http://schemas.microsoft.com/office/word/2010/wordml" w:rsidP="2A4F8975" wp14:paraId="1068C491" wp14:textId="134AEAB9">
      <w:pPr>
        <w:pStyle w:val="Normal"/>
        <w:numPr>
          <w:ilvl w:val="0"/>
          <w:numId w:val="8"/>
        </w:numPr>
        <w:rPr>
          <w:rFonts w:ascii="Aptos" w:hAnsi="Aptos"/>
          <w:b w:val="0"/>
          <w:bCs w:val="0"/>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Nhiễm trùng</w:t>
      </w:r>
      <w:r w:rsidRPr="2A4F8975" w:rsidR="3B208ECF">
        <w:rPr>
          <w:rFonts w:ascii="Aptos" w:hAnsi="Aptos"/>
          <w:b w:val="0"/>
          <w:bCs w:val="0"/>
          <w:i w:val="0"/>
          <w:iCs w:val="0"/>
          <w:caps w:val="0"/>
          <w:smallCaps w:val="0"/>
          <w:noProof w:val="0"/>
          <w:sz w:val="24"/>
          <w:szCs w:val="24"/>
          <w:lang w:val="en-US"/>
        </w:rPr>
        <w:t xml:space="preserve"> (ví dụ: rubella bẩm sinh).</w:t>
      </w:r>
    </w:p>
    <w:p xmlns:wp14="http://schemas.microsoft.com/office/word/2010/wordml" w:rsidP="2A4F8975" wp14:paraId="427503E3" wp14:textId="3ACCA2D8">
      <w:pPr>
        <w:pStyle w:val="Normal"/>
        <w:numPr>
          <w:ilvl w:val="0"/>
          <w:numId w:val="8"/>
        </w:numPr>
        <w:rPr>
          <w:rFonts w:ascii="Aptos" w:hAnsi="Aptos"/>
          <w:b w:val="1"/>
          <w:bCs w:val="1"/>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Các dạng qua trung gian miễn dịch không phổ biến.</w:t>
      </w:r>
    </w:p>
    <w:p xmlns:wp14="http://schemas.microsoft.com/office/word/2010/wordml" w:rsidP="2A4F8975" wp14:paraId="220B12AB" wp14:textId="58F81925">
      <w:pPr>
        <w:pStyle w:val="Normal"/>
        <w:numPr>
          <w:ilvl w:val="0"/>
          <w:numId w:val="8"/>
        </w:numPr>
        <w:rPr>
          <w:rFonts w:ascii="Aptos" w:hAnsi="Aptos"/>
          <w:b w:val="0"/>
          <w:bCs w:val="0"/>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Các hội chứng di truyền khác</w:t>
      </w:r>
      <w:r w:rsidRPr="2A4F8975" w:rsidR="3B208ECF">
        <w:rPr>
          <w:rFonts w:ascii="Aptos" w:hAnsi="Aptos"/>
          <w:b w:val="0"/>
          <w:bCs w:val="0"/>
          <w:i w:val="0"/>
          <w:iCs w:val="0"/>
          <w:caps w:val="0"/>
          <w:smallCaps w:val="0"/>
          <w:noProof w:val="0"/>
          <w:sz w:val="24"/>
          <w:szCs w:val="24"/>
          <w:lang w:val="en-US"/>
        </w:rPr>
        <w:t xml:space="preserve"> (ví dụ: hội chứng Down).</w:t>
      </w:r>
    </w:p>
    <w:p xmlns:wp14="http://schemas.microsoft.com/office/word/2010/wordml" w:rsidP="2A4F8975" wp14:paraId="27DCA6ED" wp14:textId="74A5CB8C">
      <w:pPr>
        <w:pStyle w:val="Normal"/>
        <w:rPr>
          <w:rFonts w:ascii="Aptos" w:hAnsi="Aptos"/>
          <w:b w:val="1"/>
          <w:bCs w:val="1"/>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5.4. Đái tháo đường Thai kỳ (GDM)</w:t>
      </w:r>
    </w:p>
    <w:p xmlns:wp14="http://schemas.microsoft.com/office/word/2010/wordml" w:rsidP="2A4F8975" wp14:paraId="73458671" wp14:textId="52E1DD6E">
      <w:pPr>
        <w:rPr>
          <w:rFonts w:ascii="Aptos" w:hAnsi="Aptos"/>
          <w:b w:val="0"/>
          <w:bCs w:val="0"/>
          <w:i w:val="0"/>
          <w:iCs w:val="0"/>
          <w:caps w:val="0"/>
          <w:smallCaps w:val="0"/>
          <w:noProof w:val="0"/>
          <w:sz w:val="24"/>
          <w:szCs w:val="24"/>
          <w:lang w:val="en-US"/>
        </w:rPr>
      </w:pPr>
      <w:r w:rsidRPr="2A4F8975" w:rsidR="3B208ECF">
        <w:rPr>
          <w:rFonts w:ascii="Aptos" w:hAnsi="Aptos"/>
          <w:b w:val="0"/>
          <w:bCs w:val="0"/>
          <w:i w:val="0"/>
          <w:iCs w:val="0"/>
          <w:caps w:val="0"/>
          <w:smallCaps w:val="0"/>
          <w:noProof w:val="0"/>
          <w:sz w:val="24"/>
          <w:szCs w:val="24"/>
          <w:lang w:val="en-US"/>
        </w:rPr>
        <w:t>Như đã định nghĩa trong mục 4.3.</w:t>
      </w:r>
    </w:p>
    <w:p xmlns:wp14="http://schemas.microsoft.com/office/word/2010/wordml" w:rsidP="2A4F8975" wp14:paraId="793BAB07" wp14:textId="31811BDA">
      <w:pPr>
        <w:pStyle w:val="Normal"/>
        <w:rPr>
          <w:rFonts w:ascii="Aptos" w:hAnsi="Aptos"/>
          <w:b w:val="1"/>
          <w:bCs w:val="1"/>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6. Giai đoạn Lâm sàng và Các Nhóm Nguy cơ Thống kê</w:t>
      </w:r>
    </w:p>
    <w:p xmlns:wp14="http://schemas.microsoft.com/office/word/2010/wordml" w:rsidP="2A4F8975" wp14:paraId="06ABFEC7" wp14:textId="2D55734E">
      <w:pPr>
        <w:rPr>
          <w:rFonts w:ascii="Aptos" w:hAnsi="Aptos"/>
          <w:b w:val="0"/>
          <w:bCs w:val="0"/>
          <w:i w:val="0"/>
          <w:iCs w:val="0"/>
          <w:caps w:val="0"/>
          <w:smallCaps w:val="0"/>
          <w:noProof w:val="0"/>
          <w:sz w:val="24"/>
          <w:szCs w:val="24"/>
          <w:lang w:val="en-US"/>
        </w:rPr>
      </w:pPr>
      <w:r w:rsidRPr="2A4F8975" w:rsidR="3B208ECF">
        <w:rPr>
          <w:rFonts w:ascii="Aptos" w:hAnsi="Aptos"/>
          <w:b w:val="0"/>
          <w:bCs w:val="0"/>
          <w:i w:val="0"/>
          <w:iCs w:val="0"/>
          <w:caps w:val="0"/>
          <w:smallCaps w:val="0"/>
          <w:noProof w:val="0"/>
          <w:sz w:val="24"/>
          <w:szCs w:val="24"/>
          <w:lang w:val="en-US"/>
        </w:rPr>
        <w:t>Giai đoạn lâm sàng mô tả tình trạng đường huyết hiện tại của một cá nhân, độc lập với nguyên nhân cơ bản.</w:t>
      </w:r>
    </w:p>
    <w:p xmlns:wp14="http://schemas.microsoft.com/office/word/2010/wordml" w:rsidP="2A4F8975" wp14:paraId="11A7F769" wp14:textId="65131199">
      <w:pPr>
        <w:pStyle w:val="Normal"/>
        <w:numPr>
          <w:ilvl w:val="0"/>
          <w:numId w:val="9"/>
        </w:numPr>
        <w:rPr>
          <w:rFonts w:ascii="Aptos" w:hAnsi="Aptos"/>
          <w:b w:val="1"/>
          <w:bCs w:val="1"/>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Bình thường đường huyết</w:t>
      </w:r>
    </w:p>
    <w:p xmlns:wp14="http://schemas.microsoft.com/office/word/2010/wordml" w:rsidP="2A4F8975" wp14:paraId="4010811B" wp14:textId="666AE268">
      <w:pPr>
        <w:pStyle w:val="Normal"/>
        <w:numPr>
          <w:ilvl w:val="0"/>
          <w:numId w:val="9"/>
        </w:numPr>
        <w:rPr>
          <w:rFonts w:ascii="Aptos" w:hAnsi="Aptos"/>
          <w:b w:val="0"/>
          <w:bCs w:val="0"/>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Rối loạn dung nạp glucose:</w:t>
      </w:r>
      <w:r w:rsidRPr="2A4F8975" w:rsidR="3B208ECF">
        <w:rPr>
          <w:rFonts w:ascii="Aptos" w:hAnsi="Aptos"/>
          <w:b w:val="0"/>
          <w:bCs w:val="0"/>
          <w:i w:val="0"/>
          <w:iCs w:val="0"/>
          <w:caps w:val="0"/>
          <w:smallCaps w:val="0"/>
          <w:noProof w:val="0"/>
          <w:sz w:val="24"/>
          <w:szCs w:val="24"/>
          <w:lang w:val="en-US"/>
        </w:rPr>
        <w:t xml:space="preserve"> Một nhóm nguy cơ, không phải là một thực thể lâm sàng.</w:t>
      </w:r>
    </w:p>
    <w:p xmlns:wp14="http://schemas.microsoft.com/office/word/2010/wordml" w:rsidP="2A4F8975" wp14:paraId="439C4E2B" wp14:textId="75D07F2B">
      <w:pPr>
        <w:pStyle w:val="Normal"/>
        <w:numPr>
          <w:ilvl w:val="1"/>
          <w:numId w:val="9"/>
        </w:numPr>
        <w:rPr>
          <w:rFonts w:ascii="Aptos" w:hAnsi="Aptos"/>
          <w:b w:val="0"/>
          <w:bCs w:val="0"/>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Rối loạn dung nạp glucose (IGT):</w:t>
      </w:r>
      <w:r w:rsidRPr="2A4F8975" w:rsidR="3B208ECF">
        <w:rPr>
          <w:rFonts w:ascii="Aptos" w:hAnsi="Aptos"/>
          <w:b w:val="0"/>
          <w:bCs w:val="0"/>
          <w:i w:val="0"/>
          <w:iCs w:val="0"/>
          <w:caps w:val="0"/>
          <w:smallCaps w:val="0"/>
          <w:noProof w:val="0"/>
          <w:sz w:val="24"/>
          <w:szCs w:val="24"/>
          <w:lang w:val="en-US"/>
        </w:rPr>
        <w:t xml:space="preserve"> Được xác định bằng OGTT.</w:t>
      </w:r>
    </w:p>
    <w:p xmlns:wp14="http://schemas.microsoft.com/office/word/2010/wordml" w:rsidP="2A4F8975" wp14:paraId="1657D715" wp14:textId="50A0DA42">
      <w:pPr>
        <w:pStyle w:val="Normal"/>
        <w:numPr>
          <w:ilvl w:val="1"/>
          <w:numId w:val="9"/>
        </w:numPr>
        <w:rPr>
          <w:rFonts w:ascii="Aptos" w:hAnsi="Aptos"/>
          <w:b w:val="0"/>
          <w:bCs w:val="0"/>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Rối loạn đường huyết lúc đói (IFG):</w:t>
      </w:r>
      <w:r w:rsidRPr="2A4F8975" w:rsidR="3B208ECF">
        <w:rPr>
          <w:rFonts w:ascii="Aptos" w:hAnsi="Aptos"/>
          <w:b w:val="0"/>
          <w:bCs w:val="0"/>
          <w:i w:val="0"/>
          <w:iCs w:val="0"/>
          <w:caps w:val="0"/>
          <w:smallCaps w:val="0"/>
          <w:noProof w:val="0"/>
          <w:sz w:val="24"/>
          <w:szCs w:val="24"/>
          <w:lang w:val="en-US"/>
        </w:rPr>
        <w:t xml:space="preserve"> Được xác định bằng xét nghiệm glucose lúc đói.</w:t>
      </w:r>
    </w:p>
    <w:p xmlns:wp14="http://schemas.microsoft.com/office/word/2010/wordml" w:rsidP="2A4F8975" wp14:paraId="4EEDBE8C" wp14:textId="152CF5BC">
      <w:pPr>
        <w:pStyle w:val="Normal"/>
        <w:numPr>
          <w:ilvl w:val="0"/>
          <w:numId w:val="9"/>
        </w:numPr>
        <w:rPr>
          <w:rFonts w:ascii="Aptos" w:hAnsi="Aptos"/>
          <w:b w:val="0"/>
          <w:bCs w:val="0"/>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Bệnh Đái tháo đường:</w:t>
      </w:r>
      <w:r w:rsidRPr="2A4F8975" w:rsidR="3B208ECF">
        <w:rPr>
          <w:rFonts w:ascii="Aptos" w:hAnsi="Aptos"/>
          <w:b w:val="0"/>
          <w:bCs w:val="0"/>
          <w:i w:val="0"/>
          <w:iCs w:val="0"/>
          <w:caps w:val="0"/>
          <w:smallCaps w:val="0"/>
          <w:noProof w:val="0"/>
          <w:sz w:val="24"/>
          <w:szCs w:val="24"/>
          <w:lang w:val="en-US"/>
        </w:rPr>
        <w:t xml:space="preserve"> Được chia nhỏ thành:</w:t>
      </w:r>
    </w:p>
    <w:p xmlns:wp14="http://schemas.microsoft.com/office/word/2010/wordml" w:rsidP="2A4F8975" wp14:paraId="7197E3A7" wp14:textId="1605AD52">
      <w:pPr>
        <w:pStyle w:val="Normal"/>
        <w:numPr>
          <w:ilvl w:val="1"/>
          <w:numId w:val="9"/>
        </w:numPr>
        <w:rPr>
          <w:rFonts w:ascii="Aptos" w:hAnsi="Aptos"/>
          <w:b w:val="0"/>
          <w:bCs w:val="0"/>
          <w:i w:val="1"/>
          <w:iCs w:val="1"/>
          <w:caps w:val="0"/>
          <w:smallCaps w:val="0"/>
          <w:noProof w:val="0"/>
          <w:sz w:val="24"/>
          <w:szCs w:val="24"/>
          <w:lang w:val="en-US"/>
        </w:rPr>
      </w:pPr>
      <w:r w:rsidRPr="2A4F8975" w:rsidR="3B208ECF">
        <w:rPr>
          <w:rFonts w:ascii="Aptos" w:hAnsi="Aptos"/>
          <w:b w:val="0"/>
          <w:bCs w:val="0"/>
          <w:i w:val="1"/>
          <w:iCs w:val="1"/>
          <w:caps w:val="0"/>
          <w:smallCaps w:val="0"/>
          <w:noProof w:val="0"/>
          <w:sz w:val="24"/>
          <w:szCs w:val="24"/>
          <w:lang w:val="en-US"/>
        </w:rPr>
        <w:t>Không cần insulin</w:t>
      </w:r>
    </w:p>
    <w:p xmlns:wp14="http://schemas.microsoft.com/office/word/2010/wordml" w:rsidP="2A4F8975" wp14:paraId="4EF7E8AF" wp14:textId="273DD762">
      <w:pPr>
        <w:pStyle w:val="Normal"/>
        <w:numPr>
          <w:ilvl w:val="1"/>
          <w:numId w:val="9"/>
        </w:numPr>
        <w:rPr>
          <w:rFonts w:ascii="Aptos" w:hAnsi="Aptos"/>
          <w:b w:val="0"/>
          <w:bCs w:val="0"/>
          <w:i w:val="1"/>
          <w:iCs w:val="1"/>
          <w:caps w:val="0"/>
          <w:smallCaps w:val="0"/>
          <w:noProof w:val="0"/>
          <w:sz w:val="24"/>
          <w:szCs w:val="24"/>
          <w:lang w:val="en-US"/>
        </w:rPr>
      </w:pPr>
      <w:r w:rsidRPr="2A4F8975" w:rsidR="3B208ECF">
        <w:rPr>
          <w:rFonts w:ascii="Aptos" w:hAnsi="Aptos"/>
          <w:b w:val="0"/>
          <w:bCs w:val="0"/>
          <w:i w:val="1"/>
          <w:iCs w:val="1"/>
          <w:caps w:val="0"/>
          <w:smallCaps w:val="0"/>
          <w:noProof w:val="0"/>
          <w:sz w:val="24"/>
          <w:szCs w:val="24"/>
          <w:lang w:val="en-US"/>
        </w:rPr>
        <w:t>Cần insulin để kiểm soát</w:t>
      </w:r>
    </w:p>
    <w:p xmlns:wp14="http://schemas.microsoft.com/office/word/2010/wordml" w:rsidP="2A4F8975" wp14:paraId="671B6A44" wp14:textId="6F719AC1">
      <w:pPr>
        <w:pStyle w:val="Normal"/>
        <w:numPr>
          <w:ilvl w:val="1"/>
          <w:numId w:val="9"/>
        </w:numPr>
        <w:rPr>
          <w:rFonts w:ascii="Aptos" w:hAnsi="Aptos"/>
          <w:b w:val="0"/>
          <w:bCs w:val="0"/>
          <w:i w:val="1"/>
          <w:iCs w:val="1"/>
          <w:caps w:val="0"/>
          <w:smallCaps w:val="0"/>
          <w:noProof w:val="0"/>
          <w:sz w:val="24"/>
          <w:szCs w:val="24"/>
          <w:lang w:val="en-US"/>
        </w:rPr>
      </w:pPr>
      <w:r w:rsidRPr="2A4F8975" w:rsidR="3B208ECF">
        <w:rPr>
          <w:rFonts w:ascii="Aptos" w:hAnsi="Aptos"/>
          <w:b w:val="0"/>
          <w:bCs w:val="0"/>
          <w:i w:val="1"/>
          <w:iCs w:val="1"/>
          <w:caps w:val="0"/>
          <w:smallCaps w:val="0"/>
          <w:noProof w:val="0"/>
          <w:sz w:val="24"/>
          <w:szCs w:val="24"/>
          <w:lang w:val="en-US"/>
        </w:rPr>
        <w:t>Cần insulin để duy trì sự sống</w:t>
      </w:r>
    </w:p>
    <w:p xmlns:wp14="http://schemas.microsoft.com/office/word/2010/wordml" w:rsidP="2A4F8975" wp14:paraId="40703219" wp14:textId="6E40F2CE">
      <w:pPr>
        <w:rPr>
          <w:rFonts w:ascii="Aptos" w:hAnsi="Aptos"/>
          <w:b w:val="0"/>
          <w:bCs w:val="0"/>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Các Nhóm Nguy cơ Thống kê</w:t>
      </w:r>
      <w:r w:rsidRPr="2A4F8975" w:rsidR="3B208ECF">
        <w:rPr>
          <w:rFonts w:ascii="Aptos" w:hAnsi="Aptos"/>
          <w:b w:val="0"/>
          <w:bCs w:val="0"/>
          <w:i w:val="0"/>
          <w:iCs w:val="0"/>
          <w:caps w:val="0"/>
          <w:smallCaps w:val="0"/>
          <w:noProof w:val="0"/>
          <w:sz w:val="24"/>
          <w:szCs w:val="24"/>
          <w:lang w:val="en-US"/>
        </w:rPr>
        <w:t xml:space="preserve"> (từ NDDG 1979) bao gồm:</w:t>
      </w:r>
    </w:p>
    <w:p xmlns:wp14="http://schemas.microsoft.com/office/word/2010/wordml" w:rsidP="2A4F8975" wp14:paraId="58C1280F" wp14:textId="79211922">
      <w:pPr>
        <w:pStyle w:val="Normal"/>
        <w:numPr>
          <w:ilvl w:val="0"/>
          <w:numId w:val="10"/>
        </w:numPr>
        <w:rPr>
          <w:rFonts w:ascii="Aptos" w:hAnsi="Aptos"/>
          <w:b w:val="0"/>
          <w:bCs w:val="0"/>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Tiền sử Bất thường Dung nạp Glucose (PrevAGT):</w:t>
      </w:r>
      <w:r w:rsidRPr="2A4F8975" w:rsidR="3B208ECF">
        <w:rPr>
          <w:rFonts w:ascii="Aptos" w:hAnsi="Aptos"/>
          <w:b w:val="0"/>
          <w:bCs w:val="0"/>
          <w:i w:val="0"/>
          <w:iCs w:val="0"/>
          <w:caps w:val="0"/>
          <w:smallCaps w:val="0"/>
          <w:noProof w:val="0"/>
          <w:sz w:val="24"/>
          <w:szCs w:val="24"/>
          <w:lang w:val="en-US"/>
        </w:rPr>
        <w:t xml:space="preserve"> Dành cho các cá nhân đã từng bị đái tháo đường hoặc IGT trong quá khứ nhưng hiện tại có dung nạp glucose bình thường (ví dụ: sau đái tháo đường thai kỳ).</w:t>
      </w:r>
    </w:p>
    <w:p xmlns:wp14="http://schemas.microsoft.com/office/word/2010/wordml" w:rsidP="2A4F8975" wp14:paraId="7F5FCF36" wp14:textId="6D3E79D6">
      <w:pPr>
        <w:pStyle w:val="Normal"/>
        <w:numPr>
          <w:ilvl w:val="0"/>
          <w:numId w:val="10"/>
        </w:numPr>
        <w:rPr>
          <w:rFonts w:ascii="Aptos" w:hAnsi="Aptos"/>
          <w:b w:val="0"/>
          <w:bCs w:val="0"/>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Bất thường Dung nạp Glucose Tiềm tàng (PotAGT):</w:t>
      </w:r>
      <w:r w:rsidRPr="2A4F8975" w:rsidR="3B208ECF">
        <w:rPr>
          <w:rFonts w:ascii="Aptos" w:hAnsi="Aptos"/>
          <w:b w:val="0"/>
          <w:bCs w:val="0"/>
          <w:i w:val="0"/>
          <w:iCs w:val="0"/>
          <w:caps w:val="0"/>
          <w:smallCaps w:val="0"/>
          <w:noProof w:val="0"/>
          <w:sz w:val="24"/>
          <w:szCs w:val="24"/>
          <w:lang w:val="en-US"/>
        </w:rPr>
        <w:t xml:space="preserve"> Dành cho các cá nhân có nguy cơ gia tăng nhưng chưa từng biểu hiện rối loạn dung nạp glucose (ví dụ: người thân cấp một của bệnh nhân đái tháo đường, người béo phì).</w:t>
      </w:r>
    </w:p>
    <w:p xmlns:wp14="http://schemas.microsoft.com/office/word/2010/wordml" w:rsidP="2A4F8975" wp14:paraId="33E83D99" wp14:textId="07F6682C">
      <w:pPr>
        <w:pStyle w:val="Normal"/>
        <w:rPr>
          <w:rFonts w:ascii="Aptos" w:hAnsi="Aptos"/>
          <w:b w:val="1"/>
          <w:bCs w:val="1"/>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7. Phân tích Nâng cao: Dự báo Khởi phát Đái tháo đường bằng Thuật toán ADAP</w:t>
      </w:r>
    </w:p>
    <w:p xmlns:wp14="http://schemas.microsoft.com/office/word/2010/wordml" w:rsidP="2A4F8975" wp14:paraId="07B70D7A" wp14:textId="03879874">
      <w:pPr>
        <w:rPr>
          <w:rFonts w:ascii="Aptos" w:hAnsi="Aptos"/>
          <w:b w:val="0"/>
          <w:bCs w:val="0"/>
          <w:i w:val="0"/>
          <w:iCs w:val="0"/>
          <w:caps w:val="0"/>
          <w:smallCaps w:val="0"/>
          <w:noProof w:val="0"/>
          <w:sz w:val="24"/>
          <w:szCs w:val="24"/>
          <w:lang w:val="en-US"/>
        </w:rPr>
      </w:pPr>
      <w:r w:rsidRPr="2A4F8975" w:rsidR="3B208ECF">
        <w:rPr>
          <w:rFonts w:ascii="Aptos" w:hAnsi="Aptos"/>
          <w:b w:val="0"/>
          <w:bCs w:val="0"/>
          <w:i w:val="0"/>
          <w:iCs w:val="0"/>
          <w:caps w:val="0"/>
          <w:smallCaps w:val="0"/>
          <w:noProof w:val="0"/>
          <w:sz w:val="24"/>
          <w:szCs w:val="24"/>
          <w:lang w:val="en-US"/>
        </w:rPr>
        <w:t xml:space="preserve">Nghiên cứu </w:t>
      </w:r>
      <w:r w:rsidRPr="2A4F8975" w:rsidR="3B208ECF">
        <w:rPr>
          <w:rFonts w:ascii="Aptos" w:hAnsi="Aptos"/>
          <w:b w:val="1"/>
          <w:bCs w:val="1"/>
          <w:i w:val="0"/>
          <w:iCs w:val="0"/>
          <w:caps w:val="0"/>
          <w:smallCaps w:val="0"/>
          <w:noProof w:val="0"/>
          <w:sz w:val="24"/>
          <w:szCs w:val="24"/>
          <w:lang w:val="en-US"/>
        </w:rPr>
        <w:t>Smith và cộng sự (1988)</w:t>
      </w:r>
      <w:r w:rsidRPr="2A4F8975" w:rsidR="3B208ECF">
        <w:rPr>
          <w:rFonts w:ascii="Aptos" w:hAnsi="Aptos"/>
          <w:b w:val="0"/>
          <w:bCs w:val="0"/>
          <w:i w:val="0"/>
          <w:iCs w:val="0"/>
          <w:caps w:val="0"/>
          <w:smallCaps w:val="0"/>
          <w:noProof w:val="0"/>
          <w:sz w:val="24"/>
          <w:szCs w:val="24"/>
          <w:lang w:val="en-US"/>
        </w:rPr>
        <w:t xml:space="preserve"> chứng minh một ứng dụng sớm của trí tuệ nhân tạo trong y học. Thuật toán ADAP, một mô hình mạng nơ-ron, đã được sử dụng để dự báo sự khởi phát bệnh đái tháo đường Type 2 trong vòng năm năm ở một quần thể người da đỏ Pima có nguy cơ cao.</w:t>
      </w:r>
    </w:p>
    <w:p xmlns:wp14="http://schemas.microsoft.com/office/word/2010/wordml" w:rsidP="2A4F8975" wp14:paraId="4A869CD9" wp14:textId="46487D8C">
      <w:pPr>
        <w:pStyle w:val="Normal"/>
        <w:numPr>
          <w:ilvl w:val="0"/>
          <w:numId w:val="11"/>
        </w:numPr>
        <w:rPr>
          <w:rFonts w:ascii="Aptos" w:hAnsi="Aptos"/>
          <w:b w:val="0"/>
          <w:bCs w:val="0"/>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Phương pháp:</w:t>
      </w:r>
      <w:r w:rsidRPr="2A4F8975" w:rsidR="3B208ECF">
        <w:rPr>
          <w:rFonts w:ascii="Aptos" w:hAnsi="Aptos"/>
          <w:b w:val="0"/>
          <w:bCs w:val="0"/>
          <w:i w:val="0"/>
          <w:iCs w:val="0"/>
          <w:caps w:val="0"/>
          <w:smallCaps w:val="0"/>
          <w:noProof w:val="0"/>
          <w:sz w:val="24"/>
          <w:szCs w:val="24"/>
          <w:lang w:val="en-US"/>
        </w:rPr>
        <w:t xml:space="preserve"> Mô hình được huấn luyện trên 576 trường hợp sử dụng tám biến số (ví dụ: số lần mang thai, glucose huyết tương, BMI, tuổi, một "Hàm Phả hệ Đái tháo đường" mới).</w:t>
      </w:r>
    </w:p>
    <w:p xmlns:wp14="http://schemas.microsoft.com/office/word/2010/wordml" w:rsidP="2A4F8975" wp14:paraId="78BC38BA" wp14:textId="7F3858F6">
      <w:pPr>
        <w:pStyle w:val="Normal"/>
        <w:numPr>
          <w:ilvl w:val="0"/>
          <w:numId w:val="11"/>
        </w:numPr>
        <w:rPr>
          <w:rFonts w:ascii="Aptos" w:hAnsi="Aptos"/>
          <w:b w:val="0"/>
          <w:bCs w:val="0"/>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Kết quả:</w:t>
      </w:r>
      <w:r w:rsidRPr="2A4F8975" w:rsidR="3B208ECF">
        <w:rPr>
          <w:rFonts w:ascii="Aptos" w:hAnsi="Aptos"/>
          <w:b w:val="0"/>
          <w:bCs w:val="0"/>
          <w:i w:val="0"/>
          <w:iCs w:val="0"/>
          <w:caps w:val="0"/>
          <w:smallCaps w:val="0"/>
          <w:noProof w:val="0"/>
          <w:sz w:val="24"/>
          <w:szCs w:val="24"/>
          <w:lang w:val="en-US"/>
        </w:rPr>
        <w:t xml:space="preserve"> Trên một tập kiểm tra gồm 192 trường hợp, thuật toán đạt được độ nhạy và độ đặc hiệu 76% tại điểm phân biệt tối ưu. Một đường cong Đặc tính Hoạt động Người nhận (ROC) đã được tạo ra để trực quan hóa sự đánh đổi giữa độ nhạy và độ đặc hiệu.</w:t>
      </w:r>
    </w:p>
    <w:p xmlns:wp14="http://schemas.microsoft.com/office/word/2010/wordml" w:rsidP="2A4F8975" wp14:paraId="2DC1B041" wp14:textId="56BB6822">
      <w:pPr>
        <w:pStyle w:val="Normal"/>
        <w:numPr>
          <w:ilvl w:val="0"/>
          <w:numId w:val="11"/>
        </w:numPr>
        <w:rPr>
          <w:rFonts w:ascii="Aptos" w:hAnsi="Aptos"/>
          <w:b w:val="0"/>
          <w:bCs w:val="0"/>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Ý nghĩa:</w:t>
      </w:r>
      <w:r w:rsidRPr="2A4F8975" w:rsidR="3B208ECF">
        <w:rPr>
          <w:rFonts w:ascii="Aptos" w:hAnsi="Aptos"/>
          <w:b w:val="0"/>
          <w:bCs w:val="0"/>
          <w:i w:val="0"/>
          <w:iCs w:val="0"/>
          <w:caps w:val="0"/>
          <w:smallCaps w:val="0"/>
          <w:noProof w:val="0"/>
          <w:sz w:val="24"/>
          <w:szCs w:val="24"/>
          <w:lang w:val="en-US"/>
        </w:rPr>
        <w:t xml:space="preserve"> Công trình này nêu bật tiềm năng của các thuật toán nhận dạng mẫu trong việc xử lý các yếu tố nguy cơ tương tác phức tạp để dự đoán, một tiền thân của các ứng dụng học máy hiện đại trong chăm sóc sức khỏe.</w:t>
      </w:r>
    </w:p>
    <w:p xmlns:wp14="http://schemas.microsoft.com/office/word/2010/wordml" w:rsidP="2A4F8975" wp14:paraId="550FE1E5" wp14:textId="6FE7FE53">
      <w:pPr>
        <w:pStyle w:val="Normal"/>
        <w:rPr>
          <w:rFonts w:ascii="Aptos" w:hAnsi="Aptos"/>
          <w:b w:val="1"/>
          <w:bCs w:val="1"/>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8. Hội chứng Chuyển hóa</w:t>
      </w:r>
    </w:p>
    <w:p xmlns:wp14="http://schemas.microsoft.com/office/word/2010/wordml" w:rsidP="2A4F8975" wp14:paraId="7E1DA944" wp14:textId="1C0B2403">
      <w:pPr>
        <w:rPr>
          <w:rFonts w:ascii="Aptos" w:hAnsi="Aptos"/>
          <w:b w:val="0"/>
          <w:bCs w:val="0"/>
          <w:i w:val="0"/>
          <w:iCs w:val="0"/>
          <w:caps w:val="0"/>
          <w:smallCaps w:val="0"/>
          <w:noProof w:val="0"/>
          <w:sz w:val="24"/>
          <w:szCs w:val="24"/>
          <w:lang w:val="en-US"/>
        </w:rPr>
      </w:pPr>
      <w:r w:rsidRPr="2A4F8975" w:rsidR="3B208ECF">
        <w:rPr>
          <w:rFonts w:ascii="Aptos" w:hAnsi="Aptos"/>
          <w:b w:val="0"/>
          <w:bCs w:val="0"/>
          <w:i w:val="0"/>
          <w:iCs w:val="0"/>
          <w:caps w:val="0"/>
          <w:smallCaps w:val="0"/>
          <w:noProof w:val="0"/>
          <w:sz w:val="24"/>
          <w:szCs w:val="24"/>
          <w:lang w:val="en-US"/>
        </w:rPr>
        <w:t>Còn được gọi là Hội chứng X hoặc Hội chứng Kháng insulin, đây là một nhóm các tình trạng làm tăng nguy cơ mắc bệnh tim mạch và Đái tháo đường Type 2. WHO (1999) đề xuất một định nghĩa làm việc yêu cầu sự hiện diện của tình trạng không dung nạp glucose (đái tháo đường, IGT hoặc IFG) và/hoặc kháng insulin, cộng với hai hoặc nhiều hơn các điều kiện sau:</w:t>
      </w:r>
    </w:p>
    <w:p xmlns:wp14="http://schemas.microsoft.com/office/word/2010/wordml" w:rsidP="2A4F8975" wp14:paraId="0A73D301" wp14:textId="5851034D">
      <w:pPr>
        <w:pStyle w:val="Normal"/>
        <w:numPr>
          <w:ilvl w:val="0"/>
          <w:numId w:val="12"/>
        </w:numPr>
        <w:rPr>
          <w:rFonts w:ascii="Aptos" w:hAnsi="Aptos"/>
          <w:b w:val="0"/>
          <w:bCs w:val="0"/>
          <w:i w:val="0"/>
          <w:iCs w:val="0"/>
          <w:caps w:val="0"/>
          <w:smallCaps w:val="0"/>
          <w:noProof w:val="0"/>
          <w:sz w:val="24"/>
          <w:szCs w:val="24"/>
          <w:lang w:val="en-US"/>
        </w:rPr>
      </w:pPr>
      <w:r w:rsidRPr="2A4F8975" w:rsidR="3B208ECF">
        <w:rPr>
          <w:rFonts w:ascii="Aptos" w:hAnsi="Aptos"/>
          <w:b w:val="0"/>
          <w:bCs w:val="0"/>
          <w:i w:val="0"/>
          <w:iCs w:val="0"/>
          <w:caps w:val="0"/>
          <w:smallCaps w:val="0"/>
          <w:noProof w:val="0"/>
          <w:sz w:val="24"/>
          <w:szCs w:val="24"/>
          <w:lang w:val="en-US"/>
        </w:rPr>
        <w:t>Tăng huyết áp (≥140/90 mmHg)</w:t>
      </w:r>
    </w:p>
    <w:p xmlns:wp14="http://schemas.microsoft.com/office/word/2010/wordml" w:rsidP="2A4F8975" wp14:paraId="5C537606" wp14:textId="0B23056A">
      <w:pPr>
        <w:pStyle w:val="Normal"/>
        <w:numPr>
          <w:ilvl w:val="0"/>
          <w:numId w:val="12"/>
        </w:numPr>
        <w:rPr>
          <w:rFonts w:ascii="Aptos" w:hAnsi="Aptos"/>
          <w:b w:val="0"/>
          <w:bCs w:val="0"/>
          <w:i w:val="0"/>
          <w:iCs w:val="0"/>
          <w:caps w:val="0"/>
          <w:smallCaps w:val="0"/>
          <w:noProof w:val="0"/>
          <w:sz w:val="24"/>
          <w:szCs w:val="24"/>
          <w:lang w:val="en-US"/>
        </w:rPr>
      </w:pPr>
      <w:r w:rsidRPr="2A4F8975" w:rsidR="3B208ECF">
        <w:rPr>
          <w:rFonts w:ascii="Aptos" w:hAnsi="Aptos"/>
          <w:b w:val="0"/>
          <w:bCs w:val="0"/>
          <w:i w:val="0"/>
          <w:iCs w:val="0"/>
          <w:caps w:val="0"/>
          <w:smallCaps w:val="0"/>
          <w:noProof w:val="0"/>
          <w:sz w:val="24"/>
          <w:szCs w:val="24"/>
          <w:lang w:val="en-US"/>
        </w:rPr>
        <w:t>Tăng triglyceride (≥150 mg/dL) và/hoặc HDL cholesterol thấp</w:t>
      </w:r>
    </w:p>
    <w:p xmlns:wp14="http://schemas.microsoft.com/office/word/2010/wordml" w:rsidP="2A4F8975" wp14:paraId="10043664" wp14:textId="4B1E15A0">
      <w:pPr>
        <w:pStyle w:val="Normal"/>
        <w:numPr>
          <w:ilvl w:val="0"/>
          <w:numId w:val="12"/>
        </w:numPr>
        <w:rPr>
          <w:rFonts w:ascii="Aptos" w:hAnsi="Aptos"/>
          <w:b w:val="0"/>
          <w:bCs w:val="0"/>
          <w:i w:val="0"/>
          <w:iCs w:val="0"/>
          <w:caps w:val="0"/>
          <w:smallCaps w:val="0"/>
          <w:noProof w:val="0"/>
          <w:sz w:val="24"/>
          <w:szCs w:val="24"/>
          <w:lang w:val="en-US"/>
        </w:rPr>
      </w:pPr>
      <w:r w:rsidRPr="2A4F8975" w:rsidR="3B208ECF">
        <w:rPr>
          <w:rFonts w:ascii="Aptos" w:hAnsi="Aptos"/>
          <w:b w:val="0"/>
          <w:bCs w:val="0"/>
          <w:i w:val="0"/>
          <w:iCs w:val="0"/>
          <w:caps w:val="0"/>
          <w:smallCaps w:val="0"/>
          <w:noProof w:val="0"/>
          <w:sz w:val="24"/>
          <w:szCs w:val="24"/>
          <w:lang w:val="en-US"/>
        </w:rPr>
        <w:t>Béo phì trung tâm (Tỷ lệ vòng eo/hông &gt;0.90 ở nam, &gt;0.85 ở nữ) và/hoặc BMI &gt;30 kg/m²</w:t>
      </w:r>
    </w:p>
    <w:p xmlns:wp14="http://schemas.microsoft.com/office/word/2010/wordml" w:rsidP="2A4F8975" wp14:paraId="6232B601" wp14:textId="75ABDA49">
      <w:pPr>
        <w:pStyle w:val="Normal"/>
        <w:numPr>
          <w:ilvl w:val="0"/>
          <w:numId w:val="12"/>
        </w:numPr>
        <w:rPr>
          <w:rFonts w:ascii="Aptos" w:hAnsi="Aptos"/>
          <w:b w:val="0"/>
          <w:bCs w:val="0"/>
          <w:i w:val="0"/>
          <w:iCs w:val="0"/>
          <w:caps w:val="0"/>
          <w:smallCaps w:val="0"/>
          <w:noProof w:val="0"/>
          <w:sz w:val="24"/>
          <w:szCs w:val="24"/>
          <w:lang w:val="en-US"/>
        </w:rPr>
      </w:pPr>
      <w:r w:rsidRPr="2A4F8975" w:rsidR="3B208ECF">
        <w:rPr>
          <w:rFonts w:ascii="Aptos" w:hAnsi="Aptos"/>
          <w:b w:val="0"/>
          <w:bCs w:val="0"/>
          <w:i w:val="0"/>
          <w:iCs w:val="0"/>
          <w:caps w:val="0"/>
          <w:smallCaps w:val="0"/>
          <w:noProof w:val="0"/>
          <w:sz w:val="24"/>
          <w:szCs w:val="24"/>
          <w:lang w:val="en-US"/>
        </w:rPr>
        <w:t>Microalbumin niệu</w:t>
      </w:r>
    </w:p>
    <w:p xmlns:wp14="http://schemas.microsoft.com/office/word/2010/wordml" w:rsidP="2A4F8975" wp14:paraId="00F2479D" wp14:textId="02977DE7">
      <w:pPr>
        <w:pStyle w:val="Normal"/>
        <w:rPr>
          <w:rFonts w:ascii="Aptos" w:hAnsi="Aptos"/>
          <w:b w:val="1"/>
          <w:bCs w:val="1"/>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9. Kết luận</w:t>
      </w:r>
    </w:p>
    <w:p xmlns:wp14="http://schemas.microsoft.com/office/word/2010/wordml" w:rsidP="2A4F8975" wp14:paraId="2A13494C" wp14:textId="32568FA6">
      <w:pPr>
        <w:rPr>
          <w:rFonts w:ascii="Aptos" w:hAnsi="Aptos"/>
          <w:b w:val="0"/>
          <w:bCs w:val="0"/>
          <w:i w:val="0"/>
          <w:iCs w:val="0"/>
          <w:caps w:val="0"/>
          <w:smallCaps w:val="0"/>
          <w:noProof w:val="0"/>
          <w:sz w:val="24"/>
          <w:szCs w:val="24"/>
          <w:lang w:val="en-US"/>
        </w:rPr>
      </w:pPr>
      <w:r w:rsidRPr="2A4F8975" w:rsidR="3B208ECF">
        <w:rPr>
          <w:rFonts w:ascii="Aptos" w:hAnsi="Aptos"/>
          <w:b w:val="0"/>
          <w:bCs w:val="0"/>
          <w:i w:val="0"/>
          <w:iCs w:val="0"/>
          <w:caps w:val="0"/>
          <w:smallCaps w:val="0"/>
          <w:noProof w:val="0"/>
          <w:sz w:val="24"/>
          <w:szCs w:val="24"/>
          <w:lang w:val="en-US"/>
        </w:rPr>
        <w:t>Hiểu biết và phân loại bệnh đái tháo đường đã tiến bộ đáng kể từ công trình quan trọng của NDDG năm 1979 đến khuôn khổ lâm sàng và căn nguyên tinh vi do WHO cung cấp vào năm 1999. Các nguyên tắc cốt lõi của chẩn đoán dựa trên ngưỡng glucose tiêu chuẩn hóa vẫn được duy trì, nhưng trọng tâm đã chuyển sang việc hiểu nguyên nhân cơ bản và bản chất năng động của bệnh. Việc khám phá các thuật toán dự đoán, như được thấy trong nghiên cứu ADAP năm 1988, hướng tới một tương lai phòng ngừa và chăm sóc bệnh đái tháo đường chủ động và cá nhân hóa hơn. Quản lý hiệu quả đòi hỏi không chỉ kiểm soát đường huyết mà còn chú ý đến các tình trạng kết hợp như Hội chứng Chuyển hóa.</w:t>
      </w:r>
    </w:p>
    <w:p xmlns:wp14="http://schemas.microsoft.com/office/word/2010/wordml" w:rsidP="2A4F8975" wp14:paraId="4120C881" wp14:textId="74874121">
      <w:pPr>
        <w:pStyle w:val="Normal"/>
        <w:rPr>
          <w:rFonts w:ascii="Aptos" w:hAnsi="Aptos"/>
          <w:b w:val="1"/>
          <w:bCs w:val="1"/>
          <w:i w:val="0"/>
          <w:iCs w:val="0"/>
          <w:caps w:val="0"/>
          <w:smallCaps w:val="0"/>
          <w:noProof w:val="0"/>
          <w:sz w:val="24"/>
          <w:szCs w:val="24"/>
          <w:lang w:val="en-US"/>
        </w:rPr>
      </w:pPr>
      <w:r w:rsidRPr="2A4F8975" w:rsidR="3B208ECF">
        <w:rPr>
          <w:rFonts w:ascii="Aptos" w:hAnsi="Aptos"/>
          <w:b w:val="1"/>
          <w:bCs w:val="1"/>
          <w:i w:val="0"/>
          <w:iCs w:val="0"/>
          <w:caps w:val="0"/>
          <w:smallCaps w:val="0"/>
          <w:noProof w:val="0"/>
          <w:sz w:val="24"/>
          <w:szCs w:val="24"/>
          <w:lang w:val="en-US"/>
        </w:rPr>
        <w:t>10. Tài liệu Tham khảo</w:t>
      </w:r>
    </w:p>
    <w:p xmlns:wp14="http://schemas.microsoft.com/office/word/2010/wordml" w:rsidP="2A4F8975" wp14:paraId="21DA4A0A" wp14:textId="6B95151C">
      <w:pPr>
        <w:pStyle w:val="Normal"/>
        <w:numPr>
          <w:ilvl w:val="0"/>
          <w:numId w:val="13"/>
        </w:numPr>
        <w:rPr>
          <w:rFonts w:ascii="Aptos" w:hAnsi="Aptos"/>
          <w:b w:val="0"/>
          <w:bCs w:val="0"/>
          <w:i w:val="0"/>
          <w:iCs w:val="0"/>
          <w:caps w:val="0"/>
          <w:smallCaps w:val="0"/>
          <w:noProof w:val="0"/>
          <w:sz w:val="24"/>
          <w:szCs w:val="24"/>
          <w:lang w:val="en-US"/>
        </w:rPr>
      </w:pPr>
      <w:r w:rsidRPr="2A4F8975" w:rsidR="3B208ECF">
        <w:rPr>
          <w:rFonts w:ascii="Aptos" w:hAnsi="Aptos"/>
          <w:b w:val="0"/>
          <w:bCs w:val="0"/>
          <w:i w:val="0"/>
          <w:iCs w:val="0"/>
          <w:caps w:val="0"/>
          <w:smallCaps w:val="0"/>
          <w:noProof w:val="0"/>
          <w:sz w:val="24"/>
          <w:szCs w:val="24"/>
          <w:lang w:val="en-US"/>
        </w:rPr>
        <w:t xml:space="preserve">Tổ chức Y tế Thế giới. (1999). </w:t>
      </w:r>
      <w:r w:rsidRPr="2A4F8975" w:rsidR="3B208ECF">
        <w:rPr>
          <w:rFonts w:ascii="Aptos" w:hAnsi="Aptos"/>
          <w:b w:val="0"/>
          <w:bCs w:val="0"/>
          <w:i w:val="1"/>
          <w:iCs w:val="1"/>
          <w:caps w:val="0"/>
          <w:smallCaps w:val="0"/>
          <w:noProof w:val="0"/>
          <w:sz w:val="24"/>
          <w:szCs w:val="24"/>
          <w:lang w:val="en-US"/>
        </w:rPr>
        <w:t>Định nghĩa, Chẩn đoán và Phân loại Bệnh Đái tháo đường và các Biến chứng của nó. Báo cáo của một Cuộc Tư vấn WHO. Phần 1: Chẩn đoán và Phân loại Bệnh Đái tháo đường</w:t>
      </w:r>
      <w:r w:rsidRPr="2A4F8975" w:rsidR="3B208ECF">
        <w:rPr>
          <w:rFonts w:ascii="Aptos" w:hAnsi="Aptos"/>
          <w:b w:val="0"/>
          <w:bCs w:val="0"/>
          <w:i w:val="0"/>
          <w:iCs w:val="0"/>
          <w:caps w:val="0"/>
          <w:smallCaps w:val="0"/>
          <w:noProof w:val="0"/>
          <w:sz w:val="24"/>
          <w:szCs w:val="24"/>
          <w:lang w:val="en-US"/>
        </w:rPr>
        <w:t>. Geneva: WHO.</w:t>
      </w:r>
    </w:p>
    <w:p xmlns:wp14="http://schemas.microsoft.com/office/word/2010/wordml" w:rsidP="2A4F8975" wp14:paraId="68FC0B2A" wp14:textId="780D071D">
      <w:pPr>
        <w:pStyle w:val="Normal"/>
        <w:numPr>
          <w:ilvl w:val="0"/>
          <w:numId w:val="13"/>
        </w:numPr>
        <w:rPr>
          <w:rFonts w:ascii="Aptos" w:hAnsi="Aptos"/>
          <w:b w:val="0"/>
          <w:bCs w:val="0"/>
          <w:i w:val="0"/>
          <w:iCs w:val="0"/>
          <w:caps w:val="0"/>
          <w:smallCaps w:val="0"/>
          <w:noProof w:val="0"/>
          <w:sz w:val="24"/>
          <w:szCs w:val="24"/>
          <w:lang w:val="en-US"/>
        </w:rPr>
      </w:pPr>
      <w:r w:rsidRPr="2A4F8975" w:rsidR="3B208ECF">
        <w:rPr>
          <w:rFonts w:ascii="Aptos" w:hAnsi="Aptos"/>
          <w:b w:val="0"/>
          <w:bCs w:val="0"/>
          <w:i w:val="0"/>
          <w:iCs w:val="0"/>
          <w:caps w:val="0"/>
          <w:smallCaps w:val="0"/>
          <w:noProof w:val="0"/>
          <w:sz w:val="24"/>
          <w:szCs w:val="24"/>
          <w:lang w:val="en-US"/>
        </w:rPr>
        <w:t xml:space="preserve">National Diabetes Data Group. (1979). Phân loại và Chẩn đoán Bệnh Đái tháo đường và các Loại Không dung nạp Glucose Khác. </w:t>
      </w:r>
      <w:r w:rsidRPr="2A4F8975" w:rsidR="3B208ECF">
        <w:rPr>
          <w:rFonts w:ascii="Aptos" w:hAnsi="Aptos"/>
          <w:b w:val="0"/>
          <w:bCs w:val="0"/>
          <w:i w:val="1"/>
          <w:iCs w:val="1"/>
          <w:caps w:val="0"/>
          <w:smallCaps w:val="0"/>
          <w:noProof w:val="0"/>
          <w:sz w:val="24"/>
          <w:szCs w:val="24"/>
          <w:lang w:val="en-US"/>
        </w:rPr>
        <w:t>Diabetes</w:t>
      </w:r>
      <w:r w:rsidRPr="2A4F8975" w:rsidR="3B208ECF">
        <w:rPr>
          <w:rFonts w:ascii="Aptos" w:hAnsi="Aptos"/>
          <w:b w:val="0"/>
          <w:bCs w:val="0"/>
          <w:i w:val="0"/>
          <w:iCs w:val="0"/>
          <w:caps w:val="0"/>
          <w:smallCaps w:val="0"/>
          <w:noProof w:val="0"/>
          <w:sz w:val="24"/>
          <w:szCs w:val="24"/>
          <w:lang w:val="en-US"/>
        </w:rPr>
        <w:t>, 28(12), 1039–1057.</w:t>
      </w:r>
    </w:p>
    <w:p xmlns:wp14="http://schemas.microsoft.com/office/word/2010/wordml" w:rsidP="2A4F8975" wp14:paraId="3F9DA265" wp14:textId="5F6FFE02">
      <w:pPr>
        <w:pStyle w:val="Normal"/>
        <w:numPr>
          <w:ilvl w:val="0"/>
          <w:numId w:val="13"/>
        </w:numPr>
        <w:rPr>
          <w:rFonts w:ascii="Aptos" w:hAnsi="Aptos"/>
          <w:b w:val="0"/>
          <w:bCs w:val="0"/>
          <w:i w:val="0"/>
          <w:iCs w:val="0"/>
          <w:caps w:val="0"/>
          <w:smallCaps w:val="0"/>
          <w:noProof w:val="0"/>
          <w:sz w:val="24"/>
          <w:szCs w:val="24"/>
          <w:lang w:val="en-US"/>
        </w:rPr>
      </w:pPr>
      <w:r w:rsidRPr="2A4F8975" w:rsidR="3B208ECF">
        <w:rPr>
          <w:rFonts w:ascii="Aptos" w:hAnsi="Aptos"/>
          <w:b w:val="0"/>
          <w:bCs w:val="0"/>
          <w:i w:val="0"/>
          <w:iCs w:val="0"/>
          <w:caps w:val="0"/>
          <w:smallCaps w:val="0"/>
          <w:noProof w:val="0"/>
          <w:sz w:val="24"/>
          <w:szCs w:val="24"/>
          <w:lang w:val="en-US"/>
        </w:rPr>
        <w:t xml:space="preserve">Smith, J. W., Everhart, J. E., Dickson, W. C., Knowler, W. C., &amp; Johannes, R. S. (1988). Sử dụng Thuật toán Học ADAP để Dự báo Khởi phát Bệnh Đái tháo đường. </w:t>
      </w:r>
      <w:r w:rsidRPr="2A4F8975" w:rsidR="3B208ECF">
        <w:rPr>
          <w:rFonts w:ascii="Aptos" w:hAnsi="Aptos"/>
          <w:b w:val="0"/>
          <w:bCs w:val="0"/>
          <w:i w:val="1"/>
          <w:iCs w:val="1"/>
          <w:caps w:val="0"/>
          <w:smallCaps w:val="0"/>
          <w:noProof w:val="0"/>
          <w:sz w:val="24"/>
          <w:szCs w:val="24"/>
          <w:lang w:val="en-US"/>
        </w:rPr>
        <w:t>Kỷ yếu Hội nghị về Ứng dụng Máy tính và Chăm sóc Y tế</w:t>
      </w:r>
      <w:r w:rsidRPr="2A4F8975" w:rsidR="3B208ECF">
        <w:rPr>
          <w:rFonts w:ascii="Aptos" w:hAnsi="Aptos"/>
          <w:b w:val="0"/>
          <w:bCs w:val="0"/>
          <w:i w:val="0"/>
          <w:iCs w:val="0"/>
          <w:caps w:val="0"/>
          <w:smallCaps w:val="0"/>
          <w:noProof w:val="0"/>
          <w:sz w:val="24"/>
          <w:szCs w:val="24"/>
          <w:lang w:val="en-US"/>
        </w:rPr>
        <w:t>, 261–265.</w:t>
      </w:r>
    </w:p>
    <w:p xmlns:wp14="http://schemas.microsoft.com/office/word/2010/wordml" w:rsidP="2A4F8975" wp14:paraId="6C31D8ED" wp14:textId="1F748E59">
      <w:pPr>
        <w:rPr>
          <w:rFonts w:ascii="Aptos" w:hAnsi="Aptos"/>
          <w:sz w:val="24"/>
          <w:szCs w:val="24"/>
        </w:rPr>
      </w:pPr>
    </w:p>
    <w:p xmlns:wp14="http://schemas.microsoft.com/office/word/2010/wordml" wp14:paraId="2C078E63" wp14:textId="7ECF7CED"/>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62329b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e09b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19884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30f4a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8b10a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d3768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93d01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187e9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23f95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30af9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f5e07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fbd7c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300db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562D73"/>
    <w:rsid w:val="2A4F8975"/>
    <w:rsid w:val="3218AE2A"/>
    <w:rsid w:val="3B208ECF"/>
    <w:rsid w:val="69562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2D73"/>
  <w15:chartTrackingRefBased/>
  <w15:docId w15:val="{C83ABDFD-3C28-4AC0-BEE6-082F9CE619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eb5d0cd60fe4f7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2025-09-25T01:02:28.8148032Z</dcterms:created>
  <dcterms:modified xsi:type="dcterms:W3CDTF">2025-09-25T01:03:43.1421263Z</dcterms:modified>
  <dc:creator>FinalBurnt Man</dc:creator>
  <lastModifiedBy>FinalBurnt Man</lastModifiedBy>
</coreProperties>
</file>