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 WI153 placeholder: ssad committee footer pending decision — ARB/TAC vs Design Authority. Distinct file exists so this can be set without code changes. -->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spacing w:before="120"/>
      <w:outlineLvl w:val="2"/>
    </w:pPr>
    <w:rPr>
      <w:i/>
      <w:iCs/>
      <w:sz w:val="24"/>
      <w:szCs w:val="24"/>
    </w:rPr>
  </w:style>
  <w:style w:type="paragraph" w:styleId="Heading4">
    <w:name w:val="heading 4"/>
    <w:basedOn w:val="Normal"/>
    <w:next w:val="Normal"/>
    <w:link w:val="Heading4Char"/>
    <w:autoRedefine/>
    <w:uiPriority w:val="99"/>
    <w:qFormat/>
    <w:rsid w:val="001D4DBB"/>
    <w:pPr>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numPr>
        <w:ilvl w:val="4"/>
        <w:numId w:val="15"/>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style>
  <w:style xmlns:w="http://schemas.openxmlformats.org/wordprocessingml/2006/main" w:type="paragraph" w:customStyle="1" w:styleId="Figure">
    <w:name w:val="Figure"/>
    <w:basedOn w:val="Normal"/>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