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Pr>
        <w:color w:val="BFBFBF" w:themeColor="background1" w:themeShade="BF"/>
      </w:rPr>
      <w:t xml:space="preserve">Technical Architecture Committee </w:t>
    </w:r>
    <w:r w:rsidR="00AF66CB" w:rsidRPr="003E26AF">
      <w:rPr>
        <w:rStyle w:val="PageNumber"/>
        <w:color w:val="BFBFBF" w:themeColor="background1" w:themeShade="BF"/>
      </w:rPr>
      <w:t xml:space="preserve">– </w:t>
    </w:r>
    <w:r w:rsidR="00772D6D">
      <w:rPr>
        <w:rStyle w:val="PageNumber"/>
        <w:color w:val="BFBFBF" w:themeColor="background1" w:themeShade="BF"/>
      </w:rPr>
      <w:t>High Level Solution Design</w:t>
    </w: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