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de Cobertura de Testing</w:t>
      </w:r>
    </w:p>
    <w:p>
      <w:pPr>
        <w:jc w:val="center"/>
      </w:pPr>
      <w:r>
        <w:rPr>
          <w:b/>
        </w:rPr>
        <w:t>Pixel Game · Evaluación Parcial 2 · Jasmine + Karma</w:t>
      </w:r>
    </w:p>
    <w:p>
      <w:r>
        <w:t>Versión: 1.0 · Fecha: 28/10/2026 · Responsable: Benjamin Cordova</w:t>
      </w:r>
    </w:p>
    <w:p>
      <w:pPr>
        <w:pStyle w:val="Heading1"/>
      </w:pPr>
      <w:r>
        <w:t>1. Objetivo</w:t>
      </w:r>
    </w:p>
    <w:p>
      <w:r>
        <w:t>Definir el alcance de las pruebas unitarias del frontend, indicando qué comportamientos se verifican, los datos utilizados, el resultado esperado y las limitaciones de cobertura.</w:t>
      </w:r>
    </w:p>
    <w:p>
      <w:pPr>
        <w:pStyle w:val="Heading1"/>
      </w:pPr>
      <w:r>
        <w:t>2. Herramientas y ejecución</w:t>
      </w:r>
    </w:p>
    <w:p>
      <w:r>
        <w:t>La suite solicitada por la pauta se ejecuta con Jasmine como framework de pruebas y Karma como ejecutor en navegador. Los componentes se montan con React Testing Library y las expectativas utilizan Jasmine. Comando: npm run test:karma. Requiere instalar dependencias con npm install y disponer de Chrome/Chromium.</w:t>
      </w:r>
    </w:p>
    <w:p>
      <w:r>
        <w:t>El proyecto también conserva npm test de Create React App para la prueba de integración básica App.test.js. Esta prueba usa el entorno predeterminado de Create React App; no debe confundirse con la suite Jasmine/Karma.</w:t>
      </w:r>
    </w:p>
    <w:p>
      <w:pPr>
        <w:pStyle w:val="Heading1"/>
      </w:pPr>
      <w:r>
        <w:t>3. Alcance funcional revisado</w:t>
      </w:r>
    </w:p>
    <w:p>
      <w:pPr>
        <w:pStyle w:val="ListBullet"/>
      </w:pPr>
      <w:r>
        <w:t>Renderizado de nombre, precio y etiqueta de oferta.</w:t>
      </w:r>
    </w:p>
    <w:p>
      <w:pPr>
        <w:pStyle w:val="ListBullet"/>
      </w:pPr>
      <w:r>
        <w:t>Evento del botón para agregar un producto.</w:t>
      </w:r>
    </w:p>
    <w:p>
      <w:pPr>
        <w:pStyle w:val="ListBullet"/>
      </w:pPr>
      <w:r>
        <w:t>Estado vacío de la lista.</w:t>
      </w:r>
    </w:p>
    <w:p>
      <w:pPr>
        <w:pStyle w:val="ListBullet"/>
      </w:pPr>
      <w:r>
        <w:t>Filtrado por nombre.</w:t>
      </w:r>
    </w:p>
    <w:p>
      <w:pPr>
        <w:pStyle w:val="ListBullet"/>
      </w:pPr>
      <w:r>
        <w:t>CRUD de la fuente de datos simulada.</w:t>
      </w:r>
    </w:p>
    <w:p>
      <w:pPr>
        <w:pStyle w:val="ListBullet"/>
      </w:pPr>
      <w:r>
        <w:t>Formato de precio en pesos chilenos.</w:t>
      </w:r>
    </w:p>
    <w:p>
      <w:pPr>
        <w:pStyle w:val="ListBullet"/>
      </w:pPr>
      <w:r>
        <w:t>Validación de RUT.</w:t>
      </w:r>
    </w:p>
    <w:p>
      <w:pPr>
        <w:pStyle w:val="ListBullet"/>
      </w:pPr>
      <w:r>
        <w:t>Validación inicial del formulario de registro.</w:t>
      </w:r>
    </w:p>
    <w:p>
      <w:pPr>
        <w:pStyle w:val="ListBullet"/>
      </w:pPr>
      <w:r>
        <w:t>Estado de carrito vacío en checkout.</w:t>
      </w:r>
    </w:p>
    <w:p>
      <w:pPr>
        <w:pStyle w:val="Heading1"/>
      </w:pPr>
      <w:r>
        <w:t>4. Matriz de pruebas</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Elemento</w:t>
            </w:r>
          </w:p>
        </w:tc>
        <w:tc>
          <w:tcPr>
            <w:tcW w:type="dxa" w:w="1440"/>
          </w:tcPr>
          <w:p>
            <w:r>
              <w:t>Tipo</w:t>
            </w:r>
          </w:p>
        </w:tc>
        <w:tc>
          <w:tcPr>
            <w:tcW w:type="dxa" w:w="1440"/>
          </w:tcPr>
          <w:p>
            <w:r>
              <w:t>Caso</w:t>
            </w:r>
          </w:p>
        </w:tc>
        <w:tc>
          <w:tcPr>
            <w:tcW w:type="dxa" w:w="1440"/>
          </w:tcPr>
          <w:p>
            <w:r>
              <w:t>Resultado esperado</w:t>
            </w:r>
          </w:p>
        </w:tc>
        <w:tc>
          <w:tcPr>
            <w:tcW w:type="dxa" w:w="1440"/>
          </w:tcPr>
          <w:p>
            <w:r>
              <w:t>Prioridad</w:t>
            </w:r>
          </w:p>
        </w:tc>
      </w:tr>
      <w:tr>
        <w:tc>
          <w:tcPr>
            <w:tcW w:type="dxa" w:w="1440"/>
            <w:vAlign w:val="center"/>
          </w:tcPr>
          <w:p>
            <w:r>
              <w:t>PG-01</w:t>
            </w:r>
          </w:p>
        </w:tc>
        <w:tc>
          <w:tcPr>
            <w:tcW w:type="dxa" w:w="1440"/>
            <w:vAlign w:val="center"/>
          </w:tcPr>
          <w:p>
            <w:r>
              <w:t>ProductCard</w:t>
            </w:r>
          </w:p>
        </w:tc>
        <w:tc>
          <w:tcPr>
            <w:tcW w:type="dxa" w:w="1440"/>
            <w:vAlign w:val="center"/>
          </w:tcPr>
          <w:p>
            <w:r>
              <w:t>Renderizado</w:t>
            </w:r>
          </w:p>
        </w:tc>
        <w:tc>
          <w:tcPr>
            <w:tcW w:type="dxa" w:w="1440"/>
            <w:vAlign w:val="center"/>
          </w:tcPr>
          <w:p>
            <w:r>
              <w:t>Mostrar nombre y precio</w:t>
            </w:r>
          </w:p>
        </w:tc>
        <w:tc>
          <w:tcPr>
            <w:tcW w:type="dxa" w:w="1440"/>
            <w:vAlign w:val="center"/>
          </w:tcPr>
          <w:p>
            <w:r>
              <w:t>Nombre y precio del producto de prueba visibles</w:t>
            </w:r>
          </w:p>
        </w:tc>
        <w:tc>
          <w:tcPr>
            <w:tcW w:type="dxa" w:w="1440"/>
            <w:vAlign w:val="center"/>
          </w:tcPr>
          <w:p>
            <w:r>
              <w:t>Alta</w:t>
            </w:r>
          </w:p>
        </w:tc>
      </w:tr>
      <w:tr>
        <w:tc>
          <w:tcPr>
            <w:tcW w:type="dxa" w:w="1440"/>
            <w:vAlign w:val="center"/>
          </w:tcPr>
          <w:p>
            <w:r>
              <w:t>PG-02</w:t>
            </w:r>
          </w:p>
        </w:tc>
        <w:tc>
          <w:tcPr>
            <w:tcW w:type="dxa" w:w="1440"/>
            <w:vAlign w:val="center"/>
          </w:tcPr>
          <w:p>
            <w:r>
              <w:t>ProductCard</w:t>
            </w:r>
          </w:p>
        </w:tc>
        <w:tc>
          <w:tcPr>
            <w:tcW w:type="dxa" w:w="1440"/>
            <w:vAlign w:val="center"/>
          </w:tcPr>
          <w:p>
            <w:r>
              <w:t>Renderizado condicional</w:t>
            </w:r>
          </w:p>
        </w:tc>
        <w:tc>
          <w:tcPr>
            <w:tcW w:type="dxa" w:w="1440"/>
            <w:vAlign w:val="center"/>
          </w:tcPr>
          <w:p>
            <w:r>
              <w:t>Mostrar etiqueta Oferta</w:t>
            </w:r>
          </w:p>
        </w:tc>
        <w:tc>
          <w:tcPr>
            <w:tcW w:type="dxa" w:w="1440"/>
            <w:vAlign w:val="center"/>
          </w:tcPr>
          <w:p>
            <w:r>
              <w:t>La etiqueta aparece si oferta=true</w:t>
            </w:r>
          </w:p>
        </w:tc>
        <w:tc>
          <w:tcPr>
            <w:tcW w:type="dxa" w:w="1440"/>
            <w:vAlign w:val="center"/>
          </w:tcPr>
          <w:p>
            <w:r>
              <w:t>Media</w:t>
            </w:r>
          </w:p>
        </w:tc>
      </w:tr>
      <w:tr>
        <w:tc>
          <w:tcPr>
            <w:tcW w:type="dxa" w:w="1440"/>
            <w:vAlign w:val="center"/>
          </w:tcPr>
          <w:p>
            <w:r>
              <w:t>PG-03</w:t>
            </w:r>
          </w:p>
        </w:tc>
        <w:tc>
          <w:tcPr>
            <w:tcW w:type="dxa" w:w="1440"/>
            <w:vAlign w:val="center"/>
          </w:tcPr>
          <w:p>
            <w:r>
              <w:t>ProductCard</w:t>
            </w:r>
          </w:p>
        </w:tc>
        <w:tc>
          <w:tcPr>
            <w:tcW w:type="dxa" w:w="1440"/>
            <w:vAlign w:val="center"/>
          </w:tcPr>
          <w:p>
            <w:r>
              <w:t>Evento</w:t>
            </w:r>
          </w:p>
        </w:tc>
        <w:tc>
          <w:tcPr>
            <w:tcW w:type="dxa" w:w="1440"/>
            <w:vAlign w:val="center"/>
          </w:tcPr>
          <w:p>
            <w:r>
              <w:t>Clic en Agregar</w:t>
            </w:r>
          </w:p>
        </w:tc>
        <w:tc>
          <w:tcPr>
            <w:tcW w:type="dxa" w:w="1440"/>
            <w:vAlign w:val="center"/>
          </w:tcPr>
          <w:p>
            <w:r>
              <w:t>La función recibe el producto correcto</w:t>
            </w:r>
          </w:p>
        </w:tc>
        <w:tc>
          <w:tcPr>
            <w:tcW w:type="dxa" w:w="1440"/>
            <w:vAlign w:val="center"/>
          </w:tcPr>
          <w:p>
            <w:r>
              <w:t>Alta</w:t>
            </w:r>
          </w:p>
        </w:tc>
      </w:tr>
      <w:tr>
        <w:tc>
          <w:tcPr>
            <w:tcW w:type="dxa" w:w="1440"/>
            <w:vAlign w:val="center"/>
          </w:tcPr>
          <w:p>
            <w:r>
              <w:t>PG-04</w:t>
            </w:r>
          </w:p>
        </w:tc>
        <w:tc>
          <w:tcPr>
            <w:tcW w:type="dxa" w:w="1440"/>
            <w:vAlign w:val="center"/>
          </w:tcPr>
          <w:p>
            <w:r>
              <w:t>ProductList</w:t>
            </w:r>
          </w:p>
        </w:tc>
        <w:tc>
          <w:tcPr>
            <w:tcW w:type="dxa" w:w="1440"/>
            <w:vAlign w:val="center"/>
          </w:tcPr>
          <w:p>
            <w:r>
              <w:t>Estado vacío</w:t>
            </w:r>
          </w:p>
        </w:tc>
        <w:tc>
          <w:tcPr>
            <w:tcW w:type="dxa" w:w="1440"/>
            <w:vAlign w:val="center"/>
          </w:tcPr>
          <w:p>
            <w:r>
              <w:t>Lista sin productos</w:t>
            </w:r>
          </w:p>
        </w:tc>
        <w:tc>
          <w:tcPr>
            <w:tcW w:type="dxa" w:w="1440"/>
            <w:vAlign w:val="center"/>
          </w:tcPr>
          <w:p>
            <w:r>
              <w:t>Se muestra mensaje de lista vacía</w:t>
            </w:r>
          </w:p>
        </w:tc>
        <w:tc>
          <w:tcPr>
            <w:tcW w:type="dxa" w:w="1440"/>
            <w:vAlign w:val="center"/>
          </w:tcPr>
          <w:p>
            <w:r>
              <w:t>Media</w:t>
            </w:r>
          </w:p>
        </w:tc>
      </w:tr>
      <w:tr>
        <w:tc>
          <w:tcPr>
            <w:tcW w:type="dxa" w:w="1440"/>
            <w:vAlign w:val="center"/>
          </w:tcPr>
          <w:p>
            <w:r>
              <w:t>PG-05</w:t>
            </w:r>
          </w:p>
        </w:tc>
        <w:tc>
          <w:tcPr>
            <w:tcW w:type="dxa" w:w="1440"/>
            <w:vAlign w:val="center"/>
          </w:tcPr>
          <w:p>
            <w:r>
              <w:t>filtrarProductos</w:t>
            </w:r>
          </w:p>
        </w:tc>
        <w:tc>
          <w:tcPr>
            <w:tcW w:type="dxa" w:w="1440"/>
            <w:vAlign w:val="center"/>
          </w:tcPr>
          <w:p>
            <w:r>
              <w:t>Lógica</w:t>
            </w:r>
          </w:p>
        </w:tc>
        <w:tc>
          <w:tcPr>
            <w:tcW w:type="dxa" w:w="1440"/>
            <w:vAlign w:val="center"/>
          </w:tcPr>
          <w:p>
            <w:r>
              <w:t>Buscar por nombre</w:t>
            </w:r>
          </w:p>
        </w:tc>
        <w:tc>
          <w:tcPr>
            <w:tcW w:type="dxa" w:w="1440"/>
            <w:vAlign w:val="center"/>
          </w:tcPr>
          <w:p>
            <w:r>
              <w:t>Devuelve solo el producto coincidente</w:t>
            </w:r>
          </w:p>
        </w:tc>
        <w:tc>
          <w:tcPr>
            <w:tcW w:type="dxa" w:w="1440"/>
            <w:vAlign w:val="center"/>
          </w:tcPr>
          <w:p>
            <w:r>
              <w:t>Alta</w:t>
            </w:r>
          </w:p>
        </w:tc>
      </w:tr>
      <w:tr>
        <w:tc>
          <w:tcPr>
            <w:tcW w:type="dxa" w:w="1440"/>
            <w:vAlign w:val="center"/>
          </w:tcPr>
          <w:p>
            <w:r>
              <w:t>PG-06</w:t>
            </w:r>
          </w:p>
        </w:tc>
        <w:tc>
          <w:tcPr>
            <w:tcW w:type="dxa" w:w="1440"/>
            <w:vAlign w:val="center"/>
          </w:tcPr>
          <w:p>
            <w:r>
              <w:t>CRUD productos</w:t>
            </w:r>
          </w:p>
        </w:tc>
        <w:tc>
          <w:tcPr>
            <w:tcW w:type="dxa" w:w="1440"/>
            <w:vAlign w:val="center"/>
          </w:tcPr>
          <w:p>
            <w:r>
              <w:t>Datos</w:t>
            </w:r>
          </w:p>
        </w:tc>
        <w:tc>
          <w:tcPr>
            <w:tcW w:type="dxa" w:w="1440"/>
            <w:vAlign w:val="center"/>
          </w:tcPr>
          <w:p>
            <w:r>
              <w:t>Crear, actualizar y eliminar</w:t>
            </w:r>
          </w:p>
        </w:tc>
        <w:tc>
          <w:tcPr>
            <w:tcW w:type="dxa" w:w="1440"/>
            <w:vAlign w:val="center"/>
          </w:tcPr>
          <w:p>
            <w:r>
              <w:t>Cantidad y nombre reflejan cada operación</w:t>
            </w:r>
          </w:p>
        </w:tc>
        <w:tc>
          <w:tcPr>
            <w:tcW w:type="dxa" w:w="1440"/>
            <w:vAlign w:val="center"/>
          </w:tcPr>
          <w:p>
            <w:r>
              <w:t>Alta</w:t>
            </w:r>
          </w:p>
        </w:tc>
      </w:tr>
      <w:tr>
        <w:tc>
          <w:tcPr>
            <w:tcW w:type="dxa" w:w="1440"/>
            <w:vAlign w:val="center"/>
          </w:tcPr>
          <w:p>
            <w:r>
              <w:t>PG-07</w:t>
            </w:r>
          </w:p>
        </w:tc>
        <w:tc>
          <w:tcPr>
            <w:tcW w:type="dxa" w:w="1440"/>
            <w:vAlign w:val="center"/>
          </w:tcPr>
          <w:p>
            <w:r>
              <w:t>formatoPrecio</w:t>
            </w:r>
          </w:p>
        </w:tc>
        <w:tc>
          <w:tcPr>
            <w:tcW w:type="dxa" w:w="1440"/>
            <w:vAlign w:val="center"/>
          </w:tcPr>
          <w:p>
            <w:r>
              <w:t>Formato</w:t>
            </w:r>
          </w:p>
        </w:tc>
        <w:tc>
          <w:tcPr>
            <w:tcW w:type="dxa" w:w="1440"/>
            <w:vAlign w:val="center"/>
          </w:tcPr>
          <w:p>
            <w:r>
              <w:t>Precio 19990</w:t>
            </w:r>
          </w:p>
        </w:tc>
        <w:tc>
          <w:tcPr>
            <w:tcW w:type="dxa" w:w="1440"/>
            <w:vAlign w:val="center"/>
          </w:tcPr>
          <w:p>
            <w:r>
              <w:t>Devuelve $19.990 en configuración es-CL</w:t>
            </w:r>
          </w:p>
        </w:tc>
        <w:tc>
          <w:tcPr>
            <w:tcW w:type="dxa" w:w="1440"/>
            <w:vAlign w:val="center"/>
          </w:tcPr>
          <w:p>
            <w:r>
              <w:t>Media</w:t>
            </w:r>
          </w:p>
        </w:tc>
      </w:tr>
      <w:tr>
        <w:tc>
          <w:tcPr>
            <w:tcW w:type="dxa" w:w="1440"/>
            <w:vAlign w:val="center"/>
          </w:tcPr>
          <w:p>
            <w:r>
              <w:t>PG-08</w:t>
            </w:r>
          </w:p>
        </w:tc>
        <w:tc>
          <w:tcPr>
            <w:tcW w:type="dxa" w:w="1440"/>
            <w:vAlign w:val="center"/>
          </w:tcPr>
          <w:p>
            <w:r>
              <w:t>validarRut</w:t>
            </w:r>
          </w:p>
        </w:tc>
        <w:tc>
          <w:tcPr>
            <w:tcW w:type="dxa" w:w="1440"/>
            <w:vAlign w:val="center"/>
          </w:tcPr>
          <w:p>
            <w:r>
              <w:t>Validación</w:t>
            </w:r>
          </w:p>
        </w:tc>
        <w:tc>
          <w:tcPr>
            <w:tcW w:type="dxa" w:w="1440"/>
            <w:vAlign w:val="center"/>
          </w:tcPr>
          <w:p>
            <w:r>
              <w:t>RUT 12.345.678-5</w:t>
            </w:r>
          </w:p>
        </w:tc>
        <w:tc>
          <w:tcPr>
            <w:tcW w:type="dxa" w:w="1440"/>
            <w:vAlign w:val="center"/>
          </w:tcPr>
          <w:p>
            <w:r>
              <w:t>La función devuelve true</w:t>
            </w:r>
          </w:p>
        </w:tc>
        <w:tc>
          <w:tcPr>
            <w:tcW w:type="dxa" w:w="1440"/>
            <w:vAlign w:val="center"/>
          </w:tcPr>
          <w:p>
            <w:r>
              <w:t>Alta</w:t>
            </w:r>
          </w:p>
        </w:tc>
      </w:tr>
      <w:tr>
        <w:tc>
          <w:tcPr>
            <w:tcW w:type="dxa" w:w="1440"/>
            <w:vAlign w:val="center"/>
          </w:tcPr>
          <w:p>
            <w:r>
              <w:t>PG-09</w:t>
            </w:r>
          </w:p>
        </w:tc>
        <w:tc>
          <w:tcPr>
            <w:tcW w:type="dxa" w:w="1440"/>
            <w:vAlign w:val="center"/>
          </w:tcPr>
          <w:p>
            <w:r>
              <w:t>RegisterForm</w:t>
            </w:r>
          </w:p>
        </w:tc>
        <w:tc>
          <w:tcPr>
            <w:tcW w:type="dxa" w:w="1440"/>
            <w:vAlign w:val="center"/>
          </w:tcPr>
          <w:p>
            <w:r>
              <w:t>Validación de formulario</w:t>
            </w:r>
          </w:p>
        </w:tc>
        <w:tc>
          <w:tcPr>
            <w:tcW w:type="dxa" w:w="1440"/>
            <w:vAlign w:val="center"/>
          </w:tcPr>
          <w:p>
            <w:r>
              <w:t>Enviar formulario vacío</w:t>
            </w:r>
          </w:p>
        </w:tc>
        <w:tc>
          <w:tcPr>
            <w:tcW w:type="dxa" w:w="1440"/>
            <w:vAlign w:val="center"/>
          </w:tcPr>
          <w:p>
            <w:r>
              <w:t>Muestra mensaje de nombre requerido</w:t>
            </w:r>
          </w:p>
        </w:tc>
        <w:tc>
          <w:tcPr>
            <w:tcW w:type="dxa" w:w="1440"/>
            <w:vAlign w:val="center"/>
          </w:tcPr>
          <w:p>
            <w:r>
              <w:t>Alta</w:t>
            </w:r>
          </w:p>
        </w:tc>
      </w:tr>
      <w:tr>
        <w:tc>
          <w:tcPr>
            <w:tcW w:type="dxa" w:w="1440"/>
            <w:vAlign w:val="center"/>
          </w:tcPr>
          <w:p>
            <w:r>
              <w:t>PG-10</w:t>
            </w:r>
          </w:p>
        </w:tc>
        <w:tc>
          <w:tcPr>
            <w:tcW w:type="dxa" w:w="1440"/>
            <w:vAlign w:val="center"/>
          </w:tcPr>
          <w:p>
            <w:r>
              <w:t>CheckoutForm</w:t>
            </w:r>
          </w:p>
        </w:tc>
        <w:tc>
          <w:tcPr>
            <w:tcW w:type="dxa" w:w="1440"/>
            <w:vAlign w:val="center"/>
          </w:tcPr>
          <w:p>
            <w:r>
              <w:t>Estado vacío</w:t>
            </w:r>
          </w:p>
        </w:tc>
        <w:tc>
          <w:tcPr>
            <w:tcW w:type="dxa" w:w="1440"/>
            <w:vAlign w:val="center"/>
          </w:tcPr>
          <w:p>
            <w:r>
              <w:t>Checkout sin productos</w:t>
            </w:r>
          </w:p>
        </w:tc>
        <w:tc>
          <w:tcPr>
            <w:tcW w:type="dxa" w:w="1440"/>
            <w:vAlign w:val="center"/>
          </w:tcPr>
          <w:p>
            <w:r>
              <w:t>Solicita agregar juegos antes de continuar</w:t>
            </w:r>
          </w:p>
        </w:tc>
        <w:tc>
          <w:tcPr>
            <w:tcW w:type="dxa" w:w="1440"/>
            <w:vAlign w:val="center"/>
          </w:tcPr>
          <w:p>
            <w:r>
              <w:t>Media</w:t>
            </w:r>
          </w:p>
        </w:tc>
      </w:tr>
    </w:tbl>
    <w:p>
      <w:pPr>
        <w:pStyle w:val="Heading1"/>
      </w:pPr>
      <w:r>
        <w:t>5. Cobertura funcional</w:t>
      </w:r>
    </w:p>
    <w:p>
      <w:r>
        <w:t>La suite contiene 10 casos, que corresponde a la meta de diez pruebas indicada en la rúbrica. Las pruebas cubren funciones de datos y comportamientos de componentes seleccionados. No se declara cobertura porcentual de líneas porque no se ha ejecutado un reporte de cobertura automatizado en un entorno con dependencias instaladas.</w:t>
      </w:r>
    </w:p>
    <w:p>
      <w:pPr>
        <w:pStyle w:val="Heading1"/>
      </w:pPr>
      <w:r>
        <w:t>6. Mocks y aislamiento</w:t>
      </w:r>
    </w:p>
    <w:p>
      <w:r>
        <w:t>Los callbacks de ProductCard se sustituyen por funciones simples para verificar que se invoquen con el producto correcto. localStorage se limpia después de cada caso para evitar que los datos de una prueba afecten a otra. Los productos de prueba son objetos definidos dentro del archivo de pruebas y no dependen de una API externa.</w:t>
      </w:r>
    </w:p>
    <w:p>
      <w:pPr>
        <w:pStyle w:val="Heading1"/>
      </w:pPr>
      <w:r>
        <w:t>7. Ejecución y registro de resultados</w:t>
      </w:r>
    </w:p>
    <w:p>
      <w:r>
        <w:t>1. Abrir terminal en la carpeta del proyecto.</w:t>
        <w:br/>
        <w:t>2. Ejecutar npm install.</w:t>
        <w:br/>
        <w:t>3. Ejecutar npm run test:karma.</w:t>
        <w:br/>
        <w:t>4. Revisar el resumen de Jasmine en la terminal y corregir cualquier fallo.</w:t>
        <w:br/>
        <w:t>5. Ejecutar npm run build para comprobar la compilación.</w:t>
        <w:br/>
        <w:t>6. Registrar en la entrega la fecha, el entorno y el resultado real de la ejecución.</w:t>
      </w:r>
    </w:p>
    <w:p>
      <w:r>
        <w:t>Estado del informe: casos y configuración preparados; la ejecución debe realizarse en el equipo donde se instalen las dependencias. No se afirma que las pruebas hayan pasado sin haberlas ejecutado.</w:t>
      </w:r>
    </w:p>
    <w:p>
      <w:pPr>
        <w:pStyle w:val="Heading1"/>
      </w:pPr>
      <w:r>
        <w:t>8. Riesgos y límites</w:t>
      </w:r>
    </w:p>
    <w:p>
      <w:pPr>
        <w:pStyle w:val="ListBullet"/>
      </w:pPr>
      <w:r>
        <w:t>Karma necesita un Chrome/Chromium compatible y dependencias instaladas.</w:t>
      </w:r>
    </w:p>
    <w:p>
      <w:pPr>
        <w:pStyle w:val="ListBullet"/>
      </w:pPr>
      <w:r>
        <w:t>La persistencia local no permite validar comportamiento de una base de datos real.</w:t>
      </w:r>
    </w:p>
    <w:p>
      <w:pPr>
        <w:pStyle w:val="ListBullet"/>
      </w:pPr>
      <w:r>
        <w:t>El pago exitoso/rechazado es una simulación y no debe presentarse como integración con un proveedor de pago.</w:t>
      </w:r>
    </w:p>
    <w:p>
      <w:pPr>
        <w:pStyle w:val="ListBullet"/>
      </w:pPr>
      <w:r>
        <w:t>La suite cubre funciones principales, pero no reemplaza pruebas manuales de todas las vistas ni pruebas de accesibilidad y dispositivos físicos.</w:t>
      </w:r>
    </w:p>
    <w:p>
      <w:pPr>
        <w:pStyle w:val="Heading1"/>
      </w:pPr>
      <w:r>
        <w:t>9. Conclusión</w:t>
      </w:r>
    </w:p>
    <w:p>
      <w:r>
        <w:t>La propuesta de testing incorpora diez casos con foco en lógica, renderizado, eventos y validaciones. Antes de entregar, se debe ejecutar la suite en el entorno del estudiante, revisar el resultado real y completar cualquier ajuste detectado.</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