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</w:pPr>
      <w:r>
        <w:t>Reporte de Análisis Contractual</w:t>
      </w:r>
    </w:p>
    <w:p>
      <w:pPr>
        <w:pStyle w:val="Heading1"/>
        <w:spacing w:before="0" w:after="0" w:line="240" w:lineRule="auto"/>
      </w:pPr>
      <w:r>
        <w:t>Información General</w:t>
      </w:r>
    </w:p>
    <w:p>
      <w:pPr>
        <w:spacing w:before="0" w:after="0" w:line="240" w:lineRule="auto"/>
      </w:pPr>
      <w:r>
        <w:rPr>
          <w:b w:val="0"/>
        </w:rPr>
        <w:t>Tipo de contrato: Arrendamiento de bien inmueble (vivienda)</w:t>
      </w:r>
    </w:p>
    <w:p>
      <w:pPr>
        <w:spacing w:before="0" w:after="0" w:line="240" w:lineRule="auto"/>
      </w:pPr>
      <w:r>
        <w:rPr>
          <w:b w:val="0"/>
        </w:rPr>
        <w:t>Duración: 24 meses</w:t>
      </w:r>
    </w:p>
    <w:p>
      <w:pPr>
        <w:spacing w:before="0" w:after="0" w:line="240" w:lineRule="auto"/>
      </w:pPr>
      <w:r>
        <w:rPr>
          <w:b w:val="0"/>
        </w:rPr>
        <w:t>Precio: 32000 UYU (mensual)</w:t>
      </w:r>
    </w:p>
    <w:p>
      <w:pPr>
        <w:pStyle w:val="Heading1"/>
        <w:spacing w:before="0" w:after="0" w:line="240" w:lineRule="auto"/>
      </w:pPr>
      <w:r>
        <w:t>Partes del contrato</w:t>
      </w:r>
    </w:p>
    <w:p>
      <w:pPr>
        <w:spacing w:before="0" w:after="0" w:line="240" w:lineRule="auto"/>
      </w:pPr>
      <w:r>
        <w:rPr>
          <w:b w:val="0"/>
        </w:rPr>
        <w:t>ABR Inmobiliaria S.R.L. (arrendador)</w:t>
      </w:r>
    </w:p>
    <w:p>
      <w:pPr>
        <w:spacing w:before="0" w:after="0" w:line="240" w:lineRule="auto"/>
      </w:pPr>
      <w:r>
        <w:rPr>
          <w:b w:val="0"/>
        </w:rPr>
        <w:t>Martín Guillermo Jasidakis Abuchalja (arrendatario)</w:t>
      </w:r>
    </w:p>
    <w:p>
      <w:pPr>
        <w:pStyle w:val="Heading1"/>
        <w:spacing w:before="0" w:after="0" w:line="240" w:lineRule="auto"/>
      </w:pPr>
      <w:r>
        <w:t>Evaluación General del Contrato</w:t>
      </w:r>
    </w:p>
    <w:p>
      <w:pPr>
        <w:spacing w:before="0" w:after="0" w:line="240" w:lineRule="auto"/>
      </w:pPr>
      <w:r>
        <w:rPr>
          <w:b w:val="0"/>
        </w:rPr>
        <w:t>Score total: 8.0</w:t>
      </w:r>
    </w:p>
    <w:p>
      <w:pPr>
        <w:spacing w:before="0" w:after="0" w:line="240" w:lineRule="auto"/>
      </w:pPr>
      <w:r>
        <w:rPr>
          <w:b w:val="0"/>
        </w:rPr>
        <w:t>Nivel de riesgo del scoring: medio</w:t>
      </w:r>
    </w:p>
    <w:p>
      <w:pPr>
        <w:spacing w:before="0" w:after="0" w:line="240" w:lineRule="auto"/>
      </w:pPr>
      <w:r>
        <w:rPr>
          <w:b w:val="0"/>
        </w:rPr>
        <w:t>Cantidad de observaciones: 16</w:t>
      </w:r>
    </w:p>
    <w:p>
      <w:pPr>
        <w:spacing w:before="0" w:after="0" w:line="240" w:lineRule="auto"/>
      </w:pPr>
      <w:r>
        <w:rPr>
          <w:b w:val="0"/>
        </w:rPr>
        <w:t>Distribución por severidad: bajos 16</w:t>
      </w:r>
    </w:p>
    <w:p>
      <w:pPr>
        <w:spacing w:before="0" w:after="0" w:line="240" w:lineRule="auto"/>
      </w:pPr>
      <w:r>
        <w:rPr>
          <w:b/>
        </w:rPr>
        <w:t>Evaluación de equilibrio contractual:</w:t>
      </w:r>
    </w:p>
    <w:p>
      <w:pPr>
        <w:spacing w:before="0" w:after="0" w:line="240" w:lineRule="auto"/>
        <w:ind w:left="360"/>
      </w:pPr>
      <w:r>
        <w:rPr>
          <w:b w:val="0"/>
        </w:rPr>
        <w:t>El contrato presenta un marcado desequilibrio a favor del arrendador, limitando derechos y garantías del inquilino, y trasladando la mayoría de las cargas y riesgos económicos y legales a este último. Las cláusulas de exoneración de responsabilidad, condición resolutoria automática y renuncias anticipadas pueden ser consideradas abusivas en ciertos contextos.</w:t>
      </w:r>
    </w:p>
    <w:p>
      <w:pPr>
        <w:spacing w:before="0" w:after="0" w:line="240" w:lineRule="auto"/>
      </w:pPr>
      <w:r>
        <w:rPr>
          <w:b w:val="0"/>
        </w:rPr>
        <w:t>Nivel de riesgo global informado: elevado para el inquilino, bajo para el arrendador</w:t>
      </w:r>
    </w:p>
    <w:p>
      <w:pPr>
        <w:pStyle w:val="Heading1"/>
        <w:spacing w:before="0" w:after="0" w:line="240" w:lineRule="auto"/>
      </w:pPr>
      <w:r>
        <w:t>Resumen Ejecutivo para Cliente</w:t>
      </w:r>
    </w:p>
    <w:p>
      <w:pPr>
        <w:spacing w:before="0" w:after="0" w:line="240" w:lineRule="auto"/>
      </w:pPr>
      <w:r>
        <w:rPr>
          <w:b w:val="0"/>
        </w:rPr>
        <w:t>El contrato de arrendamiento analizado es detallado y cubre múltiples aspectos legales y operativos, pero impone obligaciones y limitaciones significativas al inquilino, con escasa protección ante eventualidades o daños no imputables a su conducta. Nivel de riesgo global informado: elevado para el inquilino, bajo para el arrendador. Desde el scoring del sistema, el nivel global del caso se ubica en medio, con distribución por severidad: bajos 16. El contrato, en su redacción actual, favorece ampliamente al arrendador y expone al inquilino a riesgos legales, financieros y operativos considerables. Se recomienda revisar y negociar las cláusulas más restrictivas antes de la firma, o buscar asesoramiento legal especializado para proteger los intereses del inquilino.</w:t>
      </w:r>
    </w:p>
    <w:p>
      <w:pPr>
        <w:pStyle w:val="Heading1"/>
        <w:spacing w:before="0" w:after="0" w:line="240" w:lineRule="auto"/>
      </w:pPr>
      <w:r>
        <w:t>Puntos Críticos Principales</w:t>
      </w:r>
    </w:p>
    <w:p>
      <w:pPr>
        <w:pStyle w:val="ListBullet"/>
        <w:spacing w:before="0" w:after="0" w:line="240" w:lineRule="auto"/>
      </w:pPr>
      <w:r>
        <w:t>Exoneración de responsabilidad del arrendador por vicios y daños.</w:t>
      </w:r>
    </w:p>
    <w:p>
      <w:pPr>
        <w:pStyle w:val="ListBullet"/>
        <w:spacing w:before="0" w:after="0" w:line="240" w:lineRule="auto"/>
      </w:pPr>
      <w:r>
        <w:t>Reajuste anual del alquiler sin tope.</w:t>
      </w:r>
    </w:p>
    <w:p>
      <w:pPr>
        <w:pStyle w:val="ListBullet"/>
        <w:spacing w:before="0" w:after="0" w:line="240" w:lineRule="auto"/>
      </w:pPr>
      <w:r>
        <w:t>Condición resolutoria automática por cualquier incumplimiento.</w:t>
      </w:r>
    </w:p>
    <w:p>
      <w:pPr>
        <w:pStyle w:val="ListBullet"/>
        <w:spacing w:before="0" w:after="0" w:line="240" w:lineRule="auto"/>
      </w:pPr>
      <w:r>
        <w:t>Obligación de pago de todos los tributos y consumos, incluso futuros.</w:t>
      </w:r>
    </w:p>
    <w:p>
      <w:pPr>
        <w:pStyle w:val="ListBullet"/>
        <w:spacing w:before="0" w:after="0" w:line="240" w:lineRule="auto"/>
      </w:pPr>
      <w:r>
        <w:t>Facultad del arrendador de vender el inmueble sin indemnizar.</w:t>
      </w:r>
    </w:p>
    <w:p>
      <w:pPr>
        <w:pStyle w:val="ListBullet"/>
        <w:spacing w:before="0" w:after="0" w:line="240" w:lineRule="auto"/>
      </w:pPr>
      <w:r>
        <w:t>Entrega y devolución del inmueble con inspección y cargos automáticos.</w:t>
      </w:r>
    </w:p>
    <w:p>
      <w:pPr>
        <w:pStyle w:val="Heading1"/>
        <w:spacing w:before="0" w:after="0" w:line="240" w:lineRule="auto"/>
      </w:pPr>
      <w:r>
        <w:t>Hallazgos Principales</w:t>
      </w:r>
    </w:p>
    <w:p>
      <w:pPr>
        <w:pStyle w:val="ListBullet"/>
        <w:spacing w:before="0" w:after="0" w:line="240" w:lineRule="auto"/>
      </w:pPr>
      <w:r>
        <w:t>El contrato traslada casi todas las obligaciones económicas y de mantenimiento al inquilino.</w:t>
      </w:r>
    </w:p>
    <w:p>
      <w:pPr>
        <w:pStyle w:val="ListBullet"/>
        <w:spacing w:before="0" w:after="0" w:line="240" w:lineRule="auto"/>
      </w:pPr>
      <w:r>
        <w:t>La exoneración de responsabilidad del arrendador es amplia y puede ser cuestionable legalmente.</w:t>
      </w:r>
    </w:p>
    <w:p>
      <w:pPr>
        <w:pStyle w:val="ListBullet"/>
        <w:spacing w:before="0" w:after="0" w:line="240" w:lineRule="auto"/>
      </w:pPr>
      <w:r>
        <w:t>El reajuste del alquiler no tiene tope y depende de índices oficiales, lo que puede generar aumentos significativos.</w:t>
      </w:r>
    </w:p>
    <w:p>
      <w:pPr>
        <w:pStyle w:val="ListBullet"/>
        <w:spacing w:before="0" w:after="0" w:line="240" w:lineRule="auto"/>
      </w:pPr>
      <w:r>
        <w:t>La condición resolutoria automática y la falta de necesidad de intimación debilitan la posición del inquilino ante cualquier incumplimiento.</w:t>
      </w:r>
    </w:p>
    <w:p>
      <w:pPr>
        <w:pStyle w:val="ListBullet"/>
        <w:spacing w:before="0" w:after="0" w:line="240" w:lineRule="auto"/>
      </w:pPr>
      <w:r>
        <w:t>El arrendador puede vender el inmueble en cualquier momento sin compensar al inquilino.</w:t>
      </w:r>
    </w:p>
    <w:p>
      <w:pPr>
        <w:pStyle w:val="ListBullet"/>
        <w:spacing w:before="0" w:after="0" w:line="240" w:lineRule="auto"/>
      </w:pPr>
      <w:r>
        <w:t>El inventario y la tasación de desperfectos pueden realizarse unilateralmente por el arrendador en caso de ausencia del inquilino.</w:t>
      </w:r>
    </w:p>
    <w:p>
      <w:pPr>
        <w:pStyle w:val="Heading1"/>
        <w:spacing w:before="0" w:after="0" w:line="240" w:lineRule="auto"/>
      </w:pPr>
      <w:r>
        <w:t>Implicancias Estratégicas a Mediano Plazo</w:t>
      </w:r>
    </w:p>
    <w:p>
      <w:pPr>
        <w:pStyle w:val="ListBullet"/>
        <w:spacing w:before="0" w:after="0" w:line="240" w:lineRule="auto"/>
      </w:pPr>
      <w:r>
        <w:t>Posibilidad de aumentos importantes en el precio del alquiler.</w:t>
      </w:r>
    </w:p>
    <w:p>
      <w:pPr>
        <w:pStyle w:val="ListBullet"/>
        <w:spacing w:before="0" w:after="0" w:line="240" w:lineRule="auto"/>
      </w:pPr>
      <w:r>
        <w:t>Riesgo de rescisión unilateral y pérdida de la tenencia ante incumplimientos menores.</w:t>
      </w:r>
    </w:p>
    <w:p>
      <w:pPr>
        <w:pStyle w:val="ListBullet"/>
        <w:spacing w:before="0" w:after="0" w:line="240" w:lineRule="auto"/>
      </w:pPr>
      <w:r>
        <w:t>Dificultad para reclamar daños o exigir reparaciones al arrendador.</w:t>
      </w:r>
    </w:p>
    <w:p>
      <w:pPr>
        <w:pStyle w:val="ListBullet"/>
        <w:spacing w:before="0" w:after="0" w:line="240" w:lineRule="auto"/>
      </w:pPr>
      <w:r>
        <w:t>Potenciales conflictos por interpretación de obligaciones y cargos por desperfectos.</w:t>
      </w:r>
    </w:p>
    <w:p>
      <w:pPr>
        <w:pStyle w:val="Heading1"/>
        <w:spacing w:before="0" w:after="0" w:line="240" w:lineRule="auto"/>
      </w:pPr>
      <w:r>
        <w:t>Recomendación Estratégica Final</w:t>
      </w:r>
    </w:p>
    <w:p>
      <w:pPr>
        <w:spacing w:before="0" w:after="0" w:line="240" w:lineRule="auto"/>
      </w:pPr>
      <w:r>
        <w:rPr>
          <w:b w:val="0"/>
        </w:rPr>
        <w:t>Se recomienda negociar la flexibilización de las cláusulas más gravosas para el inquilino, especialmente en materia de responsabilidad, reajustes y condiciones de terminación anticipada. En caso de no ser posible, considerar alternativas contractuales más equilibradas.</w:t>
      </w:r>
    </w:p>
    <w:p>
      <w:pPr>
        <w:pStyle w:val="Heading1"/>
        <w:spacing w:before="0" w:after="0" w:line="240" w:lineRule="auto"/>
      </w:pPr>
      <w:r>
        <w:t>Preguntas Clave Antes de Firmar</w:t>
      </w:r>
    </w:p>
    <w:p>
      <w:pPr>
        <w:pStyle w:val="ListBullet"/>
        <w:spacing w:before="0" w:after="0" w:line="240" w:lineRule="auto"/>
      </w:pPr>
      <w:r>
        <w:t>¿Es posible limitar la exoneración de responsabilidad del arrendador por vicios ocultos o daños estructurales?</w:t>
      </w:r>
    </w:p>
    <w:p>
      <w:pPr>
        <w:pStyle w:val="ListBullet"/>
        <w:spacing w:before="0" w:after="0" w:line="240" w:lineRule="auto"/>
      </w:pPr>
      <w:r>
        <w:t>¿Se puede establecer un tope máximo al reajuste anual del alquiler?</w:t>
      </w:r>
    </w:p>
    <w:p>
      <w:pPr>
        <w:pStyle w:val="ListBullet"/>
        <w:spacing w:before="0" w:after="0" w:line="240" w:lineRule="auto"/>
      </w:pPr>
      <w:r>
        <w:t>¿Qué mecanismos existen para impugnar cargos por desperfectos o reparaciones?</w:t>
      </w:r>
    </w:p>
    <w:p>
      <w:pPr>
        <w:pStyle w:val="ListBullet"/>
        <w:spacing w:before="0" w:after="0" w:line="240" w:lineRule="auto"/>
      </w:pPr>
      <w:r>
        <w:t>¿Qué sucede si el arrendador vende el inmueble durante la vigencia del contrato?</w:t>
      </w:r>
    </w:p>
    <w:p>
      <w:pPr>
        <w:pStyle w:val="ListBullet"/>
        <w:spacing w:before="0" w:after="0" w:line="240" w:lineRule="auto"/>
      </w:pPr>
      <w:r>
        <w:t>¿Existen alternativas de garantía distintas a Porto Seguro?</w:t>
      </w:r>
    </w:p>
    <w:p>
      <w:pPr>
        <w:pStyle w:val="Heading1"/>
        <w:spacing w:before="0" w:after="0" w:line="240" w:lineRule="auto"/>
      </w:pPr>
      <w:r>
        <w:t>Conclusión Profesional</w:t>
      </w:r>
    </w:p>
    <w:p>
      <w:pPr>
        <w:spacing w:before="0" w:after="0" w:line="240" w:lineRule="auto"/>
      </w:pPr>
      <w:r>
        <w:rPr>
          <w:b w:val="0"/>
        </w:rPr>
        <w:t>El contrato, en su redacción actual, favorece ampliamente al arrendador y expone al inquilino a riesgos legales, financieros y operativos considerables. Se recomienda revisar y negociar las cláusulas más restrictivas antes de la firma, o buscar asesoramiento legal especializado para proteger los intereses del inquilino.</w:t>
      </w:r>
    </w:p>
    <w:p>
      <w:pPr>
        <w:pStyle w:val="Heading1"/>
        <w:spacing w:before="0" w:after="0" w:line="240" w:lineRule="auto"/>
      </w:pPr>
      <w:r>
        <w:t>Nivel de Confianza del Análisis</w:t>
      </w:r>
    </w:p>
    <w:p>
      <w:pPr>
        <w:spacing w:before="0" w:after="0" w:line="240" w:lineRule="auto"/>
      </w:pPr>
      <w:r>
        <w:rPr>
          <w:b w:val="0"/>
        </w:rPr>
        <w:t>Nivel general: alto</w:t>
      </w:r>
    </w:p>
    <w:p>
      <w:pPr>
        <w:spacing w:before="0" w:after="0" w:line="240" w:lineRule="auto"/>
      </w:pPr>
      <w:r>
        <w:rPr>
          <w:b/>
        </w:rPr>
        <w:t>Fundamento:</w:t>
      </w:r>
    </w:p>
    <w:p>
      <w:pPr>
        <w:spacing w:before="0" w:after="0" w:line="240" w:lineRule="auto"/>
        <w:ind w:left="360"/>
      </w:pPr>
      <w:r>
        <w:rPr>
          <w:b w:val="0"/>
        </w:rPr>
        <w:t>El análisis se basa en la lectura integral del texto contractual, la normativa uruguaya aplicable y la identificación de cláusulas típicas y atípicas en contratos de arrendamiento de vivienda.</w:t>
      </w:r>
    </w:p>
    <w:p>
      <w:pPr>
        <w:pStyle w:val="Heading1"/>
        <w:spacing w:before="0" w:after="0" w:line="240" w:lineRule="auto"/>
      </w:pPr>
      <w:r>
        <w:t>Sistema de Análisis Utilizado</w:t>
      </w:r>
    </w:p>
    <w:p>
      <w:pPr>
        <w:spacing w:before="0" w:after="0" w:line="240" w:lineRule="auto"/>
      </w:pPr>
      <w:r>
        <w:rPr>
          <w:b/>
        </w:rPr>
        <w:t>Motor de Inteligencia Artificial</w:t>
      </w:r>
    </w:p>
    <w:p>
      <w:pPr>
        <w:spacing w:before="0" w:after="0" w:line="240" w:lineRule="auto"/>
      </w:pPr>
      <w:r>
        <w:rPr>
          <w:b w:val="0"/>
        </w:rPr>
        <w:t>Modelo utilizado: gpt-4.1</w:t>
      </w:r>
    </w:p>
    <w:p>
      <w:pPr>
        <w:spacing w:before="0" w:after="0" w:line="240" w:lineRule="auto"/>
      </w:pPr>
      <w:r>
        <w:rPr>
          <w:b w:val="0"/>
        </w:rPr>
        <w:t>Perfil de análisis: tecnico</w:t>
      </w:r>
    </w:p>
    <w:p>
      <w:pPr>
        <w:spacing w:before="0" w:after="0" w:line="240" w:lineRule="auto"/>
      </w:pPr>
      <w:r>
        <w:rPr>
          <w:b/>
        </w:rPr>
        <w:t>Motor de Evaluación Jurídica</w:t>
      </w:r>
    </w:p>
    <w:p>
      <w:pPr>
        <w:spacing w:before="0" w:after="0" w:line="240" w:lineRule="auto"/>
      </w:pPr>
      <w:r>
        <w:rPr>
          <w:b w:val="0"/>
        </w:rPr>
        <w:t>Versión del motor: 4.0_general_unificado</w:t>
      </w:r>
    </w:p>
    <w:p>
      <w:pPr>
        <w:spacing w:before="0" w:after="0" w:line="240" w:lineRule="auto"/>
      </w:pPr>
      <w:r>
        <w:rPr>
          <w:b w:val="0"/>
        </w:rPr>
        <w:t>Versión del scoring: 4.2_calibrado_masa_critica</w:t>
      </w:r>
    </w:p>
    <w:p>
      <w:pPr>
        <w:pStyle w:val="Heading1"/>
        <w:spacing w:before="0" w:after="0" w:line="240" w:lineRule="auto"/>
      </w:pPr>
      <w:r>
        <w:t>Resultados del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Score total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Nivel de riesgo</w:t>
            </w:r>
          </w:p>
        </w:tc>
        <w:tc>
          <w:tcPr>
            <w:tcW w:type="dxa" w:w="4320"/>
          </w:tcPr>
          <w:p>
            <w:r>
              <w:t>medio</w:t>
            </w:r>
          </w:p>
        </w:tc>
      </w:tr>
      <w:tr>
        <w:tc>
          <w:tcPr>
            <w:tcW w:type="dxa" w:w="4320"/>
          </w:tcPr>
          <w:p>
            <w:r>
              <w:t>Cantidad de riesgos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Riesgos bajos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  <w:spacing w:before="0" w:after="0" w:line="240" w:lineRule="auto"/>
      </w:pPr>
      <w:r>
        <w:t>Anexo Técnico - Detalle Ampliado de Riesgos</w:t>
      </w:r>
    </w:p>
    <w:p>
      <w:pPr>
        <w:pStyle w:val="Heading2"/>
        <w:spacing w:before="0" w:after="0" w:line="240" w:lineRule="auto"/>
      </w:pPr>
      <w:r>
        <w:t>Riesgos Legales</w:t>
      </w:r>
    </w:p>
    <w:p>
      <w:pPr>
        <w:spacing w:before="0" w:after="0" w:line="240" w:lineRule="auto"/>
      </w:pPr>
      <w:r>
        <w:rPr>
          <w:b/>
        </w:rPr>
        <w:t>Riesgo 1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legal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Restricciones a la modificación de domicilio, solo permitida dentro del departamento de Montevideo.</w:t>
      </w:r>
    </w:p>
    <w:p>
      <w:pPr>
        <w:spacing w:before="0" w:after="0" w:line="240" w:lineRule="auto"/>
      </w:pPr>
      <w:r>
        <w:rPr>
          <w:b/>
        </w:rPr>
        <w:t>Riesgo 2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legal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Limitación probatoria: solo se admite prueba escrita para modificaciones contractuales.</w:t>
      </w:r>
    </w:p>
    <w:p>
      <w:pPr>
        <w:spacing w:before="0" w:after="0" w:line="240" w:lineRule="auto"/>
      </w:pPr>
      <w:r>
        <w:rPr>
          <w:b/>
        </w:rPr>
        <w:t>Riesgo 3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legal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Facultad del arrendador de enajenar el inmueble sin obligación de indemnizar al inquilino.</w:t>
      </w:r>
    </w:p>
    <w:p>
      <w:pPr>
        <w:spacing w:before="0" w:after="0" w:line="240" w:lineRule="auto"/>
      </w:pPr>
      <w:r>
        <w:rPr>
          <w:b/>
        </w:rPr>
        <w:t>Riesgo 4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legal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Exoneración casi total de responsabilidad del arrendador por vicios ocultos, daños y defectos del inmueble, incluso sobrevinientes.</w:t>
      </w:r>
    </w:p>
    <w:p>
      <w:pPr>
        <w:spacing w:before="0" w:after="0" w:line="240" w:lineRule="auto"/>
      </w:pPr>
      <w:r>
        <w:rPr>
          <w:b/>
        </w:rPr>
        <w:t>Riesgo 5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legal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Condición resolutoria expresa por cualquier incumplimiento, sin necesidad de intimación previa.</w:t>
      </w:r>
    </w:p>
    <w:p>
      <w:pPr>
        <w:spacing w:before="0" w:after="0" w:line="240" w:lineRule="auto"/>
      </w:pPr>
      <w:r>
        <w:rPr>
          <w:b/>
        </w:rPr>
        <w:t>Riesgo 6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legal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Cláusulas de renuncia anticipada a indemnización por parte del inquilino ante reformas, mejoras o trabajos realizados por el arrendador.</w:t>
      </w:r>
    </w:p>
    <w:p>
      <w:pPr>
        <w:spacing w:before="0" w:after="0" w:line="240" w:lineRule="auto"/>
      </w:pPr>
      <w:r>
        <w:rPr>
          <w:b/>
        </w:rPr>
        <w:t>Riesgo 7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legal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Abandono irrevocable de bienes muebles en caso de lanzamiento, a favor del arrendador.</w:t>
      </w:r>
    </w:p>
    <w:p>
      <w:pPr>
        <w:pStyle w:val="Heading2"/>
        <w:spacing w:before="0" w:after="0" w:line="240" w:lineRule="auto"/>
      </w:pPr>
      <w:r>
        <w:t>Riesgos Económicos</w:t>
      </w:r>
    </w:p>
    <w:p>
      <w:pPr>
        <w:spacing w:before="0" w:after="0" w:line="240" w:lineRule="auto"/>
      </w:pPr>
      <w:r>
        <w:rPr>
          <w:b/>
        </w:rPr>
        <w:t>Riesgo 1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financiero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Reembolso inmediato de cualquier gasto abonado por el arrendador, junto con el alquiler.</w:t>
      </w:r>
    </w:p>
    <w:p>
      <w:pPr>
        <w:spacing w:before="0" w:after="0" w:line="240" w:lineRule="auto"/>
      </w:pPr>
      <w:r>
        <w:rPr>
          <w:b/>
        </w:rPr>
        <w:t>Riesgo 2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financiero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Reajuste anual del precio del alquiler según URA o IPC, sin tope máximo.</w:t>
      </w:r>
    </w:p>
    <w:p>
      <w:pPr>
        <w:spacing w:before="0" w:after="0" w:line="240" w:lineRule="auto"/>
      </w:pPr>
      <w:r>
        <w:rPr>
          <w:b/>
        </w:rPr>
        <w:t>Riesgo 3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financiero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Obligación del inquilino de pagar todos los consumos, gastos comunes, tributos e impuestos vinculados al uso, incluso aumentos futuros.</w:t>
      </w:r>
    </w:p>
    <w:p>
      <w:pPr>
        <w:spacing w:before="0" w:after="0" w:line="240" w:lineRule="auto"/>
      </w:pPr>
      <w:r>
        <w:rPr>
          <w:b/>
        </w:rPr>
        <w:t>Riesgo 4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financiero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El inquilino asume costos de reparaciones y mantenimiento de instalaciones, incluso desobstrucción y limpieza de cañerías.</w:t>
      </w:r>
    </w:p>
    <w:p>
      <w:pPr>
        <w:pStyle w:val="Heading2"/>
        <w:spacing w:before="0" w:after="0" w:line="240" w:lineRule="auto"/>
      </w:pPr>
      <w:r>
        <w:t>Riesgos Operativos</w:t>
      </w:r>
    </w:p>
    <w:p>
      <w:pPr>
        <w:spacing w:before="0" w:after="0" w:line="240" w:lineRule="auto"/>
      </w:pPr>
      <w:r>
        <w:rPr>
          <w:b/>
        </w:rPr>
        <w:t>Riesgo 1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operativo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Obligación del inquilino de permitir acceso frecuente al inmueble para inspecciones, venta, tasación o trabajos de mejora.</w:t>
      </w:r>
    </w:p>
    <w:p>
      <w:pPr>
        <w:spacing w:before="0" w:after="0" w:line="240" w:lineRule="auto"/>
      </w:pPr>
      <w:r>
        <w:rPr>
          <w:b/>
        </w:rPr>
        <w:t>Riesgo 2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operativo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Obligación de cambio de titularidad de servicios antes de ocupar la finca, bajo riesgo de incumplimiento.</w:t>
      </w:r>
    </w:p>
    <w:p>
      <w:pPr>
        <w:spacing w:before="0" w:after="0" w:line="240" w:lineRule="auto"/>
      </w:pPr>
      <w:r>
        <w:rPr>
          <w:b/>
        </w:rPr>
        <w:t>Riesgo 3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operativo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Entrega del inmueble sujeta a inspección y acta, con cargos automáticos por desperfectos según listado anexo.</w:t>
      </w:r>
    </w:p>
    <w:p>
      <w:pPr>
        <w:spacing w:before="0" w:after="0" w:line="240" w:lineRule="auto"/>
      </w:pPr>
      <w:r>
        <w:rPr>
          <w:b/>
        </w:rPr>
        <w:t>Riesgo 4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operativo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En caso de no concurrencia del inquilino a la entrega, el arrendador puede realizar inventario y tasación unilateralmente.</w:t>
      </w:r>
    </w:p>
    <w:p>
      <w:pPr>
        <w:pStyle w:val="Heading2"/>
        <w:spacing w:before="0" w:after="0" w:line="240" w:lineRule="auto"/>
      </w:pPr>
      <w:r>
        <w:t>Riesgos Reputacionales</w:t>
      </w:r>
    </w:p>
    <w:p>
      <w:pPr>
        <w:spacing w:before="0" w:after="0" w:line="240" w:lineRule="auto"/>
      </w:pPr>
      <w:r>
        <w:rPr>
          <w:b/>
        </w:rPr>
        <w:t>Riesgo 1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reputacional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Posibles conflictos derivados de la interpretación restrictiva de derechos del inquilino, afectando la imagen de la inmobiliaria.</w:t>
      </w:r>
    </w:p>
    <w:p>
      <w:pPr>
        <w:spacing w:before="0" w:after="0" w:line="240" w:lineRule="auto"/>
      </w:pPr>
      <w:r>
        <w:rPr>
          <w:b w:val="0"/>
        </w:rPr>
        <w:t>Este informe fue generado mediante un sistema automatizado de análisis contractual basado en inteligencia artificial y un motor de evaluación jurídica propietario.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