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30E" w:rsidRPr="0021730E" w:rsidRDefault="00902EF5" w:rsidP="0021730E">
      <w:pPr>
        <w:pStyle w:val="Caption"/>
        <w:keepNext/>
        <w:spacing w:after="120"/>
        <w:rPr>
          <w:i w:val="0"/>
          <w:color w:val="auto"/>
          <w:sz w:val="22"/>
        </w:rPr>
      </w:pPr>
      <w:r w:rsidRPr="00347B45">
        <w:rPr>
          <w:b/>
          <w:i w:val="0"/>
          <w:color w:val="auto"/>
          <w:sz w:val="22"/>
        </w:rPr>
        <w:t xml:space="preserve">Table </w:t>
      </w:r>
      <w:r w:rsidRPr="00347B45">
        <w:rPr>
          <w:b/>
          <w:i w:val="0"/>
          <w:color w:val="auto"/>
          <w:sz w:val="22"/>
        </w:rPr>
        <w:fldChar w:fldCharType="begin"/>
      </w:r>
      <w:r w:rsidRPr="00347B45">
        <w:rPr>
          <w:b/>
          <w:i w:val="0"/>
          <w:color w:val="auto"/>
          <w:sz w:val="22"/>
        </w:rPr>
        <w:instrText xml:space="preserve"> SEQ Table \* ARABIC </w:instrText>
      </w:r>
      <w:r w:rsidRPr="00347B45">
        <w:rPr>
          <w:b/>
          <w:i w:val="0"/>
          <w:color w:val="auto"/>
          <w:sz w:val="22"/>
        </w:rPr>
        <w:fldChar w:fldCharType="separate"/>
      </w:r>
      <w:r>
        <w:rPr>
          <w:b/>
          <w:i w:val="0"/>
          <w:noProof/>
          <w:color w:val="auto"/>
          <w:sz w:val="22"/>
        </w:rPr>
        <w:t>1</w:t>
      </w:r>
      <w:r w:rsidRPr="00347B45">
        <w:rPr>
          <w:b/>
          <w:i w:val="0"/>
          <w:color w:val="auto"/>
          <w:sz w:val="22"/>
        </w:rPr>
        <w:fldChar w:fldCharType="end"/>
      </w:r>
      <w:r w:rsidRPr="00347B45">
        <w:rPr>
          <w:b/>
          <w:i w:val="0"/>
          <w:color w:val="auto"/>
          <w:sz w:val="22"/>
        </w:rPr>
        <w:t>.</w:t>
      </w:r>
      <w:r w:rsidRPr="00347B45">
        <w:rPr>
          <w:i w:val="0"/>
          <w:color w:val="auto"/>
          <w:sz w:val="22"/>
        </w:rPr>
        <w:t xml:space="preserve"> </w:t>
      </w:r>
      <w:r>
        <w:rPr>
          <w:i w:val="0"/>
          <w:color w:val="auto"/>
          <w:sz w:val="22"/>
        </w:rPr>
        <w:t>Summary of m</w:t>
      </w:r>
      <w:r w:rsidRPr="00347B45">
        <w:rPr>
          <w:i w:val="0"/>
          <w:color w:val="auto"/>
          <w:sz w:val="22"/>
        </w:rPr>
        <w:t>aterial parameters</w:t>
      </w:r>
      <w:r>
        <w:rPr>
          <w:i w:val="0"/>
          <w:color w:val="auto"/>
          <w:sz w:val="22"/>
        </w:rPr>
        <w:t xml:space="preserve"> ranges used</w:t>
      </w:r>
      <w:r w:rsidRPr="00347B45">
        <w:rPr>
          <w:i w:val="0"/>
          <w:color w:val="auto"/>
          <w:sz w:val="22"/>
        </w:rPr>
        <w:t xml:space="preserve"> for asphalt, concrete</w:t>
      </w:r>
      <w:r>
        <w:rPr>
          <w:i w:val="0"/>
          <w:color w:val="auto"/>
          <w:sz w:val="22"/>
        </w:rPr>
        <w:t>,</w:t>
      </w:r>
      <w:r w:rsidRPr="00347B45">
        <w:rPr>
          <w:i w:val="0"/>
          <w:color w:val="auto"/>
          <w:sz w:val="22"/>
        </w:rPr>
        <w:t xml:space="preserve"> and </w:t>
      </w:r>
      <w:r>
        <w:rPr>
          <w:i w:val="0"/>
          <w:color w:val="auto"/>
          <w:sz w:val="22"/>
        </w:rPr>
        <w:t>s</w:t>
      </w:r>
      <w:r w:rsidRPr="00E843A5">
        <w:rPr>
          <w:i w:val="0"/>
          <w:color w:val="auto"/>
          <w:sz w:val="22"/>
        </w:rPr>
        <w:t xml:space="preserve">ubgrade </w:t>
      </w:r>
      <w:r>
        <w:rPr>
          <w:i w:val="0"/>
          <w:color w:val="auto"/>
          <w:sz w:val="22"/>
        </w:rPr>
        <w:t xml:space="preserve">from literature. Note that layer thicknesses vary by functional class and layer type (e.g. surface, overlay, base, subbase, etc.). </w:t>
      </w:r>
      <w:r w:rsidR="0021730E">
        <w:rPr>
          <w:i w:val="0"/>
          <w:color w:val="auto"/>
          <w:sz w:val="22"/>
        </w:rPr>
        <w:t>Note that “</w:t>
      </w:r>
      <w:r w:rsidR="0021730E" w:rsidRPr="0021730E">
        <w:rPr>
          <w:i w:val="0"/>
          <w:color w:val="auto"/>
          <w:sz w:val="22"/>
        </w:rPr>
        <w:t>Ground</w:t>
      </w:r>
      <w:r w:rsidR="0021730E">
        <w:rPr>
          <w:i w:val="0"/>
          <w:color w:val="auto"/>
          <w:sz w:val="22"/>
        </w:rPr>
        <w:t>”</w:t>
      </w:r>
      <w:r w:rsidR="0021730E" w:rsidRPr="0021730E">
        <w:rPr>
          <w:i w:val="0"/>
          <w:color w:val="auto"/>
          <w:sz w:val="22"/>
        </w:rPr>
        <w:t xml:space="preserve"> refers to bare, native, and uncompacted material in the Phoenix region (i.e. desert soil or sand) that would represent undeveloped land. </w:t>
      </w:r>
      <w:r w:rsidR="004504F2">
        <w:rPr>
          <w:i w:val="0"/>
          <w:color w:val="auto"/>
          <w:sz w:val="22"/>
        </w:rPr>
        <w:t>“</w:t>
      </w:r>
      <w:r w:rsidR="0021730E" w:rsidRPr="0021730E">
        <w:rPr>
          <w:i w:val="0"/>
          <w:color w:val="auto"/>
          <w:sz w:val="22"/>
        </w:rPr>
        <w:t>Subgrade</w:t>
      </w:r>
      <w:r w:rsidR="004504F2">
        <w:rPr>
          <w:i w:val="0"/>
          <w:color w:val="auto"/>
          <w:sz w:val="22"/>
        </w:rPr>
        <w:t>” refers to</w:t>
      </w:r>
      <w:r w:rsidR="0021730E" w:rsidRPr="0021730E">
        <w:rPr>
          <w:i w:val="0"/>
          <w:color w:val="auto"/>
          <w:sz w:val="22"/>
        </w:rPr>
        <w:t xml:space="preserve"> compacted materials underneath the pavement. </w:t>
      </w:r>
    </w:p>
    <w:tbl>
      <w:tblPr>
        <w:tblStyle w:val="TableGrid"/>
        <w:tblW w:w="8460" w:type="dxa"/>
        <w:tblInd w:w="85" w:type="dxa"/>
        <w:tblLook w:val="04A0" w:firstRow="1" w:lastRow="0" w:firstColumn="1" w:lastColumn="0" w:noHBand="0" w:noVBand="1"/>
      </w:tblPr>
      <w:tblGrid>
        <w:gridCol w:w="1348"/>
        <w:gridCol w:w="1172"/>
        <w:gridCol w:w="1530"/>
        <w:gridCol w:w="1530"/>
        <w:gridCol w:w="1432"/>
        <w:gridCol w:w="1448"/>
      </w:tblGrid>
      <w:tr w:rsidR="003D4D88" w:rsidRPr="00306128" w:rsidTr="003B3994">
        <w:trPr>
          <w:cantSplit/>
          <w:trHeight w:val="350"/>
        </w:trPr>
        <w:tc>
          <w:tcPr>
            <w:tcW w:w="1348" w:type="dxa"/>
            <w:vAlign w:val="center"/>
          </w:tcPr>
          <w:p w:rsidR="000D0E37" w:rsidRPr="00DF7F22" w:rsidRDefault="000D0E37" w:rsidP="005F64AA">
            <w:pPr>
              <w:jc w:val="center"/>
              <w:rPr>
                <w:b/>
                <w:sz w:val="20"/>
                <w:szCs w:val="20"/>
              </w:rPr>
            </w:pPr>
            <w:r w:rsidRPr="00DF7F22">
              <w:rPr>
                <w:b/>
                <w:sz w:val="20"/>
                <w:szCs w:val="20"/>
              </w:rPr>
              <w:t>Parameter</w:t>
            </w:r>
          </w:p>
        </w:tc>
        <w:tc>
          <w:tcPr>
            <w:tcW w:w="1172" w:type="dxa"/>
            <w:vAlign w:val="center"/>
          </w:tcPr>
          <w:p w:rsidR="000D0E37" w:rsidRPr="00DF7F22" w:rsidRDefault="000D0E37" w:rsidP="005F64AA">
            <w:pPr>
              <w:jc w:val="center"/>
              <w:rPr>
                <w:b/>
                <w:sz w:val="20"/>
                <w:szCs w:val="20"/>
              </w:rPr>
            </w:pPr>
            <w:r w:rsidRPr="00DF7F22">
              <w:rPr>
                <w:b/>
                <w:sz w:val="20"/>
                <w:szCs w:val="20"/>
              </w:rPr>
              <w:t>Units</w:t>
            </w:r>
          </w:p>
        </w:tc>
        <w:tc>
          <w:tcPr>
            <w:tcW w:w="1530" w:type="dxa"/>
            <w:vAlign w:val="center"/>
          </w:tcPr>
          <w:p w:rsidR="000D0E37" w:rsidRPr="00DF7F22" w:rsidRDefault="000D0E37" w:rsidP="005F64AA">
            <w:pPr>
              <w:jc w:val="center"/>
              <w:rPr>
                <w:b/>
                <w:sz w:val="20"/>
                <w:szCs w:val="20"/>
              </w:rPr>
            </w:pPr>
            <w:r>
              <w:rPr>
                <w:b/>
                <w:sz w:val="20"/>
                <w:szCs w:val="20"/>
              </w:rPr>
              <w:t>Asphalt</w:t>
            </w:r>
          </w:p>
        </w:tc>
        <w:tc>
          <w:tcPr>
            <w:tcW w:w="1530" w:type="dxa"/>
            <w:vAlign w:val="center"/>
          </w:tcPr>
          <w:p w:rsidR="000D0E37" w:rsidRPr="00DF7F22" w:rsidRDefault="000D0E37" w:rsidP="005F64AA">
            <w:pPr>
              <w:jc w:val="center"/>
              <w:rPr>
                <w:b/>
                <w:sz w:val="20"/>
                <w:szCs w:val="20"/>
              </w:rPr>
            </w:pPr>
            <w:r>
              <w:rPr>
                <w:b/>
                <w:sz w:val="20"/>
                <w:szCs w:val="20"/>
              </w:rPr>
              <w:t>Concrete</w:t>
            </w:r>
          </w:p>
        </w:tc>
        <w:tc>
          <w:tcPr>
            <w:tcW w:w="1432" w:type="dxa"/>
            <w:vAlign w:val="center"/>
          </w:tcPr>
          <w:p w:rsidR="000D0E37" w:rsidRPr="00DF7F22" w:rsidRDefault="000D0E37" w:rsidP="005F64AA">
            <w:pPr>
              <w:jc w:val="center"/>
              <w:rPr>
                <w:b/>
                <w:sz w:val="20"/>
                <w:szCs w:val="20"/>
              </w:rPr>
            </w:pPr>
            <w:r>
              <w:rPr>
                <w:b/>
                <w:sz w:val="20"/>
                <w:szCs w:val="20"/>
              </w:rPr>
              <w:t>Subbase</w:t>
            </w:r>
          </w:p>
        </w:tc>
        <w:tc>
          <w:tcPr>
            <w:tcW w:w="1448" w:type="dxa"/>
            <w:vAlign w:val="center"/>
          </w:tcPr>
          <w:p w:rsidR="000D0E37" w:rsidRPr="00DF7F22" w:rsidRDefault="000D0E37" w:rsidP="005F64AA">
            <w:pPr>
              <w:jc w:val="center"/>
              <w:rPr>
                <w:b/>
                <w:sz w:val="20"/>
                <w:szCs w:val="20"/>
              </w:rPr>
            </w:pPr>
            <w:r>
              <w:rPr>
                <w:b/>
                <w:sz w:val="20"/>
                <w:szCs w:val="20"/>
              </w:rPr>
              <w:t>Ground or Subgrade</w:t>
            </w:r>
            <w:r w:rsidRPr="000D0E37">
              <w:rPr>
                <w:b/>
                <w:sz w:val="20"/>
                <w:szCs w:val="20"/>
                <w:vertAlign w:val="superscript"/>
              </w:rPr>
              <w:t>*</w:t>
            </w:r>
          </w:p>
        </w:tc>
      </w:tr>
      <w:tr w:rsidR="003D4D88" w:rsidRPr="00306128" w:rsidTr="003B3994">
        <w:trPr>
          <w:trHeight w:val="773"/>
        </w:trPr>
        <w:tc>
          <w:tcPr>
            <w:tcW w:w="1348" w:type="dxa"/>
            <w:vAlign w:val="center"/>
          </w:tcPr>
          <w:p w:rsidR="000D0E37" w:rsidRDefault="000D0E37" w:rsidP="005F64AA">
            <w:pPr>
              <w:jc w:val="center"/>
              <w:rPr>
                <w:sz w:val="20"/>
                <w:szCs w:val="20"/>
              </w:rPr>
            </w:pPr>
            <w:r w:rsidRPr="00DF7F22">
              <w:rPr>
                <w:sz w:val="20"/>
                <w:szCs w:val="20"/>
              </w:rPr>
              <w:t>Albedo,</w:t>
            </w:r>
          </w:p>
          <w:p w:rsidR="000D0E37" w:rsidRPr="00AE06B7" w:rsidRDefault="000D0E37" w:rsidP="005F64AA">
            <w:pPr>
              <w:jc w:val="center"/>
              <w:rPr>
                <w:rFonts w:eastAsiaTheme="minorEastAsia"/>
                <w:sz w:val="20"/>
                <w:szCs w:val="20"/>
              </w:rPr>
            </w:pPr>
            <m:oMathPara>
              <m:oMath>
                <m:acc>
                  <m:accPr>
                    <m:chr m:val="̃"/>
                    <m:ctrlPr>
                      <w:rPr>
                        <w:rFonts w:ascii="Cambria Math" w:hAnsi="Cambria Math"/>
                        <w:i/>
                        <w:sz w:val="20"/>
                        <w:szCs w:val="20"/>
                      </w:rPr>
                    </m:ctrlPr>
                  </m:accPr>
                  <m:e>
                    <m:r>
                      <m:rPr>
                        <m:sty m:val="p"/>
                      </m:rPr>
                      <w:rPr>
                        <w:rFonts w:ascii="Cambria Math" w:hAnsi="Cambria Math"/>
                        <w:sz w:val="20"/>
                        <w:szCs w:val="20"/>
                      </w:rPr>
                      <m:t>α</m:t>
                    </m:r>
                  </m:e>
                </m:acc>
              </m:oMath>
            </m:oMathPara>
          </w:p>
        </w:tc>
        <w:tc>
          <w:tcPr>
            <w:tcW w:w="1172" w:type="dxa"/>
            <w:vAlign w:val="center"/>
          </w:tcPr>
          <w:p w:rsidR="000D0E37" w:rsidRPr="002665AF" w:rsidRDefault="000D0E37" w:rsidP="005F64AA">
            <w:pPr>
              <w:jc w:val="center"/>
              <w:rPr>
                <w:rFonts w:eastAsiaTheme="minorEastAsia"/>
                <w:i/>
                <w:sz w:val="20"/>
                <w:szCs w:val="20"/>
              </w:rPr>
            </w:pPr>
            <w:r w:rsidRPr="002665AF">
              <w:rPr>
                <w:i/>
                <w:sz w:val="20"/>
                <w:szCs w:val="20"/>
              </w:rPr>
              <w:t>dimension-less</w:t>
            </w:r>
          </w:p>
        </w:tc>
        <w:tc>
          <w:tcPr>
            <w:tcW w:w="1530" w:type="dxa"/>
            <w:vAlign w:val="center"/>
          </w:tcPr>
          <w:p w:rsidR="00492254" w:rsidRDefault="00492254" w:rsidP="005F64AA">
            <w:pPr>
              <w:jc w:val="center"/>
              <w:rPr>
                <w:sz w:val="20"/>
                <w:szCs w:val="20"/>
              </w:rPr>
            </w:pPr>
            <w:r>
              <w:rPr>
                <w:sz w:val="20"/>
                <w:szCs w:val="20"/>
              </w:rPr>
              <w:t>0.05 – 0.15</w:t>
            </w:r>
            <w:r>
              <w:rPr>
                <w:sz w:val="20"/>
                <w:szCs w:val="20"/>
                <w:vertAlign w:val="superscript"/>
              </w:rPr>
              <w:t xml:space="preserve"> </w:t>
            </w:r>
            <w:r w:rsidR="00D96236">
              <w:rPr>
                <w:sz w:val="20"/>
                <w:szCs w:val="20"/>
                <w:vertAlign w:val="superscript"/>
              </w:rPr>
              <w:t>a</w:t>
            </w:r>
          </w:p>
          <w:p w:rsidR="00FA673E" w:rsidRDefault="00FA673E" w:rsidP="005F64AA">
            <w:pPr>
              <w:jc w:val="center"/>
              <w:rPr>
                <w:sz w:val="20"/>
                <w:szCs w:val="20"/>
              </w:rPr>
            </w:pPr>
            <w:r>
              <w:rPr>
                <w:sz w:val="20"/>
                <w:szCs w:val="20"/>
              </w:rPr>
              <w:t>0.</w:t>
            </w:r>
            <w:r w:rsidR="00492254">
              <w:rPr>
                <w:sz w:val="20"/>
                <w:szCs w:val="20"/>
              </w:rPr>
              <w:t>0</w:t>
            </w:r>
            <w:r>
              <w:rPr>
                <w:sz w:val="20"/>
                <w:szCs w:val="20"/>
              </w:rPr>
              <w:t xml:space="preserve">8 </w:t>
            </w:r>
            <w:r>
              <w:rPr>
                <w:rFonts w:eastAsia="Calibri"/>
                <w:sz w:val="20"/>
                <w:szCs w:val="20"/>
              </w:rPr>
              <w:t xml:space="preserve">– </w:t>
            </w:r>
            <w:r>
              <w:rPr>
                <w:sz w:val="20"/>
                <w:szCs w:val="20"/>
              </w:rPr>
              <w:t>0.</w:t>
            </w:r>
            <w:r w:rsidR="00492254">
              <w:rPr>
                <w:sz w:val="20"/>
                <w:szCs w:val="20"/>
              </w:rPr>
              <w:t>0</w:t>
            </w:r>
            <w:r>
              <w:rPr>
                <w:sz w:val="20"/>
                <w:szCs w:val="20"/>
              </w:rPr>
              <w:t>9</w:t>
            </w:r>
            <w:r w:rsidRPr="002665AF">
              <w:rPr>
                <w:sz w:val="20"/>
                <w:szCs w:val="20"/>
                <w:vertAlign w:val="superscript"/>
              </w:rPr>
              <w:t xml:space="preserve"> </w:t>
            </w:r>
            <w:r w:rsidR="00D96236">
              <w:rPr>
                <w:sz w:val="20"/>
                <w:szCs w:val="20"/>
                <w:vertAlign w:val="superscript"/>
              </w:rPr>
              <w:t>b</w:t>
            </w:r>
          </w:p>
          <w:p w:rsidR="000D0E37" w:rsidRPr="00DF7F22" w:rsidRDefault="003D4D88" w:rsidP="005F64AA">
            <w:pPr>
              <w:jc w:val="center"/>
              <w:rPr>
                <w:sz w:val="20"/>
                <w:szCs w:val="20"/>
              </w:rPr>
            </w:pPr>
            <w:r>
              <w:rPr>
                <w:sz w:val="20"/>
                <w:szCs w:val="20"/>
              </w:rPr>
              <w:t>0.17</w:t>
            </w:r>
            <w:r>
              <w:rPr>
                <w:sz w:val="20"/>
                <w:szCs w:val="20"/>
                <w:vertAlign w:val="superscript"/>
              </w:rPr>
              <w:t xml:space="preserve"> </w:t>
            </w:r>
            <w:r w:rsidR="00D96236">
              <w:rPr>
                <w:sz w:val="20"/>
                <w:szCs w:val="20"/>
                <w:vertAlign w:val="superscript"/>
              </w:rPr>
              <w:t>c</w:t>
            </w:r>
          </w:p>
        </w:tc>
        <w:tc>
          <w:tcPr>
            <w:tcW w:w="1530" w:type="dxa"/>
            <w:vAlign w:val="center"/>
          </w:tcPr>
          <w:p w:rsidR="003D4D88" w:rsidRDefault="00492254" w:rsidP="005F64AA">
            <w:pPr>
              <w:jc w:val="center"/>
              <w:rPr>
                <w:sz w:val="20"/>
                <w:szCs w:val="20"/>
              </w:rPr>
            </w:pPr>
            <w:r>
              <w:rPr>
                <w:sz w:val="20"/>
                <w:szCs w:val="20"/>
              </w:rPr>
              <w:t xml:space="preserve">0.18 </w:t>
            </w:r>
            <w:r>
              <w:rPr>
                <w:rFonts w:eastAsia="Calibri"/>
                <w:sz w:val="20"/>
                <w:szCs w:val="20"/>
              </w:rPr>
              <w:t>–</w:t>
            </w:r>
            <w:r>
              <w:rPr>
                <w:rFonts w:eastAsia="Calibri"/>
                <w:sz w:val="20"/>
                <w:szCs w:val="20"/>
              </w:rPr>
              <w:t xml:space="preserve"> </w:t>
            </w:r>
            <w:r>
              <w:rPr>
                <w:sz w:val="20"/>
                <w:szCs w:val="20"/>
              </w:rPr>
              <w:t>0.29</w:t>
            </w:r>
            <w:r w:rsidRPr="002665AF">
              <w:rPr>
                <w:sz w:val="20"/>
                <w:szCs w:val="20"/>
                <w:vertAlign w:val="superscript"/>
              </w:rPr>
              <w:t xml:space="preserve"> </w:t>
            </w:r>
            <w:r w:rsidR="00D96236">
              <w:rPr>
                <w:sz w:val="20"/>
                <w:szCs w:val="20"/>
                <w:vertAlign w:val="superscript"/>
              </w:rPr>
              <w:t>b</w:t>
            </w:r>
          </w:p>
          <w:p w:rsidR="00492254" w:rsidRDefault="00492254" w:rsidP="005F64AA">
            <w:pPr>
              <w:jc w:val="center"/>
              <w:rPr>
                <w:sz w:val="20"/>
                <w:szCs w:val="20"/>
              </w:rPr>
            </w:pPr>
            <w:r>
              <w:rPr>
                <w:sz w:val="20"/>
                <w:szCs w:val="20"/>
              </w:rPr>
              <w:t>0.20 – 0.40</w:t>
            </w:r>
            <w:r>
              <w:rPr>
                <w:sz w:val="20"/>
                <w:szCs w:val="20"/>
                <w:vertAlign w:val="superscript"/>
              </w:rPr>
              <w:t xml:space="preserve"> </w:t>
            </w:r>
            <w:r w:rsidR="00D96236">
              <w:rPr>
                <w:sz w:val="20"/>
                <w:szCs w:val="20"/>
                <w:vertAlign w:val="superscript"/>
              </w:rPr>
              <w:t>a</w:t>
            </w:r>
          </w:p>
          <w:p w:rsidR="000D0E37" w:rsidRPr="003D4D88" w:rsidRDefault="003D4D88" w:rsidP="005F64AA">
            <w:pPr>
              <w:jc w:val="center"/>
              <w:rPr>
                <w:sz w:val="20"/>
                <w:szCs w:val="20"/>
              </w:rPr>
            </w:pPr>
            <w:r>
              <w:rPr>
                <w:sz w:val="20"/>
                <w:szCs w:val="20"/>
              </w:rPr>
              <w:t>0.31 – 0.43</w:t>
            </w:r>
            <w:r>
              <w:rPr>
                <w:sz w:val="20"/>
                <w:szCs w:val="20"/>
                <w:vertAlign w:val="superscript"/>
              </w:rPr>
              <w:t xml:space="preserve"> c</w:t>
            </w:r>
          </w:p>
        </w:tc>
        <w:tc>
          <w:tcPr>
            <w:tcW w:w="1432" w:type="dxa"/>
            <w:vAlign w:val="center"/>
          </w:tcPr>
          <w:p w:rsidR="000D0E37" w:rsidRDefault="00FE1123" w:rsidP="005F64AA">
            <w:pPr>
              <w:jc w:val="center"/>
              <w:rPr>
                <w:rFonts w:eastAsia="Calibri"/>
                <w:sz w:val="20"/>
                <w:szCs w:val="20"/>
              </w:rPr>
            </w:pPr>
            <w:r>
              <w:rPr>
                <w:rFonts w:eastAsia="Calibri"/>
                <w:sz w:val="20"/>
                <w:szCs w:val="20"/>
              </w:rPr>
              <w:t>NA</w:t>
            </w:r>
          </w:p>
        </w:tc>
        <w:tc>
          <w:tcPr>
            <w:tcW w:w="1448" w:type="dxa"/>
            <w:vAlign w:val="center"/>
          </w:tcPr>
          <w:p w:rsidR="00713F9B" w:rsidRDefault="00713F9B" w:rsidP="005F64AA">
            <w:pPr>
              <w:jc w:val="center"/>
              <w:rPr>
                <w:rFonts w:eastAsia="Calibri"/>
                <w:sz w:val="20"/>
                <w:szCs w:val="20"/>
              </w:rPr>
            </w:pPr>
            <w:r>
              <w:rPr>
                <w:rFonts w:eastAsia="Calibri"/>
                <w:sz w:val="20"/>
                <w:szCs w:val="20"/>
              </w:rPr>
              <w:t>0.30</w:t>
            </w:r>
            <w:r w:rsidR="00E52239">
              <w:rPr>
                <w:sz w:val="20"/>
                <w:szCs w:val="20"/>
                <w:vertAlign w:val="superscript"/>
              </w:rPr>
              <w:t xml:space="preserve"> </w:t>
            </w:r>
            <w:r w:rsidR="0073598B">
              <w:rPr>
                <w:sz w:val="20"/>
                <w:szCs w:val="20"/>
                <w:vertAlign w:val="superscript"/>
              </w:rPr>
              <w:t>d</w:t>
            </w:r>
          </w:p>
          <w:p w:rsidR="000D0E37" w:rsidRDefault="000D0E37" w:rsidP="005F64AA">
            <w:pPr>
              <w:jc w:val="center"/>
              <w:rPr>
                <w:rFonts w:eastAsia="Calibri"/>
                <w:sz w:val="20"/>
                <w:szCs w:val="20"/>
              </w:rPr>
            </w:pPr>
            <w:r>
              <w:rPr>
                <w:rFonts w:eastAsia="Calibri"/>
                <w:sz w:val="20"/>
                <w:szCs w:val="20"/>
              </w:rPr>
              <w:t>0.</w:t>
            </w:r>
            <w:r w:rsidR="00713F9B">
              <w:rPr>
                <w:rFonts w:eastAsia="Calibri"/>
                <w:sz w:val="20"/>
                <w:szCs w:val="20"/>
              </w:rPr>
              <w:t>4</w:t>
            </w:r>
            <w:r>
              <w:rPr>
                <w:rFonts w:eastAsia="Calibri"/>
                <w:sz w:val="20"/>
                <w:szCs w:val="20"/>
              </w:rPr>
              <w:t>0 – 0.50</w:t>
            </w:r>
            <w:r w:rsidR="00713F9B">
              <w:rPr>
                <w:sz w:val="20"/>
                <w:szCs w:val="20"/>
                <w:vertAlign w:val="superscript"/>
              </w:rPr>
              <w:t xml:space="preserve"> </w:t>
            </w:r>
            <w:r w:rsidR="0073598B">
              <w:rPr>
                <w:sz w:val="20"/>
                <w:szCs w:val="20"/>
                <w:vertAlign w:val="superscript"/>
              </w:rPr>
              <w:t>e</w:t>
            </w:r>
          </w:p>
        </w:tc>
      </w:tr>
      <w:tr w:rsidR="003D4D88" w:rsidRPr="00306128" w:rsidTr="003B3994">
        <w:trPr>
          <w:trHeight w:val="656"/>
        </w:trPr>
        <w:tc>
          <w:tcPr>
            <w:tcW w:w="1348" w:type="dxa"/>
            <w:vAlign w:val="center"/>
          </w:tcPr>
          <w:p w:rsidR="000D0E37" w:rsidRDefault="000D0E37" w:rsidP="005F64AA">
            <w:pPr>
              <w:jc w:val="center"/>
              <w:rPr>
                <w:rFonts w:eastAsiaTheme="minorEastAsia"/>
                <w:sz w:val="20"/>
                <w:szCs w:val="20"/>
              </w:rPr>
            </w:pPr>
            <w:r w:rsidRPr="00AE06B7">
              <w:rPr>
                <w:rFonts w:eastAsiaTheme="minorEastAsia"/>
                <w:sz w:val="20"/>
                <w:szCs w:val="20"/>
              </w:rPr>
              <w:t>Emissivity,</w:t>
            </w:r>
          </w:p>
          <w:p w:rsidR="000D0E37" w:rsidRPr="00DF7F22" w:rsidRDefault="000D0E37" w:rsidP="005F64AA">
            <w:pPr>
              <w:jc w:val="center"/>
              <w:rPr>
                <w:sz w:val="20"/>
                <w:szCs w:val="20"/>
              </w:rPr>
            </w:pPr>
            <w:r w:rsidRPr="00AE06B7">
              <w:rPr>
                <w:rFonts w:eastAsiaTheme="minorEastAsia"/>
                <w:sz w:val="20"/>
                <w:szCs w:val="20"/>
              </w:rPr>
              <w:t>ε</w:t>
            </w:r>
          </w:p>
        </w:tc>
        <w:tc>
          <w:tcPr>
            <w:tcW w:w="1172" w:type="dxa"/>
            <w:vAlign w:val="center"/>
          </w:tcPr>
          <w:p w:rsidR="000D0E37" w:rsidRPr="002665AF" w:rsidRDefault="000D0E37" w:rsidP="005F64AA">
            <w:pPr>
              <w:jc w:val="center"/>
              <w:rPr>
                <w:i/>
                <w:sz w:val="20"/>
                <w:szCs w:val="20"/>
              </w:rPr>
            </w:pPr>
            <w:r w:rsidRPr="002665AF">
              <w:rPr>
                <w:rFonts w:eastAsiaTheme="minorEastAsia"/>
                <w:i/>
                <w:sz w:val="20"/>
                <w:szCs w:val="20"/>
              </w:rPr>
              <w:t>dimension-less</w:t>
            </w:r>
          </w:p>
        </w:tc>
        <w:tc>
          <w:tcPr>
            <w:tcW w:w="1530" w:type="dxa"/>
            <w:vAlign w:val="center"/>
          </w:tcPr>
          <w:p w:rsidR="009F54BD" w:rsidRDefault="009F54BD" w:rsidP="005F64AA">
            <w:pPr>
              <w:jc w:val="center"/>
              <w:rPr>
                <w:rFonts w:eastAsia="Calibri"/>
                <w:sz w:val="20"/>
                <w:szCs w:val="20"/>
              </w:rPr>
            </w:pPr>
            <w:r>
              <w:rPr>
                <w:rFonts w:eastAsia="Calibri"/>
                <w:sz w:val="20"/>
                <w:szCs w:val="20"/>
              </w:rPr>
              <w:t>0.85</w:t>
            </w:r>
            <w:r>
              <w:rPr>
                <w:sz w:val="20"/>
                <w:szCs w:val="20"/>
                <w:vertAlign w:val="superscript"/>
              </w:rPr>
              <w:t xml:space="preserve"> </w:t>
            </w:r>
            <w:r w:rsidR="00D96236">
              <w:rPr>
                <w:sz w:val="20"/>
                <w:szCs w:val="20"/>
                <w:vertAlign w:val="superscript"/>
              </w:rPr>
              <w:t>c</w:t>
            </w:r>
            <w:r w:rsidR="00E52239">
              <w:rPr>
                <w:sz w:val="20"/>
                <w:szCs w:val="20"/>
                <w:vertAlign w:val="superscript"/>
              </w:rPr>
              <w:t xml:space="preserve">, </w:t>
            </w:r>
            <w:r w:rsidR="00931BAD">
              <w:rPr>
                <w:sz w:val="20"/>
                <w:szCs w:val="20"/>
                <w:vertAlign w:val="superscript"/>
              </w:rPr>
              <w:t>f</w:t>
            </w:r>
          </w:p>
          <w:p w:rsidR="000D0E37" w:rsidRDefault="00E52239" w:rsidP="005F64AA">
            <w:pPr>
              <w:jc w:val="center"/>
              <w:rPr>
                <w:sz w:val="20"/>
                <w:szCs w:val="20"/>
                <w:vertAlign w:val="superscript"/>
              </w:rPr>
            </w:pPr>
            <w:r>
              <w:rPr>
                <w:rFonts w:eastAsia="Calibri"/>
                <w:sz w:val="20"/>
                <w:szCs w:val="20"/>
              </w:rPr>
              <w:t>0.90</w:t>
            </w:r>
            <w:r>
              <w:rPr>
                <w:sz w:val="20"/>
                <w:szCs w:val="20"/>
                <w:vertAlign w:val="superscript"/>
              </w:rPr>
              <w:t xml:space="preserve"> </w:t>
            </w:r>
            <w:r>
              <w:rPr>
                <w:sz w:val="20"/>
                <w:szCs w:val="20"/>
                <w:vertAlign w:val="superscript"/>
              </w:rPr>
              <w:t>g</w:t>
            </w:r>
          </w:p>
          <w:p w:rsidR="003149A2" w:rsidRPr="003149A2" w:rsidRDefault="003149A2" w:rsidP="005F64AA">
            <w:pPr>
              <w:jc w:val="center"/>
              <w:rPr>
                <w:sz w:val="20"/>
                <w:szCs w:val="20"/>
              </w:rPr>
            </w:pPr>
            <w:r w:rsidRPr="003149A2">
              <w:rPr>
                <w:sz w:val="20"/>
                <w:szCs w:val="20"/>
              </w:rPr>
              <w:t>0.90</w:t>
            </w:r>
            <w:r>
              <w:rPr>
                <w:sz w:val="20"/>
                <w:szCs w:val="20"/>
              </w:rPr>
              <w:t xml:space="preserve"> – 0.</w:t>
            </w:r>
            <w:r w:rsidR="00282834">
              <w:rPr>
                <w:sz w:val="20"/>
                <w:szCs w:val="20"/>
              </w:rPr>
              <w:t>95</w:t>
            </w:r>
            <w:r w:rsidR="00DF61F2">
              <w:rPr>
                <w:sz w:val="20"/>
                <w:szCs w:val="20"/>
                <w:vertAlign w:val="superscript"/>
              </w:rPr>
              <w:t xml:space="preserve"> </w:t>
            </w:r>
            <w:r w:rsidR="00DF61F2">
              <w:rPr>
                <w:sz w:val="20"/>
                <w:szCs w:val="20"/>
                <w:vertAlign w:val="superscript"/>
              </w:rPr>
              <w:t>h</w:t>
            </w:r>
          </w:p>
        </w:tc>
        <w:tc>
          <w:tcPr>
            <w:tcW w:w="1530" w:type="dxa"/>
            <w:vAlign w:val="center"/>
          </w:tcPr>
          <w:p w:rsidR="003D4D88" w:rsidRDefault="000D0E37" w:rsidP="005F64AA">
            <w:pPr>
              <w:jc w:val="center"/>
              <w:rPr>
                <w:rFonts w:eastAsia="Calibri"/>
                <w:color w:val="000000" w:themeColor="text1"/>
                <w:sz w:val="20"/>
                <w:szCs w:val="20"/>
              </w:rPr>
            </w:pPr>
            <w:r w:rsidRPr="002F375D">
              <w:rPr>
                <w:rFonts w:eastAsia="Calibri"/>
                <w:color w:val="000000" w:themeColor="text1"/>
                <w:sz w:val="20"/>
                <w:szCs w:val="20"/>
              </w:rPr>
              <w:t>0.90</w:t>
            </w:r>
            <w:r w:rsidR="003D4D88">
              <w:rPr>
                <w:sz w:val="20"/>
                <w:szCs w:val="20"/>
                <w:vertAlign w:val="superscript"/>
              </w:rPr>
              <w:t xml:space="preserve"> </w:t>
            </w:r>
            <w:r w:rsidR="003D4D88">
              <w:rPr>
                <w:sz w:val="20"/>
                <w:szCs w:val="20"/>
                <w:vertAlign w:val="superscript"/>
              </w:rPr>
              <w:t>i</w:t>
            </w:r>
          </w:p>
          <w:p w:rsidR="000D0E37" w:rsidRPr="00DF7F22" w:rsidRDefault="003D4D88" w:rsidP="005F64AA">
            <w:pPr>
              <w:jc w:val="center"/>
              <w:rPr>
                <w:rFonts w:eastAsia="Calibri"/>
                <w:sz w:val="20"/>
                <w:szCs w:val="20"/>
              </w:rPr>
            </w:pPr>
            <w:r>
              <w:rPr>
                <w:rFonts w:eastAsia="Calibri"/>
                <w:color w:val="000000" w:themeColor="text1"/>
                <w:sz w:val="20"/>
                <w:szCs w:val="20"/>
              </w:rPr>
              <w:t xml:space="preserve">0.92 </w:t>
            </w:r>
            <w:r w:rsidR="003D1FEE" w:rsidRPr="00D50CCA">
              <w:rPr>
                <w:rFonts w:eastAsia="Calibri"/>
                <w:sz w:val="20"/>
                <w:szCs w:val="20"/>
              </w:rPr>
              <w:t>–</w:t>
            </w:r>
            <w:r>
              <w:rPr>
                <w:rFonts w:eastAsia="Calibri"/>
                <w:color w:val="000000" w:themeColor="text1"/>
                <w:sz w:val="20"/>
                <w:szCs w:val="20"/>
              </w:rPr>
              <w:t xml:space="preserve"> </w:t>
            </w:r>
            <w:r w:rsidR="000D0E37" w:rsidRPr="002F375D">
              <w:rPr>
                <w:rFonts w:eastAsia="Calibri"/>
                <w:color w:val="000000" w:themeColor="text1"/>
                <w:sz w:val="20"/>
                <w:szCs w:val="20"/>
              </w:rPr>
              <w:t>0.96</w:t>
            </w:r>
            <w:r w:rsidR="002665AF">
              <w:rPr>
                <w:sz w:val="20"/>
                <w:szCs w:val="20"/>
                <w:vertAlign w:val="superscript"/>
              </w:rPr>
              <w:t xml:space="preserve"> </w:t>
            </w:r>
            <w:r w:rsidR="00167A34">
              <w:rPr>
                <w:sz w:val="20"/>
                <w:szCs w:val="20"/>
                <w:vertAlign w:val="superscript"/>
              </w:rPr>
              <w:t>j</w:t>
            </w:r>
          </w:p>
        </w:tc>
        <w:tc>
          <w:tcPr>
            <w:tcW w:w="1432" w:type="dxa"/>
            <w:vAlign w:val="center"/>
          </w:tcPr>
          <w:p w:rsidR="000D0E37" w:rsidRDefault="00FE1123" w:rsidP="005F64AA">
            <w:pPr>
              <w:jc w:val="center"/>
              <w:rPr>
                <w:rFonts w:eastAsia="Calibri"/>
                <w:sz w:val="20"/>
                <w:szCs w:val="20"/>
              </w:rPr>
            </w:pPr>
            <w:r>
              <w:rPr>
                <w:rFonts w:eastAsia="Calibri"/>
                <w:sz w:val="20"/>
                <w:szCs w:val="20"/>
              </w:rPr>
              <w:t>NA</w:t>
            </w:r>
          </w:p>
        </w:tc>
        <w:tc>
          <w:tcPr>
            <w:tcW w:w="1448" w:type="dxa"/>
            <w:vAlign w:val="center"/>
          </w:tcPr>
          <w:p w:rsidR="000D0E37" w:rsidRDefault="000D0E37" w:rsidP="005F64AA">
            <w:pPr>
              <w:jc w:val="center"/>
              <w:rPr>
                <w:rFonts w:eastAsia="Calibri"/>
                <w:sz w:val="20"/>
                <w:szCs w:val="20"/>
              </w:rPr>
            </w:pPr>
            <w:r w:rsidRPr="002F375D">
              <w:rPr>
                <w:rFonts w:eastAsia="Calibri"/>
                <w:color w:val="000000" w:themeColor="text1"/>
                <w:sz w:val="20"/>
                <w:szCs w:val="20"/>
              </w:rPr>
              <w:t>0.90 – 0.97</w:t>
            </w:r>
            <w:r w:rsidR="00E52239">
              <w:rPr>
                <w:sz w:val="20"/>
                <w:szCs w:val="20"/>
                <w:vertAlign w:val="superscript"/>
              </w:rPr>
              <w:t xml:space="preserve"> </w:t>
            </w:r>
            <w:r w:rsidR="0073598B">
              <w:rPr>
                <w:sz w:val="20"/>
                <w:szCs w:val="20"/>
                <w:vertAlign w:val="superscript"/>
              </w:rPr>
              <w:t>d</w:t>
            </w:r>
          </w:p>
        </w:tc>
      </w:tr>
      <w:tr w:rsidR="003D4D88" w:rsidRPr="00306128" w:rsidTr="003B3994">
        <w:trPr>
          <w:trHeight w:val="1160"/>
        </w:trPr>
        <w:tc>
          <w:tcPr>
            <w:tcW w:w="1348" w:type="dxa"/>
            <w:vAlign w:val="center"/>
          </w:tcPr>
          <w:p w:rsidR="00111766" w:rsidRDefault="00111766" w:rsidP="005F64AA">
            <w:pPr>
              <w:jc w:val="center"/>
              <w:rPr>
                <w:sz w:val="20"/>
                <w:szCs w:val="20"/>
              </w:rPr>
            </w:pPr>
            <w:r w:rsidRPr="00DF7F22">
              <w:rPr>
                <w:sz w:val="20"/>
                <w:szCs w:val="20"/>
              </w:rPr>
              <w:t xml:space="preserve">Thermal </w:t>
            </w:r>
            <w:r>
              <w:rPr>
                <w:sz w:val="20"/>
                <w:szCs w:val="20"/>
              </w:rPr>
              <w:t>conductivity</w:t>
            </w:r>
            <w:r w:rsidRPr="00DF7F22">
              <w:rPr>
                <w:sz w:val="20"/>
                <w:szCs w:val="20"/>
              </w:rPr>
              <w:t>,</w:t>
            </w:r>
          </w:p>
          <w:p w:rsidR="00111766" w:rsidRPr="00DF7F22" w:rsidRDefault="00111766" w:rsidP="005F64AA">
            <w:pPr>
              <w:jc w:val="center"/>
              <w:rPr>
                <w:sz w:val="20"/>
                <w:szCs w:val="20"/>
              </w:rPr>
            </w:pPr>
            <m:oMathPara>
              <m:oMath>
                <m:r>
                  <m:rPr>
                    <m:sty m:val="p"/>
                  </m:rPr>
                  <w:rPr>
                    <w:rFonts w:ascii="Cambria Math" w:hAnsi="Cambria Math"/>
                    <w:sz w:val="20"/>
                    <w:szCs w:val="20"/>
                  </w:rPr>
                  <m:t>k</m:t>
                </m:r>
              </m:oMath>
            </m:oMathPara>
          </w:p>
        </w:tc>
        <w:tc>
          <w:tcPr>
            <w:tcW w:w="1172" w:type="dxa"/>
            <w:vAlign w:val="center"/>
          </w:tcPr>
          <w:p w:rsidR="00111766" w:rsidRPr="00DF7F22" w:rsidRDefault="00111766" w:rsidP="005F64AA">
            <w:pPr>
              <w:jc w:val="center"/>
              <w:rPr>
                <w:sz w:val="20"/>
                <w:szCs w:val="20"/>
              </w:rPr>
            </w:pPr>
            <m:oMathPara>
              <m:oMath>
                <m:f>
                  <m:fPr>
                    <m:ctrlPr>
                      <w:rPr>
                        <w:rFonts w:ascii="Cambria Math" w:hAnsi="Cambria Math"/>
                        <w:i/>
                        <w:sz w:val="20"/>
                        <w:szCs w:val="20"/>
                      </w:rPr>
                    </m:ctrlPr>
                  </m:fPr>
                  <m:num>
                    <m:r>
                      <w:rPr>
                        <w:rFonts w:ascii="Cambria Math" w:hAnsi="Cambria Math"/>
                        <w:sz w:val="20"/>
                        <w:szCs w:val="20"/>
                      </w:rPr>
                      <m:t>W</m:t>
                    </m:r>
                  </m:num>
                  <m:den>
                    <m:r>
                      <w:rPr>
                        <w:rFonts w:ascii="Cambria Math" w:hAnsi="Cambria Math"/>
                        <w:sz w:val="20"/>
                        <w:szCs w:val="20"/>
                      </w:rPr>
                      <m:t>m∙K</m:t>
                    </m:r>
                  </m:den>
                </m:f>
              </m:oMath>
            </m:oMathPara>
          </w:p>
        </w:tc>
        <w:tc>
          <w:tcPr>
            <w:tcW w:w="1530" w:type="dxa"/>
            <w:vAlign w:val="center"/>
          </w:tcPr>
          <w:p w:rsidR="009F54BD" w:rsidRDefault="00111766" w:rsidP="005F64AA">
            <w:pPr>
              <w:jc w:val="center"/>
              <w:rPr>
                <w:rFonts w:eastAsia="Calibri"/>
                <w:sz w:val="20"/>
                <w:szCs w:val="20"/>
              </w:rPr>
            </w:pPr>
            <w:r w:rsidRPr="00541BD5">
              <w:rPr>
                <w:rFonts w:eastAsia="Calibri"/>
                <w:sz w:val="20"/>
                <w:szCs w:val="20"/>
              </w:rPr>
              <w:t>1.2</w:t>
            </w:r>
            <w:r w:rsidR="009F54BD">
              <w:rPr>
                <w:sz w:val="20"/>
                <w:szCs w:val="20"/>
                <w:vertAlign w:val="superscript"/>
              </w:rPr>
              <w:t xml:space="preserve"> </w:t>
            </w:r>
            <w:r w:rsidR="00D96236">
              <w:rPr>
                <w:sz w:val="20"/>
                <w:szCs w:val="20"/>
                <w:vertAlign w:val="superscript"/>
              </w:rPr>
              <w:t>c</w:t>
            </w:r>
          </w:p>
          <w:p w:rsidR="00640E89" w:rsidRDefault="00640E89" w:rsidP="005F64AA">
            <w:pPr>
              <w:jc w:val="center"/>
              <w:rPr>
                <w:rFonts w:eastAsia="Calibri"/>
                <w:sz w:val="20"/>
                <w:szCs w:val="20"/>
              </w:rPr>
            </w:pPr>
            <w:r>
              <w:rPr>
                <w:rFonts w:eastAsia="Calibri"/>
                <w:sz w:val="20"/>
                <w:szCs w:val="20"/>
              </w:rPr>
              <w:t>1.4 – 1.8</w:t>
            </w:r>
            <w:r>
              <w:rPr>
                <w:sz w:val="20"/>
                <w:szCs w:val="20"/>
                <w:vertAlign w:val="superscript"/>
              </w:rPr>
              <w:t xml:space="preserve"> </w:t>
            </w:r>
            <w:r>
              <w:rPr>
                <w:sz w:val="20"/>
                <w:szCs w:val="20"/>
                <w:vertAlign w:val="superscript"/>
              </w:rPr>
              <w:t>k</w:t>
            </w:r>
          </w:p>
          <w:p w:rsidR="009F54BD" w:rsidRDefault="00DD16FC" w:rsidP="005F64AA">
            <w:pPr>
              <w:jc w:val="center"/>
              <w:rPr>
                <w:sz w:val="20"/>
                <w:szCs w:val="20"/>
                <w:vertAlign w:val="superscript"/>
              </w:rPr>
            </w:pPr>
            <w:r>
              <w:rPr>
                <w:rFonts w:eastAsia="Calibri"/>
                <w:sz w:val="20"/>
                <w:szCs w:val="20"/>
              </w:rPr>
              <w:t>1.5</w:t>
            </w:r>
            <w:r>
              <w:rPr>
                <w:sz w:val="20"/>
                <w:szCs w:val="20"/>
                <w:vertAlign w:val="superscript"/>
              </w:rPr>
              <w:t xml:space="preserve"> </w:t>
            </w:r>
            <w:r>
              <w:rPr>
                <w:sz w:val="20"/>
                <w:szCs w:val="20"/>
                <w:vertAlign w:val="superscript"/>
              </w:rPr>
              <w:t>g</w:t>
            </w:r>
          </w:p>
          <w:p w:rsidR="00D23A76" w:rsidRDefault="00D23A76" w:rsidP="005F64AA">
            <w:pPr>
              <w:jc w:val="center"/>
              <w:rPr>
                <w:rFonts w:eastAsia="Calibri"/>
                <w:sz w:val="20"/>
                <w:szCs w:val="20"/>
              </w:rPr>
            </w:pPr>
            <w:r>
              <w:rPr>
                <w:rFonts w:eastAsia="Calibri"/>
                <w:sz w:val="20"/>
                <w:szCs w:val="20"/>
              </w:rPr>
              <w:t>1.6</w:t>
            </w:r>
            <w:r>
              <w:rPr>
                <w:sz w:val="20"/>
                <w:szCs w:val="20"/>
                <w:vertAlign w:val="superscript"/>
              </w:rPr>
              <w:t xml:space="preserve"> </w:t>
            </w:r>
            <w:r>
              <w:rPr>
                <w:sz w:val="20"/>
                <w:szCs w:val="20"/>
                <w:vertAlign w:val="superscript"/>
              </w:rPr>
              <w:t>l</w:t>
            </w:r>
          </w:p>
          <w:p w:rsidR="00DD16FC" w:rsidRPr="00D23A76" w:rsidRDefault="003D1FEE" w:rsidP="005F64AA">
            <w:pPr>
              <w:jc w:val="center"/>
              <w:rPr>
                <w:sz w:val="20"/>
                <w:szCs w:val="20"/>
                <w:vertAlign w:val="superscript"/>
              </w:rPr>
            </w:pPr>
            <w:r>
              <w:rPr>
                <w:rFonts w:eastAsia="Calibri"/>
                <w:sz w:val="20"/>
                <w:szCs w:val="20"/>
              </w:rPr>
              <w:t xml:space="preserve">1.9 </w:t>
            </w:r>
            <w:r w:rsidRPr="00D50CCA">
              <w:rPr>
                <w:rFonts w:eastAsia="Calibri"/>
                <w:sz w:val="20"/>
                <w:szCs w:val="20"/>
              </w:rPr>
              <w:t>–</w:t>
            </w:r>
            <w:r>
              <w:rPr>
                <w:rFonts w:eastAsia="Calibri"/>
                <w:sz w:val="20"/>
                <w:szCs w:val="20"/>
              </w:rPr>
              <w:t xml:space="preserve"> 2.2</w:t>
            </w:r>
            <w:r>
              <w:rPr>
                <w:sz w:val="20"/>
                <w:szCs w:val="20"/>
                <w:vertAlign w:val="superscript"/>
              </w:rPr>
              <w:t xml:space="preserve"> </w:t>
            </w:r>
            <w:r w:rsidR="00CE1AE1">
              <w:rPr>
                <w:sz w:val="20"/>
                <w:szCs w:val="20"/>
                <w:vertAlign w:val="superscript"/>
              </w:rPr>
              <w:t>m</w:t>
            </w:r>
          </w:p>
        </w:tc>
        <w:tc>
          <w:tcPr>
            <w:tcW w:w="1530" w:type="dxa"/>
            <w:vAlign w:val="center"/>
          </w:tcPr>
          <w:p w:rsidR="00710A56" w:rsidRDefault="00710A56" w:rsidP="005F64AA">
            <w:pPr>
              <w:jc w:val="center"/>
              <w:rPr>
                <w:rFonts w:eastAsia="Calibri"/>
                <w:sz w:val="20"/>
                <w:szCs w:val="20"/>
              </w:rPr>
            </w:pPr>
            <w:r>
              <w:rPr>
                <w:rFonts w:eastAsia="Calibri"/>
                <w:sz w:val="20"/>
                <w:szCs w:val="20"/>
              </w:rPr>
              <w:t>1.2</w:t>
            </w:r>
            <w:r>
              <w:rPr>
                <w:sz w:val="20"/>
                <w:szCs w:val="20"/>
                <w:vertAlign w:val="superscript"/>
              </w:rPr>
              <w:t xml:space="preserve"> </w:t>
            </w:r>
            <w:r w:rsidR="00CE1AE1">
              <w:rPr>
                <w:sz w:val="20"/>
                <w:szCs w:val="20"/>
                <w:vertAlign w:val="superscript"/>
              </w:rPr>
              <w:t>n</w:t>
            </w:r>
          </w:p>
          <w:p w:rsidR="003D4D88" w:rsidRDefault="00111766" w:rsidP="005F64AA">
            <w:pPr>
              <w:jc w:val="center"/>
              <w:rPr>
                <w:sz w:val="20"/>
                <w:szCs w:val="20"/>
                <w:vertAlign w:val="superscript"/>
              </w:rPr>
            </w:pPr>
            <w:r w:rsidRPr="00D50CCA">
              <w:rPr>
                <w:rFonts w:eastAsia="Calibri"/>
                <w:sz w:val="20"/>
                <w:szCs w:val="20"/>
              </w:rPr>
              <w:t>1.2 –</w:t>
            </w:r>
            <w:r w:rsidR="003D4D88">
              <w:rPr>
                <w:rFonts w:eastAsia="Calibri"/>
                <w:sz w:val="20"/>
                <w:szCs w:val="20"/>
              </w:rPr>
              <w:t xml:space="preserve"> 1.4</w:t>
            </w:r>
            <w:r w:rsidR="003D4D88">
              <w:rPr>
                <w:sz w:val="20"/>
                <w:szCs w:val="20"/>
                <w:vertAlign w:val="superscript"/>
              </w:rPr>
              <w:t xml:space="preserve"> </w:t>
            </w:r>
            <w:r w:rsidR="00167A34">
              <w:rPr>
                <w:sz w:val="20"/>
                <w:szCs w:val="20"/>
                <w:vertAlign w:val="superscript"/>
              </w:rPr>
              <w:t>j</w:t>
            </w:r>
          </w:p>
          <w:p w:rsidR="00DD16FC" w:rsidRDefault="00DD16FC" w:rsidP="005F64AA">
            <w:pPr>
              <w:jc w:val="center"/>
              <w:rPr>
                <w:rFonts w:eastAsia="Calibri"/>
                <w:sz w:val="20"/>
                <w:szCs w:val="20"/>
              </w:rPr>
            </w:pPr>
            <w:r>
              <w:rPr>
                <w:rFonts w:eastAsia="Calibri"/>
                <w:sz w:val="20"/>
                <w:szCs w:val="20"/>
              </w:rPr>
              <w:t>1.5</w:t>
            </w:r>
            <w:r>
              <w:rPr>
                <w:sz w:val="20"/>
                <w:szCs w:val="20"/>
                <w:vertAlign w:val="superscript"/>
              </w:rPr>
              <w:t xml:space="preserve"> i</w:t>
            </w:r>
          </w:p>
          <w:p w:rsidR="00111766" w:rsidRPr="00DF7F22" w:rsidRDefault="000D1263" w:rsidP="005F64AA">
            <w:pPr>
              <w:jc w:val="center"/>
              <w:rPr>
                <w:rFonts w:eastAsia="Calibri"/>
                <w:sz w:val="20"/>
                <w:szCs w:val="20"/>
              </w:rPr>
            </w:pPr>
            <w:r>
              <w:rPr>
                <w:rFonts w:eastAsia="Calibri"/>
                <w:sz w:val="20"/>
                <w:szCs w:val="20"/>
              </w:rPr>
              <w:t>2.2</w:t>
            </w:r>
            <w:r w:rsidR="00D23A76">
              <w:rPr>
                <w:sz w:val="20"/>
                <w:szCs w:val="20"/>
                <w:vertAlign w:val="superscript"/>
              </w:rPr>
              <w:t xml:space="preserve"> </w:t>
            </w:r>
            <w:r w:rsidR="00D23A76">
              <w:rPr>
                <w:sz w:val="20"/>
                <w:szCs w:val="20"/>
                <w:vertAlign w:val="superscript"/>
              </w:rPr>
              <w:t>l</w:t>
            </w:r>
          </w:p>
        </w:tc>
        <w:tc>
          <w:tcPr>
            <w:tcW w:w="1432" w:type="dxa"/>
            <w:vAlign w:val="center"/>
          </w:tcPr>
          <w:p w:rsidR="00710A56" w:rsidRDefault="00710A56" w:rsidP="005F64AA">
            <w:pPr>
              <w:jc w:val="center"/>
              <w:rPr>
                <w:rFonts w:eastAsia="Calibri"/>
                <w:sz w:val="20"/>
                <w:szCs w:val="20"/>
              </w:rPr>
            </w:pPr>
            <w:r>
              <w:rPr>
                <w:rFonts w:eastAsia="Calibri"/>
                <w:sz w:val="20"/>
                <w:szCs w:val="20"/>
              </w:rPr>
              <w:t>1.5</w:t>
            </w:r>
            <w:r>
              <w:rPr>
                <w:sz w:val="20"/>
                <w:szCs w:val="20"/>
                <w:vertAlign w:val="superscript"/>
              </w:rPr>
              <w:t xml:space="preserve"> </w:t>
            </w:r>
            <w:r>
              <w:rPr>
                <w:sz w:val="20"/>
                <w:szCs w:val="20"/>
                <w:vertAlign w:val="superscript"/>
              </w:rPr>
              <w:t>g</w:t>
            </w:r>
          </w:p>
          <w:p w:rsidR="00111766" w:rsidRDefault="002665AF" w:rsidP="005F64AA">
            <w:pPr>
              <w:jc w:val="center"/>
              <w:rPr>
                <w:rFonts w:eastAsia="Calibri"/>
                <w:sz w:val="20"/>
                <w:szCs w:val="20"/>
              </w:rPr>
            </w:pPr>
            <w:r>
              <w:rPr>
                <w:rFonts w:eastAsia="Calibri"/>
                <w:sz w:val="20"/>
                <w:szCs w:val="20"/>
              </w:rPr>
              <w:t>3.0</w:t>
            </w:r>
            <w:r>
              <w:rPr>
                <w:sz w:val="20"/>
                <w:szCs w:val="20"/>
                <w:vertAlign w:val="superscript"/>
              </w:rPr>
              <w:t xml:space="preserve"> </w:t>
            </w:r>
            <w:r>
              <w:rPr>
                <w:sz w:val="20"/>
                <w:szCs w:val="20"/>
                <w:vertAlign w:val="superscript"/>
              </w:rPr>
              <w:t>l</w:t>
            </w:r>
          </w:p>
        </w:tc>
        <w:tc>
          <w:tcPr>
            <w:tcW w:w="1448" w:type="dxa"/>
            <w:vAlign w:val="center"/>
          </w:tcPr>
          <w:p w:rsidR="003B447F" w:rsidRDefault="003B447F" w:rsidP="005F64AA">
            <w:pPr>
              <w:jc w:val="center"/>
              <w:rPr>
                <w:rFonts w:eastAsia="Calibri"/>
                <w:sz w:val="20"/>
                <w:szCs w:val="20"/>
              </w:rPr>
            </w:pPr>
            <w:r>
              <w:rPr>
                <w:rFonts w:eastAsia="Calibri"/>
                <w:sz w:val="20"/>
                <w:szCs w:val="20"/>
              </w:rPr>
              <w:t>1.0</w:t>
            </w:r>
            <w:r>
              <w:rPr>
                <w:sz w:val="20"/>
                <w:szCs w:val="20"/>
                <w:vertAlign w:val="superscript"/>
              </w:rPr>
              <w:t xml:space="preserve"> </w:t>
            </w:r>
            <w:r w:rsidR="00D96236">
              <w:rPr>
                <w:sz w:val="20"/>
                <w:szCs w:val="20"/>
                <w:vertAlign w:val="superscript"/>
              </w:rPr>
              <w:t>c</w:t>
            </w:r>
          </w:p>
          <w:p w:rsidR="00D23A76" w:rsidRDefault="00D23A76" w:rsidP="005F64AA">
            <w:pPr>
              <w:jc w:val="center"/>
              <w:rPr>
                <w:rFonts w:eastAsia="Calibri"/>
                <w:sz w:val="20"/>
                <w:szCs w:val="20"/>
              </w:rPr>
            </w:pPr>
            <w:r>
              <w:rPr>
                <w:rFonts w:eastAsia="Calibri"/>
                <w:sz w:val="20"/>
                <w:szCs w:val="20"/>
              </w:rPr>
              <w:t>1.2</w:t>
            </w:r>
            <w:r>
              <w:rPr>
                <w:sz w:val="20"/>
                <w:szCs w:val="20"/>
                <w:vertAlign w:val="superscript"/>
              </w:rPr>
              <w:t xml:space="preserve"> </w:t>
            </w:r>
            <w:r>
              <w:rPr>
                <w:sz w:val="20"/>
                <w:szCs w:val="20"/>
                <w:vertAlign w:val="superscript"/>
              </w:rPr>
              <w:t>l</w:t>
            </w:r>
          </w:p>
          <w:p w:rsidR="00111766" w:rsidRPr="00DF7F22" w:rsidRDefault="00111766" w:rsidP="005F64AA">
            <w:pPr>
              <w:jc w:val="center"/>
              <w:rPr>
                <w:rFonts w:eastAsia="Calibri"/>
                <w:sz w:val="20"/>
                <w:szCs w:val="20"/>
              </w:rPr>
            </w:pPr>
            <w:r>
              <w:rPr>
                <w:rFonts w:eastAsia="Calibri"/>
                <w:sz w:val="20"/>
                <w:szCs w:val="20"/>
              </w:rPr>
              <w:t>1.</w:t>
            </w:r>
            <w:r w:rsidR="000D1263">
              <w:rPr>
                <w:rFonts w:eastAsia="Calibri"/>
                <w:sz w:val="20"/>
                <w:szCs w:val="20"/>
              </w:rPr>
              <w:t>8</w:t>
            </w:r>
            <w:r w:rsidR="00710A56">
              <w:rPr>
                <w:sz w:val="20"/>
                <w:szCs w:val="20"/>
                <w:vertAlign w:val="superscript"/>
              </w:rPr>
              <w:t xml:space="preserve"> </w:t>
            </w:r>
            <w:r w:rsidR="00710A56">
              <w:rPr>
                <w:sz w:val="20"/>
                <w:szCs w:val="20"/>
                <w:vertAlign w:val="superscript"/>
              </w:rPr>
              <w:t>g</w:t>
            </w:r>
          </w:p>
        </w:tc>
      </w:tr>
      <w:tr w:rsidR="003D4D88" w:rsidRPr="00306128" w:rsidTr="003B3994">
        <w:trPr>
          <w:trHeight w:val="1250"/>
        </w:trPr>
        <w:tc>
          <w:tcPr>
            <w:tcW w:w="1348" w:type="dxa"/>
            <w:vAlign w:val="center"/>
          </w:tcPr>
          <w:p w:rsidR="00111766" w:rsidRDefault="00111766" w:rsidP="005F64AA">
            <w:pPr>
              <w:jc w:val="center"/>
              <w:rPr>
                <w:sz w:val="20"/>
                <w:szCs w:val="20"/>
              </w:rPr>
            </w:pPr>
            <w:r w:rsidRPr="00DF7F22">
              <w:rPr>
                <w:sz w:val="20"/>
                <w:szCs w:val="20"/>
              </w:rPr>
              <w:t>Density,</w:t>
            </w:r>
          </w:p>
          <w:p w:rsidR="00111766" w:rsidRPr="00DF7F22" w:rsidRDefault="00111766" w:rsidP="005F64AA">
            <w:pPr>
              <w:jc w:val="center"/>
              <w:rPr>
                <w:sz w:val="20"/>
                <w:szCs w:val="20"/>
              </w:rPr>
            </w:pPr>
            <m:oMathPara>
              <m:oMath>
                <m:r>
                  <m:rPr>
                    <m:sty m:val="p"/>
                  </m:rPr>
                  <w:rPr>
                    <w:rFonts w:ascii="Cambria Math" w:hAnsi="Cambria Math"/>
                    <w:sz w:val="20"/>
                    <w:szCs w:val="20"/>
                  </w:rPr>
                  <m:t>ρ</m:t>
                </m:r>
              </m:oMath>
            </m:oMathPara>
          </w:p>
        </w:tc>
        <w:tc>
          <w:tcPr>
            <w:tcW w:w="1172" w:type="dxa"/>
            <w:vAlign w:val="center"/>
          </w:tcPr>
          <w:p w:rsidR="00111766" w:rsidRPr="00DF7F22" w:rsidRDefault="00111766" w:rsidP="005F64AA">
            <w:pPr>
              <w:jc w:val="center"/>
              <w:rPr>
                <w:sz w:val="20"/>
                <w:szCs w:val="20"/>
              </w:rPr>
            </w:pPr>
            <m:oMathPara>
              <m:oMath>
                <m:f>
                  <m:fPr>
                    <m:ctrlPr>
                      <w:rPr>
                        <w:rFonts w:ascii="Cambria Math" w:hAnsi="Cambria Math"/>
                        <w:i/>
                        <w:sz w:val="20"/>
                        <w:szCs w:val="20"/>
                      </w:rPr>
                    </m:ctrlPr>
                  </m:fPr>
                  <m:num>
                    <m:r>
                      <w:rPr>
                        <w:rFonts w:ascii="Cambria Math" w:hAnsi="Cambria Math"/>
                        <w:sz w:val="20"/>
                        <w:szCs w:val="20"/>
                      </w:rPr>
                      <m:t>kg</m:t>
                    </m:r>
                  </m:num>
                  <m:den>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3</m:t>
                        </m:r>
                      </m:sup>
                    </m:sSup>
                  </m:den>
                </m:f>
              </m:oMath>
            </m:oMathPara>
          </w:p>
        </w:tc>
        <w:tc>
          <w:tcPr>
            <w:tcW w:w="1530" w:type="dxa"/>
            <w:vAlign w:val="center"/>
          </w:tcPr>
          <w:p w:rsidR="00F85950" w:rsidRDefault="00F85950" w:rsidP="005F64AA">
            <w:pPr>
              <w:jc w:val="center"/>
              <w:rPr>
                <w:rFonts w:eastAsia="Calibri"/>
                <w:sz w:val="20"/>
                <w:szCs w:val="20"/>
              </w:rPr>
            </w:pPr>
            <w:r>
              <w:rPr>
                <w:rFonts w:eastAsia="Calibri"/>
                <w:sz w:val="20"/>
                <w:szCs w:val="20"/>
              </w:rPr>
              <w:t>2200</w:t>
            </w:r>
            <w:r>
              <w:rPr>
                <w:sz w:val="20"/>
                <w:szCs w:val="20"/>
                <w:vertAlign w:val="superscript"/>
              </w:rPr>
              <w:t xml:space="preserve"> </w:t>
            </w:r>
            <w:r w:rsidR="00D96236">
              <w:rPr>
                <w:sz w:val="20"/>
                <w:szCs w:val="20"/>
                <w:vertAlign w:val="superscript"/>
              </w:rPr>
              <w:t>c</w:t>
            </w:r>
          </w:p>
          <w:p w:rsidR="00CA1B9F" w:rsidRDefault="00CA1B9F" w:rsidP="005F64AA">
            <w:pPr>
              <w:jc w:val="center"/>
              <w:rPr>
                <w:rFonts w:eastAsia="Calibri"/>
                <w:sz w:val="20"/>
                <w:szCs w:val="20"/>
              </w:rPr>
            </w:pPr>
            <w:r>
              <w:rPr>
                <w:rFonts w:eastAsia="Calibri"/>
                <w:sz w:val="20"/>
                <w:szCs w:val="20"/>
              </w:rPr>
              <w:t>2300</w:t>
            </w:r>
            <w:r>
              <w:rPr>
                <w:sz w:val="20"/>
                <w:szCs w:val="20"/>
                <w:vertAlign w:val="superscript"/>
              </w:rPr>
              <w:t xml:space="preserve"> </w:t>
            </w:r>
            <w:r w:rsidR="00CE1AE1">
              <w:rPr>
                <w:sz w:val="20"/>
                <w:szCs w:val="20"/>
                <w:vertAlign w:val="superscript"/>
              </w:rPr>
              <w:t>m</w:t>
            </w:r>
          </w:p>
          <w:p w:rsidR="00640E89" w:rsidRDefault="00640E89" w:rsidP="005F64AA">
            <w:pPr>
              <w:jc w:val="center"/>
              <w:rPr>
                <w:rFonts w:eastAsia="Calibri"/>
                <w:sz w:val="20"/>
                <w:szCs w:val="20"/>
              </w:rPr>
            </w:pPr>
            <w:r>
              <w:rPr>
                <w:rFonts w:eastAsia="Calibri"/>
                <w:sz w:val="20"/>
                <w:szCs w:val="20"/>
              </w:rPr>
              <w:t>2300 – 2500</w:t>
            </w:r>
            <w:r>
              <w:rPr>
                <w:sz w:val="20"/>
                <w:szCs w:val="20"/>
                <w:vertAlign w:val="superscript"/>
              </w:rPr>
              <w:t xml:space="preserve"> </w:t>
            </w:r>
            <w:r>
              <w:rPr>
                <w:sz w:val="20"/>
                <w:szCs w:val="20"/>
                <w:vertAlign w:val="superscript"/>
              </w:rPr>
              <w:t>k</w:t>
            </w:r>
          </w:p>
          <w:p w:rsidR="00710A56" w:rsidRDefault="00710A56" w:rsidP="005F64AA">
            <w:pPr>
              <w:jc w:val="center"/>
              <w:rPr>
                <w:rFonts w:eastAsia="Calibri"/>
                <w:sz w:val="20"/>
                <w:szCs w:val="20"/>
              </w:rPr>
            </w:pPr>
            <w:r>
              <w:rPr>
                <w:rFonts w:eastAsia="Calibri"/>
                <w:sz w:val="20"/>
                <w:szCs w:val="20"/>
              </w:rPr>
              <w:t>2400 – 2600</w:t>
            </w:r>
            <w:r>
              <w:rPr>
                <w:sz w:val="20"/>
                <w:szCs w:val="20"/>
                <w:vertAlign w:val="superscript"/>
              </w:rPr>
              <w:t xml:space="preserve"> </w:t>
            </w:r>
            <w:r>
              <w:rPr>
                <w:sz w:val="20"/>
                <w:szCs w:val="20"/>
                <w:vertAlign w:val="superscript"/>
              </w:rPr>
              <w:t>g</w:t>
            </w:r>
          </w:p>
          <w:p w:rsidR="00111766" w:rsidRPr="00DF7F22" w:rsidRDefault="00111766" w:rsidP="005F64AA">
            <w:pPr>
              <w:jc w:val="center"/>
              <w:rPr>
                <w:sz w:val="20"/>
                <w:szCs w:val="20"/>
              </w:rPr>
            </w:pPr>
            <w:r w:rsidRPr="00B04822">
              <w:rPr>
                <w:rFonts w:eastAsia="Calibri"/>
                <w:sz w:val="20"/>
                <w:szCs w:val="20"/>
              </w:rPr>
              <w:t>18</w:t>
            </w:r>
            <w:r>
              <w:rPr>
                <w:rFonts w:eastAsia="Calibri"/>
                <w:sz w:val="20"/>
                <w:szCs w:val="20"/>
              </w:rPr>
              <w:t>00 – 25</w:t>
            </w:r>
            <w:r w:rsidR="00B4656E">
              <w:rPr>
                <w:rFonts w:eastAsia="Calibri"/>
                <w:sz w:val="20"/>
                <w:szCs w:val="20"/>
              </w:rPr>
              <w:t>00</w:t>
            </w:r>
            <w:r w:rsidR="00B4656E">
              <w:rPr>
                <w:sz w:val="20"/>
                <w:szCs w:val="20"/>
                <w:vertAlign w:val="superscript"/>
              </w:rPr>
              <w:t xml:space="preserve"> </w:t>
            </w:r>
            <w:r w:rsidR="00CE1AE1">
              <w:rPr>
                <w:sz w:val="20"/>
                <w:szCs w:val="20"/>
                <w:vertAlign w:val="superscript"/>
              </w:rPr>
              <w:t>n</w:t>
            </w:r>
          </w:p>
        </w:tc>
        <w:tc>
          <w:tcPr>
            <w:tcW w:w="1530" w:type="dxa"/>
            <w:vAlign w:val="center"/>
          </w:tcPr>
          <w:p w:rsidR="00DD16FC" w:rsidRDefault="00111766" w:rsidP="005F64AA">
            <w:pPr>
              <w:jc w:val="center"/>
              <w:rPr>
                <w:rFonts w:eastAsia="Calibri"/>
                <w:sz w:val="20"/>
                <w:szCs w:val="20"/>
              </w:rPr>
            </w:pPr>
            <w:r w:rsidRPr="00E843A5">
              <w:rPr>
                <w:rFonts w:eastAsia="Calibri"/>
                <w:sz w:val="20"/>
                <w:szCs w:val="20"/>
              </w:rPr>
              <w:t xml:space="preserve">1810 </w:t>
            </w:r>
            <w:r w:rsidR="003D4D88">
              <w:rPr>
                <w:rFonts w:eastAsia="Calibri"/>
                <w:sz w:val="20"/>
                <w:szCs w:val="20"/>
              </w:rPr>
              <w:t>–</w:t>
            </w:r>
            <w:r w:rsidRPr="00E843A5">
              <w:rPr>
                <w:rFonts w:eastAsia="Calibri"/>
                <w:sz w:val="20"/>
                <w:szCs w:val="20"/>
              </w:rPr>
              <w:t xml:space="preserve"> </w:t>
            </w:r>
            <w:r w:rsidR="003D4D88">
              <w:rPr>
                <w:rFonts w:eastAsia="Calibri"/>
                <w:sz w:val="20"/>
                <w:szCs w:val="20"/>
              </w:rPr>
              <w:t>2100</w:t>
            </w:r>
            <w:r w:rsidR="003D4D88">
              <w:rPr>
                <w:sz w:val="20"/>
                <w:szCs w:val="20"/>
                <w:vertAlign w:val="superscript"/>
              </w:rPr>
              <w:t xml:space="preserve"> </w:t>
            </w:r>
            <w:r w:rsidR="00167A34">
              <w:rPr>
                <w:sz w:val="20"/>
                <w:szCs w:val="20"/>
                <w:vertAlign w:val="superscript"/>
              </w:rPr>
              <w:t>j</w:t>
            </w:r>
          </w:p>
          <w:p w:rsidR="00710A56" w:rsidRDefault="00710A56" w:rsidP="005F64AA">
            <w:pPr>
              <w:jc w:val="center"/>
              <w:rPr>
                <w:rFonts w:eastAsia="Calibri"/>
                <w:sz w:val="20"/>
                <w:szCs w:val="20"/>
              </w:rPr>
            </w:pPr>
            <w:r>
              <w:rPr>
                <w:rFonts w:eastAsia="Calibri"/>
                <w:sz w:val="20"/>
                <w:szCs w:val="20"/>
              </w:rPr>
              <w:t>2300</w:t>
            </w:r>
            <w:r>
              <w:rPr>
                <w:sz w:val="20"/>
                <w:szCs w:val="20"/>
                <w:vertAlign w:val="superscript"/>
              </w:rPr>
              <w:t xml:space="preserve"> </w:t>
            </w:r>
            <w:r w:rsidR="00CE1AE1">
              <w:rPr>
                <w:sz w:val="20"/>
                <w:szCs w:val="20"/>
                <w:vertAlign w:val="superscript"/>
              </w:rPr>
              <w:t>n</w:t>
            </w:r>
          </w:p>
          <w:p w:rsidR="00111766" w:rsidRPr="00DF7F22" w:rsidRDefault="00710A56" w:rsidP="005F64AA">
            <w:pPr>
              <w:jc w:val="center"/>
              <w:rPr>
                <w:rFonts w:eastAsia="Calibri"/>
                <w:sz w:val="20"/>
                <w:szCs w:val="20"/>
              </w:rPr>
            </w:pPr>
            <w:r>
              <w:rPr>
                <w:rFonts w:eastAsia="Calibri"/>
                <w:sz w:val="20"/>
                <w:szCs w:val="20"/>
              </w:rPr>
              <w:t>240</w:t>
            </w:r>
            <w:r w:rsidR="00DD16FC">
              <w:rPr>
                <w:rFonts w:eastAsia="Calibri"/>
                <w:sz w:val="20"/>
                <w:szCs w:val="20"/>
              </w:rPr>
              <w:t>0</w:t>
            </w:r>
            <w:r w:rsidR="00DD16FC">
              <w:rPr>
                <w:sz w:val="20"/>
                <w:szCs w:val="20"/>
                <w:vertAlign w:val="superscript"/>
              </w:rPr>
              <w:t xml:space="preserve"> i</w:t>
            </w:r>
          </w:p>
        </w:tc>
        <w:tc>
          <w:tcPr>
            <w:tcW w:w="1432" w:type="dxa"/>
            <w:vAlign w:val="center"/>
          </w:tcPr>
          <w:p w:rsidR="00111766" w:rsidRDefault="00710A56" w:rsidP="005F64AA">
            <w:pPr>
              <w:jc w:val="center"/>
              <w:rPr>
                <w:rFonts w:eastAsia="Calibri"/>
                <w:sz w:val="20"/>
                <w:szCs w:val="20"/>
              </w:rPr>
            </w:pPr>
            <w:r>
              <w:rPr>
                <w:rFonts w:eastAsia="Calibri"/>
                <w:sz w:val="20"/>
                <w:szCs w:val="20"/>
              </w:rPr>
              <w:t>2400</w:t>
            </w:r>
            <w:r>
              <w:rPr>
                <w:sz w:val="20"/>
                <w:szCs w:val="20"/>
                <w:vertAlign w:val="superscript"/>
              </w:rPr>
              <w:t xml:space="preserve"> </w:t>
            </w:r>
            <w:r>
              <w:rPr>
                <w:sz w:val="20"/>
                <w:szCs w:val="20"/>
                <w:vertAlign w:val="superscript"/>
              </w:rPr>
              <w:t>g</w:t>
            </w:r>
          </w:p>
        </w:tc>
        <w:tc>
          <w:tcPr>
            <w:tcW w:w="1448" w:type="dxa"/>
            <w:vAlign w:val="center"/>
          </w:tcPr>
          <w:p w:rsidR="00F85950" w:rsidRDefault="00F85950" w:rsidP="005F64AA">
            <w:pPr>
              <w:jc w:val="center"/>
              <w:rPr>
                <w:rFonts w:eastAsia="Calibri"/>
                <w:sz w:val="20"/>
                <w:szCs w:val="20"/>
              </w:rPr>
            </w:pPr>
            <w:r>
              <w:rPr>
                <w:rFonts w:eastAsia="Calibri"/>
                <w:sz w:val="20"/>
                <w:szCs w:val="20"/>
              </w:rPr>
              <w:t>1500</w:t>
            </w:r>
            <w:r>
              <w:rPr>
                <w:sz w:val="20"/>
                <w:szCs w:val="20"/>
                <w:vertAlign w:val="superscript"/>
              </w:rPr>
              <w:t xml:space="preserve"> </w:t>
            </w:r>
            <w:r w:rsidR="00D96236">
              <w:rPr>
                <w:sz w:val="20"/>
                <w:szCs w:val="20"/>
                <w:vertAlign w:val="superscript"/>
              </w:rPr>
              <w:t>c</w:t>
            </w:r>
          </w:p>
          <w:p w:rsidR="00111766" w:rsidRDefault="00710A56" w:rsidP="005F64AA">
            <w:pPr>
              <w:jc w:val="center"/>
              <w:rPr>
                <w:rFonts w:eastAsia="Calibri"/>
                <w:sz w:val="20"/>
                <w:szCs w:val="20"/>
              </w:rPr>
            </w:pPr>
            <w:r>
              <w:rPr>
                <w:rFonts w:eastAsia="Calibri"/>
                <w:sz w:val="20"/>
                <w:szCs w:val="20"/>
              </w:rPr>
              <w:t>2200</w:t>
            </w:r>
            <w:r>
              <w:rPr>
                <w:sz w:val="20"/>
                <w:szCs w:val="20"/>
                <w:vertAlign w:val="superscript"/>
              </w:rPr>
              <w:t xml:space="preserve"> </w:t>
            </w:r>
            <w:r>
              <w:rPr>
                <w:sz w:val="20"/>
                <w:szCs w:val="20"/>
                <w:vertAlign w:val="superscript"/>
              </w:rPr>
              <w:t>g</w:t>
            </w:r>
          </w:p>
        </w:tc>
      </w:tr>
      <w:tr w:rsidR="003D4D88" w:rsidRPr="00306128" w:rsidTr="003B3994">
        <w:trPr>
          <w:trHeight w:val="1241"/>
        </w:trPr>
        <w:tc>
          <w:tcPr>
            <w:tcW w:w="1348" w:type="dxa"/>
            <w:vAlign w:val="center"/>
          </w:tcPr>
          <w:p w:rsidR="00111766" w:rsidRDefault="00111766" w:rsidP="005F64AA">
            <w:pPr>
              <w:jc w:val="center"/>
              <w:rPr>
                <w:sz w:val="20"/>
                <w:szCs w:val="20"/>
              </w:rPr>
            </w:pPr>
            <w:r w:rsidRPr="00DF7F22">
              <w:rPr>
                <w:sz w:val="20"/>
                <w:szCs w:val="20"/>
              </w:rPr>
              <w:t xml:space="preserve">Specific </w:t>
            </w:r>
            <w:r>
              <w:rPr>
                <w:sz w:val="20"/>
                <w:szCs w:val="20"/>
              </w:rPr>
              <w:t>h</w:t>
            </w:r>
            <w:r w:rsidRPr="00DF7F22">
              <w:rPr>
                <w:sz w:val="20"/>
                <w:szCs w:val="20"/>
              </w:rPr>
              <w:t xml:space="preserve">eat </w:t>
            </w:r>
            <w:r>
              <w:rPr>
                <w:sz w:val="20"/>
                <w:szCs w:val="20"/>
              </w:rPr>
              <w:t>c</w:t>
            </w:r>
            <w:r w:rsidRPr="00DF7F22">
              <w:rPr>
                <w:sz w:val="20"/>
                <w:szCs w:val="20"/>
              </w:rPr>
              <w:t>apacity,</w:t>
            </w:r>
          </w:p>
          <w:p w:rsidR="00111766" w:rsidRPr="00DF7F22" w:rsidRDefault="00111766" w:rsidP="005F64AA">
            <w:pPr>
              <w:jc w:val="center"/>
              <w:rPr>
                <w:sz w:val="20"/>
                <w:szCs w:val="20"/>
              </w:rPr>
            </w:pPr>
            <m:oMathPara>
              <m:oMath>
                <m:r>
                  <w:rPr>
                    <w:rFonts w:ascii="Cambria Math" w:hAnsi="Cambria Math"/>
                    <w:sz w:val="20"/>
                    <w:szCs w:val="20"/>
                  </w:rPr>
                  <m:t>c</m:t>
                </m:r>
              </m:oMath>
            </m:oMathPara>
          </w:p>
        </w:tc>
        <w:tc>
          <w:tcPr>
            <w:tcW w:w="1172" w:type="dxa"/>
            <w:vAlign w:val="center"/>
          </w:tcPr>
          <w:p w:rsidR="00111766" w:rsidRPr="00DF7F22" w:rsidRDefault="00111766" w:rsidP="005F64AA">
            <w:pPr>
              <w:jc w:val="center"/>
              <w:rPr>
                <w:sz w:val="20"/>
                <w:szCs w:val="20"/>
              </w:rPr>
            </w:pPr>
            <m:oMathPara>
              <m:oMath>
                <m:f>
                  <m:fPr>
                    <m:ctrlPr>
                      <w:rPr>
                        <w:rFonts w:ascii="Cambria Math" w:hAnsi="Cambria Math"/>
                        <w:i/>
                        <w:sz w:val="20"/>
                        <w:szCs w:val="20"/>
                      </w:rPr>
                    </m:ctrlPr>
                  </m:fPr>
                  <m:num>
                    <m:r>
                      <w:rPr>
                        <w:rFonts w:ascii="Cambria Math" w:hAnsi="Cambria Math"/>
                        <w:sz w:val="20"/>
                        <w:szCs w:val="20"/>
                      </w:rPr>
                      <m:t>J</m:t>
                    </m:r>
                  </m:num>
                  <m:den>
                    <m:r>
                      <w:rPr>
                        <w:rFonts w:ascii="Cambria Math" w:hAnsi="Cambria Math"/>
                        <w:sz w:val="20"/>
                        <w:szCs w:val="20"/>
                      </w:rPr>
                      <m:t>kg∙K</m:t>
                    </m:r>
                  </m:den>
                </m:f>
              </m:oMath>
            </m:oMathPara>
          </w:p>
        </w:tc>
        <w:tc>
          <w:tcPr>
            <w:tcW w:w="1530" w:type="dxa"/>
            <w:vAlign w:val="center"/>
          </w:tcPr>
          <w:p w:rsidR="003D1FEE" w:rsidRDefault="003D1FEE" w:rsidP="005F64AA">
            <w:pPr>
              <w:jc w:val="center"/>
              <w:rPr>
                <w:rFonts w:eastAsia="Calibri"/>
                <w:sz w:val="20"/>
                <w:szCs w:val="20"/>
              </w:rPr>
            </w:pPr>
            <w:r>
              <w:rPr>
                <w:rFonts w:eastAsia="Calibri"/>
                <w:sz w:val="20"/>
                <w:szCs w:val="20"/>
              </w:rPr>
              <w:t>810 – 960</w:t>
            </w:r>
            <w:r>
              <w:rPr>
                <w:sz w:val="20"/>
                <w:szCs w:val="20"/>
                <w:vertAlign w:val="superscript"/>
              </w:rPr>
              <w:t xml:space="preserve"> </w:t>
            </w:r>
            <w:r>
              <w:rPr>
                <w:sz w:val="20"/>
                <w:szCs w:val="20"/>
                <w:vertAlign w:val="superscript"/>
              </w:rPr>
              <w:t>j</w:t>
            </w:r>
          </w:p>
          <w:p w:rsidR="00710A56" w:rsidRDefault="00710A56" w:rsidP="005F64AA">
            <w:pPr>
              <w:jc w:val="center"/>
              <w:rPr>
                <w:sz w:val="20"/>
                <w:szCs w:val="20"/>
                <w:vertAlign w:val="superscript"/>
              </w:rPr>
            </w:pPr>
            <w:r>
              <w:rPr>
                <w:rFonts w:eastAsia="Calibri"/>
                <w:sz w:val="20"/>
                <w:szCs w:val="20"/>
              </w:rPr>
              <w:t>850 – 860</w:t>
            </w:r>
            <w:r>
              <w:rPr>
                <w:sz w:val="20"/>
                <w:szCs w:val="20"/>
                <w:vertAlign w:val="superscript"/>
              </w:rPr>
              <w:t xml:space="preserve"> </w:t>
            </w:r>
            <w:r>
              <w:rPr>
                <w:sz w:val="20"/>
                <w:szCs w:val="20"/>
                <w:vertAlign w:val="superscript"/>
              </w:rPr>
              <w:t>g</w:t>
            </w:r>
          </w:p>
          <w:p w:rsidR="003D1FEE" w:rsidRDefault="003D1FEE" w:rsidP="005F64AA">
            <w:pPr>
              <w:jc w:val="center"/>
              <w:rPr>
                <w:rFonts w:eastAsia="Calibri"/>
                <w:sz w:val="20"/>
                <w:szCs w:val="20"/>
              </w:rPr>
            </w:pPr>
            <w:r>
              <w:rPr>
                <w:rFonts w:eastAsia="Calibri"/>
                <w:sz w:val="20"/>
                <w:szCs w:val="20"/>
              </w:rPr>
              <w:t>900</w:t>
            </w:r>
            <w:r>
              <w:rPr>
                <w:sz w:val="20"/>
                <w:szCs w:val="20"/>
                <w:vertAlign w:val="superscript"/>
              </w:rPr>
              <w:t xml:space="preserve"> </w:t>
            </w:r>
            <w:r w:rsidR="00CE1AE1">
              <w:rPr>
                <w:sz w:val="20"/>
                <w:szCs w:val="20"/>
                <w:vertAlign w:val="superscript"/>
              </w:rPr>
              <w:t>n</w:t>
            </w:r>
          </w:p>
          <w:p w:rsidR="00640E89" w:rsidRDefault="00640E89" w:rsidP="005F64AA">
            <w:pPr>
              <w:jc w:val="center"/>
              <w:rPr>
                <w:rFonts w:eastAsia="Calibri"/>
                <w:sz w:val="20"/>
                <w:szCs w:val="20"/>
              </w:rPr>
            </w:pPr>
            <w:r>
              <w:rPr>
                <w:rFonts w:eastAsia="Calibri"/>
                <w:sz w:val="20"/>
                <w:szCs w:val="20"/>
              </w:rPr>
              <w:t xml:space="preserve">920 </w:t>
            </w:r>
            <w:r w:rsidR="00024EAB">
              <w:rPr>
                <w:sz w:val="20"/>
                <w:szCs w:val="20"/>
                <w:vertAlign w:val="superscript"/>
              </w:rPr>
              <w:t>j</w:t>
            </w:r>
          </w:p>
          <w:p w:rsidR="000A0EBC" w:rsidRPr="003D1FEE" w:rsidRDefault="00640E89" w:rsidP="005F64AA">
            <w:pPr>
              <w:jc w:val="center"/>
              <w:rPr>
                <w:rFonts w:eastAsia="Calibri"/>
                <w:sz w:val="20"/>
                <w:szCs w:val="20"/>
              </w:rPr>
            </w:pPr>
            <w:r>
              <w:rPr>
                <w:rFonts w:eastAsia="Calibri"/>
                <w:sz w:val="20"/>
                <w:szCs w:val="20"/>
              </w:rPr>
              <w:t xml:space="preserve">1200 </w:t>
            </w:r>
            <w:r>
              <w:rPr>
                <w:rFonts w:eastAsia="Calibri"/>
                <w:sz w:val="20"/>
                <w:szCs w:val="20"/>
              </w:rPr>
              <w:t>–</w:t>
            </w:r>
            <w:r>
              <w:rPr>
                <w:rFonts w:eastAsia="Calibri"/>
                <w:sz w:val="20"/>
                <w:szCs w:val="20"/>
              </w:rPr>
              <w:t xml:space="preserve"> 1900</w:t>
            </w:r>
            <w:r>
              <w:rPr>
                <w:sz w:val="20"/>
                <w:szCs w:val="20"/>
                <w:vertAlign w:val="superscript"/>
              </w:rPr>
              <w:t xml:space="preserve"> </w:t>
            </w:r>
            <w:r>
              <w:rPr>
                <w:sz w:val="20"/>
                <w:szCs w:val="20"/>
                <w:vertAlign w:val="superscript"/>
              </w:rPr>
              <w:t>k</w:t>
            </w:r>
          </w:p>
        </w:tc>
        <w:tc>
          <w:tcPr>
            <w:tcW w:w="1530" w:type="dxa"/>
            <w:vAlign w:val="center"/>
          </w:tcPr>
          <w:p w:rsidR="003D4D88" w:rsidRDefault="003D4D88" w:rsidP="005F64AA">
            <w:pPr>
              <w:jc w:val="center"/>
              <w:rPr>
                <w:rFonts w:eastAsia="Calibri"/>
                <w:sz w:val="20"/>
                <w:szCs w:val="20"/>
              </w:rPr>
            </w:pPr>
            <w:r>
              <w:rPr>
                <w:rFonts w:eastAsia="Calibri"/>
                <w:sz w:val="20"/>
                <w:szCs w:val="20"/>
              </w:rPr>
              <w:t>840 –</w:t>
            </w:r>
            <w:r w:rsidR="00D96236">
              <w:rPr>
                <w:rFonts w:eastAsia="Calibri"/>
                <w:sz w:val="20"/>
                <w:szCs w:val="20"/>
              </w:rPr>
              <w:t xml:space="preserve"> 1050</w:t>
            </w:r>
            <w:r w:rsidR="00D96236">
              <w:rPr>
                <w:sz w:val="20"/>
                <w:szCs w:val="20"/>
                <w:vertAlign w:val="superscript"/>
              </w:rPr>
              <w:t xml:space="preserve"> </w:t>
            </w:r>
            <w:r w:rsidR="00167A34">
              <w:rPr>
                <w:sz w:val="20"/>
                <w:szCs w:val="20"/>
                <w:vertAlign w:val="superscript"/>
              </w:rPr>
              <w:t>j</w:t>
            </w:r>
          </w:p>
          <w:p w:rsidR="00111766" w:rsidRPr="00DF7F22" w:rsidRDefault="00685DFD" w:rsidP="005F64AA">
            <w:pPr>
              <w:jc w:val="center"/>
              <w:rPr>
                <w:rFonts w:eastAsia="Calibri"/>
                <w:sz w:val="20"/>
                <w:szCs w:val="20"/>
              </w:rPr>
            </w:pPr>
            <w:r>
              <w:rPr>
                <w:rFonts w:eastAsia="Calibri"/>
                <w:sz w:val="20"/>
                <w:szCs w:val="20"/>
              </w:rPr>
              <w:t>1000</w:t>
            </w:r>
            <w:r>
              <w:rPr>
                <w:sz w:val="20"/>
                <w:szCs w:val="20"/>
                <w:vertAlign w:val="superscript"/>
              </w:rPr>
              <w:t xml:space="preserve"> </w:t>
            </w:r>
            <w:r>
              <w:rPr>
                <w:sz w:val="20"/>
                <w:szCs w:val="20"/>
                <w:vertAlign w:val="superscript"/>
              </w:rPr>
              <w:t>i</w:t>
            </w:r>
          </w:p>
        </w:tc>
        <w:tc>
          <w:tcPr>
            <w:tcW w:w="1432" w:type="dxa"/>
            <w:vAlign w:val="center"/>
          </w:tcPr>
          <w:p w:rsidR="00111766" w:rsidRDefault="00710A56" w:rsidP="005F64AA">
            <w:pPr>
              <w:jc w:val="center"/>
              <w:rPr>
                <w:rFonts w:eastAsia="Calibri"/>
                <w:sz w:val="20"/>
                <w:szCs w:val="20"/>
              </w:rPr>
            </w:pPr>
            <w:r>
              <w:rPr>
                <w:rFonts w:eastAsia="Calibri"/>
                <w:sz w:val="20"/>
                <w:szCs w:val="20"/>
              </w:rPr>
              <w:t>800</w:t>
            </w:r>
            <w:r>
              <w:rPr>
                <w:sz w:val="20"/>
                <w:szCs w:val="20"/>
                <w:vertAlign w:val="superscript"/>
              </w:rPr>
              <w:t xml:space="preserve"> </w:t>
            </w:r>
            <w:r>
              <w:rPr>
                <w:sz w:val="20"/>
                <w:szCs w:val="20"/>
                <w:vertAlign w:val="superscript"/>
              </w:rPr>
              <w:t>g</w:t>
            </w:r>
          </w:p>
        </w:tc>
        <w:tc>
          <w:tcPr>
            <w:tcW w:w="1448" w:type="dxa"/>
            <w:vAlign w:val="center"/>
          </w:tcPr>
          <w:p w:rsidR="00710A56" w:rsidRDefault="00710A56" w:rsidP="005F64AA">
            <w:pPr>
              <w:jc w:val="center"/>
              <w:rPr>
                <w:rFonts w:eastAsia="Calibri"/>
                <w:color w:val="000000" w:themeColor="text1"/>
                <w:sz w:val="20"/>
                <w:szCs w:val="20"/>
              </w:rPr>
            </w:pPr>
            <w:r>
              <w:rPr>
                <w:rFonts w:eastAsia="Calibri"/>
                <w:color w:val="000000" w:themeColor="text1"/>
                <w:sz w:val="20"/>
                <w:szCs w:val="20"/>
              </w:rPr>
              <w:t>1100</w:t>
            </w:r>
            <w:r>
              <w:rPr>
                <w:sz w:val="20"/>
                <w:szCs w:val="20"/>
                <w:vertAlign w:val="superscript"/>
              </w:rPr>
              <w:t xml:space="preserve"> </w:t>
            </w:r>
            <w:r>
              <w:rPr>
                <w:sz w:val="20"/>
                <w:szCs w:val="20"/>
                <w:vertAlign w:val="superscript"/>
              </w:rPr>
              <w:t>g</w:t>
            </w:r>
          </w:p>
          <w:p w:rsidR="00111766" w:rsidRDefault="00111766" w:rsidP="005F64AA">
            <w:pPr>
              <w:jc w:val="center"/>
              <w:rPr>
                <w:rFonts w:eastAsia="Calibri"/>
                <w:sz w:val="20"/>
                <w:szCs w:val="20"/>
              </w:rPr>
            </w:pPr>
            <w:r w:rsidRPr="00B74F2F">
              <w:rPr>
                <w:rFonts w:eastAsia="Calibri"/>
                <w:color w:val="000000" w:themeColor="text1"/>
                <w:sz w:val="20"/>
                <w:szCs w:val="20"/>
              </w:rPr>
              <w:t>1</w:t>
            </w:r>
            <w:r>
              <w:rPr>
                <w:rFonts w:eastAsia="Calibri"/>
                <w:color w:val="000000" w:themeColor="text1"/>
                <w:sz w:val="20"/>
                <w:szCs w:val="20"/>
              </w:rPr>
              <w:t>9</w:t>
            </w:r>
            <w:r w:rsidRPr="00B74F2F">
              <w:rPr>
                <w:rFonts w:eastAsia="Calibri"/>
                <w:color w:val="000000" w:themeColor="text1"/>
                <w:sz w:val="20"/>
                <w:szCs w:val="20"/>
              </w:rPr>
              <w:t>00</w:t>
            </w:r>
            <w:r w:rsidR="000A0EBC">
              <w:rPr>
                <w:sz w:val="20"/>
                <w:szCs w:val="20"/>
                <w:vertAlign w:val="superscript"/>
              </w:rPr>
              <w:t xml:space="preserve"> </w:t>
            </w:r>
            <w:r w:rsidR="00D96236">
              <w:rPr>
                <w:sz w:val="20"/>
                <w:szCs w:val="20"/>
                <w:vertAlign w:val="superscript"/>
              </w:rPr>
              <w:t>c</w:t>
            </w:r>
          </w:p>
        </w:tc>
      </w:tr>
      <w:tr w:rsidR="0021730E" w:rsidRPr="00306128" w:rsidTr="003B3994">
        <w:trPr>
          <w:trHeight w:val="539"/>
        </w:trPr>
        <w:tc>
          <w:tcPr>
            <w:tcW w:w="1348" w:type="dxa"/>
            <w:vAlign w:val="center"/>
          </w:tcPr>
          <w:p w:rsidR="00111766" w:rsidRPr="00DF7F22" w:rsidRDefault="00EE1DCC" w:rsidP="005F64AA">
            <w:pPr>
              <w:jc w:val="center"/>
              <w:rPr>
                <w:sz w:val="20"/>
                <w:szCs w:val="20"/>
              </w:rPr>
            </w:pPr>
            <w:r>
              <w:rPr>
                <w:sz w:val="20"/>
                <w:szCs w:val="20"/>
              </w:rPr>
              <w:t>L</w:t>
            </w:r>
            <w:r w:rsidR="00111766" w:rsidRPr="00DF7F22">
              <w:rPr>
                <w:sz w:val="20"/>
                <w:szCs w:val="20"/>
              </w:rPr>
              <w:t>ayer thickness</w:t>
            </w:r>
          </w:p>
        </w:tc>
        <w:tc>
          <w:tcPr>
            <w:tcW w:w="1172" w:type="dxa"/>
            <w:vAlign w:val="center"/>
          </w:tcPr>
          <w:p w:rsidR="00111766" w:rsidRPr="00DF7F22" w:rsidRDefault="00111766" w:rsidP="005F64AA">
            <w:pPr>
              <w:jc w:val="center"/>
              <w:rPr>
                <w:sz w:val="20"/>
                <w:szCs w:val="20"/>
              </w:rPr>
            </w:pPr>
            <m:oMathPara>
              <m:oMath>
                <m:r>
                  <w:rPr>
                    <w:rFonts w:ascii="Cambria Math" w:hAnsi="Cambria Math"/>
                    <w:sz w:val="20"/>
                    <w:szCs w:val="20"/>
                  </w:rPr>
                  <m:t>mm</m:t>
                </m:r>
              </m:oMath>
            </m:oMathPara>
          </w:p>
        </w:tc>
        <w:tc>
          <w:tcPr>
            <w:tcW w:w="1530" w:type="dxa"/>
            <w:vAlign w:val="center"/>
          </w:tcPr>
          <w:p w:rsidR="00111766" w:rsidRPr="00DF7F22" w:rsidRDefault="00716169" w:rsidP="005F64AA">
            <w:pPr>
              <w:jc w:val="center"/>
              <w:rPr>
                <w:sz w:val="20"/>
                <w:szCs w:val="20"/>
              </w:rPr>
            </w:pPr>
            <w:r>
              <w:rPr>
                <w:rFonts w:eastAsia="Calibri"/>
                <w:sz w:val="20"/>
                <w:szCs w:val="20"/>
              </w:rPr>
              <w:t>40 – 2</w:t>
            </w:r>
            <w:r w:rsidR="00111766">
              <w:rPr>
                <w:rFonts w:eastAsia="Calibri"/>
                <w:sz w:val="20"/>
                <w:szCs w:val="20"/>
              </w:rPr>
              <w:t>00</w:t>
            </w:r>
            <w:r w:rsidR="00EE1DCC">
              <w:rPr>
                <w:sz w:val="20"/>
                <w:szCs w:val="20"/>
                <w:vertAlign w:val="superscript"/>
              </w:rPr>
              <w:t xml:space="preserve"> </w:t>
            </w:r>
            <w:r w:rsidR="00CE1AE1">
              <w:rPr>
                <w:sz w:val="20"/>
                <w:szCs w:val="20"/>
                <w:vertAlign w:val="superscript"/>
              </w:rPr>
              <w:t>n</w:t>
            </w:r>
            <w:r w:rsidR="00EE1DCC">
              <w:rPr>
                <w:sz w:val="20"/>
                <w:szCs w:val="20"/>
                <w:vertAlign w:val="superscript"/>
              </w:rPr>
              <w:t xml:space="preserve">, </w:t>
            </w:r>
            <w:r w:rsidR="00EE1DCC">
              <w:rPr>
                <w:sz w:val="20"/>
                <w:szCs w:val="20"/>
                <w:vertAlign w:val="superscript"/>
              </w:rPr>
              <w:t>o</w:t>
            </w:r>
            <w:r w:rsidR="00611E8E">
              <w:rPr>
                <w:sz w:val="20"/>
                <w:szCs w:val="20"/>
                <w:vertAlign w:val="superscript"/>
              </w:rPr>
              <w:t xml:space="preserve">, p </w:t>
            </w:r>
          </w:p>
        </w:tc>
        <w:tc>
          <w:tcPr>
            <w:tcW w:w="1530" w:type="dxa"/>
            <w:vAlign w:val="center"/>
          </w:tcPr>
          <w:p w:rsidR="00111766" w:rsidRPr="00DF7F22" w:rsidRDefault="00716169" w:rsidP="005F64AA">
            <w:pPr>
              <w:jc w:val="center"/>
              <w:rPr>
                <w:rFonts w:eastAsia="Calibri"/>
                <w:sz w:val="20"/>
                <w:szCs w:val="20"/>
              </w:rPr>
            </w:pPr>
            <w:r>
              <w:rPr>
                <w:rFonts w:eastAsia="Calibri"/>
                <w:sz w:val="20"/>
                <w:szCs w:val="20"/>
              </w:rPr>
              <w:t>100 – 30</w:t>
            </w:r>
            <w:bookmarkStart w:id="0" w:name="_GoBack"/>
            <w:bookmarkEnd w:id="0"/>
            <w:r w:rsidR="00710A56">
              <w:rPr>
                <w:rFonts w:eastAsia="Calibri"/>
                <w:sz w:val="20"/>
                <w:szCs w:val="20"/>
              </w:rPr>
              <w:t>0</w:t>
            </w:r>
            <w:r w:rsidR="008A0C47">
              <w:rPr>
                <w:sz w:val="20"/>
                <w:szCs w:val="20"/>
                <w:vertAlign w:val="superscript"/>
              </w:rPr>
              <w:t xml:space="preserve"> </w:t>
            </w:r>
            <w:r w:rsidR="008A0C47">
              <w:rPr>
                <w:sz w:val="20"/>
                <w:szCs w:val="20"/>
                <w:vertAlign w:val="superscript"/>
              </w:rPr>
              <w:t>o, q</w:t>
            </w:r>
          </w:p>
        </w:tc>
        <w:tc>
          <w:tcPr>
            <w:tcW w:w="1432" w:type="dxa"/>
            <w:vAlign w:val="center"/>
          </w:tcPr>
          <w:p w:rsidR="00111766" w:rsidRDefault="00EE1DCC" w:rsidP="005F64AA">
            <w:pPr>
              <w:jc w:val="center"/>
              <w:rPr>
                <w:rFonts w:eastAsia="Calibri"/>
                <w:sz w:val="20"/>
                <w:szCs w:val="20"/>
              </w:rPr>
            </w:pPr>
            <w:r>
              <w:rPr>
                <w:rFonts w:eastAsia="Calibri"/>
                <w:sz w:val="20"/>
                <w:szCs w:val="20"/>
              </w:rPr>
              <w:t xml:space="preserve">100 </w:t>
            </w:r>
            <w:r>
              <w:rPr>
                <w:rFonts w:eastAsia="Calibri"/>
                <w:sz w:val="20"/>
                <w:szCs w:val="20"/>
              </w:rPr>
              <w:t>–</w:t>
            </w:r>
            <w:r>
              <w:rPr>
                <w:rFonts w:eastAsia="Calibri"/>
                <w:sz w:val="20"/>
                <w:szCs w:val="20"/>
              </w:rPr>
              <w:t xml:space="preserve"> 3</w:t>
            </w:r>
            <w:r w:rsidRPr="00EE1DCC">
              <w:rPr>
                <w:rFonts w:eastAsia="Calibri"/>
                <w:sz w:val="20"/>
                <w:szCs w:val="20"/>
              </w:rPr>
              <w:t>00</w:t>
            </w:r>
            <w:r>
              <w:rPr>
                <w:sz w:val="20"/>
                <w:szCs w:val="20"/>
                <w:vertAlign w:val="superscript"/>
              </w:rPr>
              <w:t xml:space="preserve"> </w:t>
            </w:r>
            <w:r w:rsidR="00CE1AE1">
              <w:rPr>
                <w:sz w:val="20"/>
                <w:szCs w:val="20"/>
                <w:vertAlign w:val="superscript"/>
              </w:rPr>
              <w:t>n</w:t>
            </w:r>
            <w:r w:rsidR="008A0C47">
              <w:rPr>
                <w:sz w:val="20"/>
                <w:szCs w:val="20"/>
                <w:vertAlign w:val="superscript"/>
              </w:rPr>
              <w:t xml:space="preserve">, </w:t>
            </w:r>
            <w:r>
              <w:rPr>
                <w:sz w:val="20"/>
                <w:szCs w:val="20"/>
                <w:vertAlign w:val="superscript"/>
              </w:rPr>
              <w:t>o</w:t>
            </w:r>
            <w:r w:rsidR="00611E8E">
              <w:rPr>
                <w:sz w:val="20"/>
                <w:szCs w:val="20"/>
                <w:vertAlign w:val="superscript"/>
              </w:rPr>
              <w:t>, p</w:t>
            </w:r>
          </w:p>
        </w:tc>
        <w:tc>
          <w:tcPr>
            <w:tcW w:w="1448" w:type="dxa"/>
            <w:vAlign w:val="center"/>
          </w:tcPr>
          <w:p w:rsidR="00111766" w:rsidRDefault="00111766" w:rsidP="005F64AA">
            <w:pPr>
              <w:jc w:val="center"/>
              <w:rPr>
                <w:rFonts w:eastAsia="Calibri"/>
                <w:sz w:val="20"/>
                <w:szCs w:val="20"/>
              </w:rPr>
            </w:pPr>
            <w:r>
              <w:rPr>
                <w:rFonts w:eastAsia="Calibri"/>
                <w:sz w:val="20"/>
                <w:szCs w:val="20"/>
              </w:rPr>
              <w:t>NA</w:t>
            </w:r>
          </w:p>
        </w:tc>
      </w:tr>
    </w:tbl>
    <w:p w:rsidR="00D96236" w:rsidRPr="00D96236" w:rsidRDefault="00D96236" w:rsidP="002665AF">
      <w:pPr>
        <w:spacing w:after="0" w:line="240" w:lineRule="auto"/>
        <w:rPr>
          <w:sz w:val="20"/>
          <w:szCs w:val="20"/>
        </w:rPr>
      </w:pPr>
      <w:r>
        <w:rPr>
          <w:sz w:val="20"/>
          <w:szCs w:val="20"/>
          <w:vertAlign w:val="superscript"/>
        </w:rPr>
        <w:t>a</w:t>
      </w:r>
      <w:r>
        <w:rPr>
          <w:sz w:val="20"/>
          <w:szCs w:val="20"/>
        </w:rPr>
        <w:t xml:space="preserve"> </w:t>
      </w:r>
      <w:r>
        <w:rPr>
          <w:sz w:val="20"/>
          <w:szCs w:val="20"/>
        </w:rPr>
        <w:fldChar w:fldCharType="begin" w:fldLock="1"/>
      </w:r>
      <w:r>
        <w:rPr>
          <w:sz w:val="20"/>
          <w:szCs w:val="20"/>
        </w:rPr>
        <w:instrText>ADDIN CSL_CITATION {"citationItems":[{"id":"ITEM-1","itemData":{"DOI":"10.1016/j.enbuild.2015.03.005","ISSN":"03787788","abstract":"Abstract Solar irradiance to an urban canyon is subjected to multiple reflections, a process that increases solar absorption and contributes to the unban heat island. The absorption depends on the urban structures, and the day of the year, and the albedos of the walls and pavement. This study develops a numerical model to predict the urban canyon albedo (UCA) and validates the model with experimental observations. It estimates whether increasing the pavement albedo can raise the UCA effectively. It evaluates the reflective diffuse radiation from the pavement to adjacent building walls. It is found the ratio of building's height to the road's width, or called the aspect ratio, controls the UCA while other factors play secondary roles. Reflective pavements in an urban canyon reflect a sizable additional diffuse radiation to the adjacent walls during summertime. It is recommended that reflective pavements can be used only if an urban canyon has an aspect ratio no greater than 1.0.","author":[{"dropping-particle":"","family":"Qin","given":"Yinghong","non-dropping-particle":"","parse-names":false,"suffix":""}],"container-title":"Energy and Buildings","id":"ITEM-1","issued":{"date-parts":[["2015"]]},"page":"86-94","publisher":"Elsevier B.V.","title":"Urban canyon albedo and its implication on the use of reflective cool pavements","type":"article-journal","volume":"96"},"uris":["http://www.mendeley.com/documents/?uuid=8caad309-7885-4f59-9754-b4e28cba1240"]}],"mendeley":{"formattedCitation":"(Qin, 2015)","plainTextFormattedCitation":"(Qin, 2015)","previouslyFormattedCitation":"(Qin, 2015)"},"properties":{"noteIndex":0},"schema":"https://github.com/citation-style-language/schema/raw/master/csl-citation.json"}</w:instrText>
      </w:r>
      <w:r>
        <w:rPr>
          <w:sz w:val="20"/>
          <w:szCs w:val="20"/>
        </w:rPr>
        <w:fldChar w:fldCharType="separate"/>
      </w:r>
      <w:r w:rsidRPr="002665AF">
        <w:rPr>
          <w:noProof/>
          <w:sz w:val="20"/>
          <w:szCs w:val="20"/>
        </w:rPr>
        <w:t>(Qin, 2015)</w:t>
      </w:r>
      <w:r>
        <w:rPr>
          <w:sz w:val="20"/>
          <w:szCs w:val="20"/>
        </w:rPr>
        <w:fldChar w:fldCharType="end"/>
      </w:r>
    </w:p>
    <w:p w:rsidR="002665AF" w:rsidRDefault="00D96236" w:rsidP="002665AF">
      <w:pPr>
        <w:spacing w:after="0" w:line="240" w:lineRule="auto"/>
        <w:rPr>
          <w:sz w:val="20"/>
          <w:szCs w:val="20"/>
        </w:rPr>
      </w:pPr>
      <w:r>
        <w:rPr>
          <w:sz w:val="20"/>
          <w:szCs w:val="20"/>
          <w:vertAlign w:val="superscript"/>
        </w:rPr>
        <w:t>b</w:t>
      </w:r>
      <w:r w:rsidR="003D4D88">
        <w:rPr>
          <w:sz w:val="20"/>
          <w:szCs w:val="20"/>
          <w:vertAlign w:val="superscript"/>
        </w:rPr>
        <w:t xml:space="preserve"> </w:t>
      </w:r>
      <w:r w:rsidR="002665AF">
        <w:rPr>
          <w:sz w:val="20"/>
          <w:szCs w:val="20"/>
        </w:rPr>
        <w:fldChar w:fldCharType="begin" w:fldLock="1"/>
      </w:r>
      <w:r w:rsidR="002665AF">
        <w:rPr>
          <w:sz w:val="20"/>
          <w:szCs w:val="20"/>
        </w:rPr>
        <w:instrText>ADDIN CSL_CITATION {"citationItems":[{"id":"ITEM-1","itemData":{"DOI":"10.1016/J.BUILDENV.2012.10.014","ISSN":"0360-1323","abstract":"Albedo (or solar reflectivity) plays an important role in the thermal behavior of pavements and other ground surfaces, and their resultant impacts on humans and the environment. This study developed a new albedo measurement system with a dual-pyranometer and automatic data acquisition system, and used it to conduct field measurements of albedo on different pavement materials and for long-term monitoring of albedo. The albedo values were obtained for commonly used land cover materials including asphalt, concrete and interlocking concrete paver surfacing materials with different designs and some other materials. These new data can help reduce the uncertainty in understanding, evaluating and modeling the thermal behavior and environmental impacts of ground surfaces with different albedos. The seasonal effects of albedo on pavement thermal performance were examined through experimental measurements. An empirical relationship between the cooling effect of increased albedo on a pavement's high temperature and solar radiation was developed. The cooling effect has a positive correlation with the peak solar radiation intensity. This simple correlation can be used to roughly estimate the cooling or heating effect of changing albedo on pavement for various climates and seasons with different solar radiation intensities.","author":[{"dropping-particle":"","family":"Li","given":"H.","non-dropping-particle":"","parse-names":false,"suffix":""},{"dropping-particle":"","family":"Harvey","given":"J.","non-dropping-particle":"","parse-names":false,"suffix":""},{"dropping-particle":"","family":"Kendall","given":"A.","non-dropping-particle":"","parse-names":false,"suffix":""}],"container-title":"Building and Environment","id":"ITEM-1","issued":{"date-parts":[["2013","1","1"]]},"page":"536-546","publisher":"Pergamon","title":"Field measurement of albedo for different land cover materials and effects on thermal performance","type":"article-journal","volume":"59"},"uris":["http://www.mendeley.com/documents/?uuid=f2877321-75c3-3791-af71-736bed95f334"]}],"mendeley":{"formattedCitation":"(Li et al., 2013)","plainTextFormattedCitation":"(Li et al., 2013)","previouslyFormattedCitation":"(Li et al., 2013)"},"properties":{"noteIndex":0},"schema":"https://github.com/citation-style-language/schema/raw/master/csl-citation.json"}</w:instrText>
      </w:r>
      <w:r w:rsidR="002665AF">
        <w:rPr>
          <w:sz w:val="20"/>
          <w:szCs w:val="20"/>
        </w:rPr>
        <w:fldChar w:fldCharType="separate"/>
      </w:r>
      <w:r w:rsidR="002665AF" w:rsidRPr="002665AF">
        <w:rPr>
          <w:noProof/>
          <w:sz w:val="20"/>
          <w:szCs w:val="20"/>
        </w:rPr>
        <w:t>(Li et al., 2013)</w:t>
      </w:r>
      <w:r w:rsidR="002665AF">
        <w:rPr>
          <w:sz w:val="20"/>
          <w:szCs w:val="20"/>
        </w:rPr>
        <w:fldChar w:fldCharType="end"/>
      </w:r>
    </w:p>
    <w:p w:rsidR="00D96236" w:rsidRDefault="00D96236" w:rsidP="00D96236">
      <w:pPr>
        <w:spacing w:after="0" w:line="240" w:lineRule="auto"/>
        <w:rPr>
          <w:sz w:val="20"/>
          <w:szCs w:val="20"/>
        </w:rPr>
      </w:pPr>
      <w:r>
        <w:rPr>
          <w:sz w:val="20"/>
          <w:szCs w:val="20"/>
          <w:vertAlign w:val="superscript"/>
        </w:rPr>
        <w:t>c</w:t>
      </w:r>
      <w:r>
        <w:rPr>
          <w:sz w:val="20"/>
          <w:szCs w:val="20"/>
        </w:rPr>
        <w:t xml:space="preserve"> </w:t>
      </w:r>
      <w:r>
        <w:rPr>
          <w:sz w:val="20"/>
          <w:szCs w:val="20"/>
        </w:rPr>
        <w:fldChar w:fldCharType="begin" w:fldLock="1"/>
      </w:r>
      <w:r>
        <w:rPr>
          <w:sz w:val="20"/>
          <w:szCs w:val="20"/>
        </w:rPr>
        <w:instrText>ADDIN CSL_CITATION {"citationItems":[{"id":"ITEM-1","itemData":{"abstract":"A one-dimensional mathematical model was developed, based on the fundamental energy balance, to calculate the pavement near-surface temperatures using hourly measured solar radiation, air temperature, dew-point temperature, and wind velocity data. An analysis was conducted to predict the diurnal temperature effects of pavement thermophysical properties with the aim of seeking an optimum composition of paving materials for future infrastructure projects. Appropriate paving materials not only ensure stability and safety for road users, but also the ability to mitigate heat absorption and high surface temperatures contributing to the Urban Heat Island Effect and human comfort. This paper evaluated the effects and sensitivities of the thermophysical properties on the pavement surface temperatures. The results indicated that both albedo and emissivity have the highest positive effects on pavement maximum and minimum temperatures, respectively, while increasing the thermal conductivity, diffusivity, and volumetric heat capacity help in mitigating the maximum","author":[{"dropping-particle":"","family":"Gui","given":"Jooseng","non-dropping-particle":"","parse-names":false,"suffix":""},{"dropping-particle":"","family":"Phelan","given":"Patrick E.","non-dropping-particle":"","parse-names":false,"suffix":""},{"dropping-particle":"","family":"Kaloush","given":"Kamil E.","non-dropping-particle":"","parse-names":false,"suffix":""},{"dropping-particle":"","family":"Golden","given":"Jay S.","non-dropping-particle":"","parse-names":false,"suffix":""}],"container-title":"Journal of Materials in Civil Engineering","id":"ITEM-1","issue":"8","issued":{"date-parts":[["2007","5"]]},"page":"683-690","title":"Impact of Pavement Thermophysical Properties on Surface Temperatures","type":"article-journal","volume":"19"},"uris":["http://www.mendeley.com/documents/?uuid=3aae41bb-10f2-4b95-b942-9989e4e4b94b"]}],"mendeley":{"formattedCitation":"(Gui et al., 2007)","plainTextFormattedCitation":"(Gui et al., 2007)","previouslyFormattedCitation":"(Gui et al., 2007)"},"properties":{"noteIndex":0},"schema":"https://github.com/citation-style-language/schema/raw/master/csl-citation.json"}</w:instrText>
      </w:r>
      <w:r>
        <w:rPr>
          <w:sz w:val="20"/>
          <w:szCs w:val="20"/>
        </w:rPr>
        <w:fldChar w:fldCharType="separate"/>
      </w:r>
      <w:r w:rsidRPr="002665AF">
        <w:rPr>
          <w:noProof/>
          <w:sz w:val="20"/>
          <w:szCs w:val="20"/>
        </w:rPr>
        <w:t>(Gui et al., 2007)</w:t>
      </w:r>
      <w:r>
        <w:rPr>
          <w:sz w:val="20"/>
          <w:szCs w:val="20"/>
        </w:rPr>
        <w:fldChar w:fldCharType="end"/>
      </w:r>
    </w:p>
    <w:p w:rsidR="0073598B" w:rsidRDefault="0073598B" w:rsidP="00D96236">
      <w:pPr>
        <w:spacing w:after="0" w:line="240" w:lineRule="auto"/>
        <w:rPr>
          <w:sz w:val="20"/>
          <w:szCs w:val="20"/>
        </w:rPr>
      </w:pPr>
      <w:r>
        <w:rPr>
          <w:sz w:val="20"/>
          <w:szCs w:val="20"/>
          <w:vertAlign w:val="superscript"/>
        </w:rPr>
        <w:t>d</w:t>
      </w:r>
      <w:r>
        <w:rPr>
          <w:sz w:val="20"/>
          <w:szCs w:val="20"/>
        </w:rPr>
        <w:t xml:space="preserve"> </w:t>
      </w:r>
      <w:r>
        <w:rPr>
          <w:sz w:val="20"/>
          <w:szCs w:val="20"/>
        </w:rPr>
        <w:fldChar w:fldCharType="begin" w:fldLock="1"/>
      </w:r>
      <w:r>
        <w:rPr>
          <w:sz w:val="20"/>
          <w:szCs w:val="20"/>
        </w:rPr>
        <w:instrText>ADDIN CSL_CITATION {"citationItems":[{"id":"ITEM-1","itemData":{"ISBN":"978-0-12-386910-4","author":[{"dropping-particle":"","family":"Monteith","given":"John L.","non-dropping-particle":"","parse-names":false,"suffix":""},{"dropping-particle":"","family":"Unsworth","given":"Mike H.","non-dropping-particle":"","parse-names":false,"suffix":""}],"edition":"4th","id":"ITEM-1","issued":{"date-parts":[["2013"]]},"number-of-pages":"86-87","publisher":"Academic Press","title":"Principles of Environmental Physics: plants, animals, and the atmosphere","type":"book"},"uris":["http://www.mendeley.com/documents/?uuid=a274e60c-86a9-4f32-8e5c-c3cb8b96e018"]}],"mendeley":{"formattedCitation":"(Monteith &amp; Unsworth, 2013)","plainTextFormattedCitation":"(Monteith &amp; Unsworth, 2013)","previouslyFormattedCitation":"(Monteith &amp; Unsworth, 2013)"},"properties":{"noteIndex":0},"schema":"https://github.com/citation-style-language/schema/raw/master/csl-citation.json"}</w:instrText>
      </w:r>
      <w:r>
        <w:rPr>
          <w:sz w:val="20"/>
          <w:szCs w:val="20"/>
        </w:rPr>
        <w:fldChar w:fldCharType="separate"/>
      </w:r>
      <w:r w:rsidRPr="002665AF">
        <w:rPr>
          <w:noProof/>
          <w:sz w:val="20"/>
          <w:szCs w:val="20"/>
        </w:rPr>
        <w:t>(Monteith &amp; Unsworth, 2013)</w:t>
      </w:r>
      <w:r>
        <w:rPr>
          <w:sz w:val="20"/>
          <w:szCs w:val="20"/>
        </w:rPr>
        <w:fldChar w:fldCharType="end"/>
      </w:r>
    </w:p>
    <w:p w:rsidR="002665AF" w:rsidRDefault="0073598B" w:rsidP="002665AF">
      <w:pPr>
        <w:spacing w:after="0" w:line="240" w:lineRule="auto"/>
        <w:rPr>
          <w:sz w:val="20"/>
          <w:szCs w:val="20"/>
        </w:rPr>
      </w:pPr>
      <w:r>
        <w:rPr>
          <w:sz w:val="20"/>
          <w:szCs w:val="20"/>
          <w:vertAlign w:val="superscript"/>
        </w:rPr>
        <w:t>e</w:t>
      </w:r>
      <w:r w:rsidR="002665AF">
        <w:rPr>
          <w:sz w:val="20"/>
          <w:szCs w:val="20"/>
        </w:rPr>
        <w:t xml:space="preserve"> </w:t>
      </w:r>
      <w:r w:rsidR="002665AF">
        <w:rPr>
          <w:sz w:val="20"/>
          <w:szCs w:val="20"/>
        </w:rPr>
        <w:fldChar w:fldCharType="begin" w:fldLock="1"/>
      </w:r>
      <w:r w:rsidR="002665AF">
        <w:rPr>
          <w:sz w:val="20"/>
          <w:szCs w:val="20"/>
        </w:rPr>
        <w:instrText>ADDIN CSL_CITATION {"citationItems":[{"id":"ITEM-1","itemData":{"DOI":"10.1081/E-ESS","ISBN":"0-8493-3830-1","author":[{"dropping-particle":"","family":"Dobos","given":"Endre","non-dropping-particle":"","parse-names":false,"suffix":""}],"chapter-number":"Albedo","edition":"2","id":"ITEM-1","issued":{"date-parts":[["2011","4"]]},"page":"1-3","publisher":"Taylor &amp; Francis","title":"Encyclopedia of Soil Science, Second Edition","type":"chapter"},"uris":["http://www.mendeley.com/documents/?uuid=429a08f9-5d84-4ab6-9fa0-792015e9f217"]}],"mendeley":{"formattedCitation":"(Dobos, 2011)","plainTextFormattedCitation":"(Dobos, 2011)","previouslyFormattedCitation":"(Dobos, 2011)"},"properties":{"noteIndex":0},"schema":"https://github.com/citation-style-language/schema/raw/master/csl-citation.json"}</w:instrText>
      </w:r>
      <w:r w:rsidR="002665AF">
        <w:rPr>
          <w:sz w:val="20"/>
          <w:szCs w:val="20"/>
        </w:rPr>
        <w:fldChar w:fldCharType="separate"/>
      </w:r>
      <w:r w:rsidR="002665AF" w:rsidRPr="002665AF">
        <w:rPr>
          <w:noProof/>
          <w:sz w:val="20"/>
          <w:szCs w:val="20"/>
        </w:rPr>
        <w:t>(Dobos, 2011)</w:t>
      </w:r>
      <w:r w:rsidR="002665AF">
        <w:rPr>
          <w:sz w:val="20"/>
          <w:szCs w:val="20"/>
        </w:rPr>
        <w:fldChar w:fldCharType="end"/>
      </w:r>
    </w:p>
    <w:p w:rsidR="00931BAD" w:rsidRDefault="00931BAD" w:rsidP="002665AF">
      <w:pPr>
        <w:spacing w:after="0" w:line="240" w:lineRule="auto"/>
        <w:rPr>
          <w:sz w:val="20"/>
          <w:szCs w:val="20"/>
        </w:rPr>
      </w:pPr>
      <w:r>
        <w:rPr>
          <w:sz w:val="20"/>
          <w:szCs w:val="20"/>
          <w:vertAlign w:val="superscript"/>
        </w:rPr>
        <w:t>f</w:t>
      </w:r>
      <w:r>
        <w:rPr>
          <w:sz w:val="20"/>
          <w:szCs w:val="20"/>
        </w:rPr>
        <w:t xml:space="preserve"> </w:t>
      </w:r>
      <w:r>
        <w:rPr>
          <w:sz w:val="20"/>
          <w:szCs w:val="20"/>
        </w:rPr>
        <w:fldChar w:fldCharType="begin" w:fldLock="1"/>
      </w:r>
      <w:r w:rsidR="00A93C66">
        <w:rPr>
          <w:sz w:val="20"/>
          <w:szCs w:val="20"/>
        </w:rPr>
        <w:instrText>ADDIN CSL_CITATION {"citationItems":[{"id":"ITEM-1","itemData":{"DOI":"10.1016/j.coldregions.2004.03.001","ISSN":"0165232X","abstract":"A simulation model has been developed to calculate pavement temperature for both summer and winter conditions. Input data are hourly values for solar radiation, air temperature and wind velocity. Longwave radiation, incident to and outgoing from the pavement surface, is calculated from the air and pavement surface temperature, respectively. The portion of the incident shortwave radiation absorbed by the pavement surface is calculated from the albedo of the surface. By means of a finite difference approximation of the equation for conduction of heat, the pavement temperature profile is calculated. Apart from radiation and heat conduction, convection losses from the pavement surface are also calculated based on wind velocity, air temperature and surface temperature. The model is validated by using data from three different sections in the LTPP program USA and six different sections in Sweden. Here, hourly meteorological data as well as surface temperature are taken. One set of parameter values for albedo, emissivity, atmospheric downwelling longwave radiation and convection losses, giving a good correspondence for asphalt concrete pavement for summer conditions, and one set for winter conditions are given. © 2004 Elsevier B.V. All rights reserved.","author":[{"dropping-particle":"","family":"Hermansson","given":"Åke","non-dropping-particle":"","parse-names":false,"suffix":""}],"container-title":"Cold Regions Science and Technology","id":"ITEM-1","issue":"1-2","issued":{"date-parts":[["2004","11"]]},"page":"1-17","title":"Mathematical model for paved surface summer and winter temperature: comparison of calculated and measured temperatures","type":"article-journal","volume":"40"},"uris":["http://www.mendeley.com/documents/?uuid=08dd5eab-7ee6-4f85-ad27-c2e084650430"]}],"mendeley":{"formattedCitation":"(Hermansson, 2004)","plainTextFormattedCitation":"(Hermansson, 2004)","previouslyFormattedCitation":"(Hermansson, 2004)"},"properties":{"noteIndex":0},"schema":"https://github.com/citation-style-language/schema/raw/master/csl-citation.json"}</w:instrText>
      </w:r>
      <w:r>
        <w:rPr>
          <w:sz w:val="20"/>
          <w:szCs w:val="20"/>
        </w:rPr>
        <w:fldChar w:fldCharType="separate"/>
      </w:r>
      <w:r w:rsidRPr="00E52239">
        <w:rPr>
          <w:noProof/>
          <w:sz w:val="20"/>
          <w:szCs w:val="20"/>
        </w:rPr>
        <w:t>(Hermansson, 2004)</w:t>
      </w:r>
      <w:r>
        <w:rPr>
          <w:sz w:val="20"/>
          <w:szCs w:val="20"/>
        </w:rPr>
        <w:fldChar w:fldCharType="end"/>
      </w:r>
    </w:p>
    <w:p w:rsidR="002665AF" w:rsidRDefault="002665AF" w:rsidP="002665AF">
      <w:pPr>
        <w:spacing w:after="0" w:line="240" w:lineRule="auto"/>
        <w:rPr>
          <w:sz w:val="20"/>
          <w:szCs w:val="20"/>
        </w:rPr>
      </w:pPr>
      <w:r>
        <w:rPr>
          <w:sz w:val="20"/>
          <w:szCs w:val="20"/>
          <w:vertAlign w:val="superscript"/>
        </w:rPr>
        <w:t>g</w:t>
      </w:r>
      <w:r>
        <w:rPr>
          <w:sz w:val="20"/>
          <w:szCs w:val="20"/>
        </w:rPr>
        <w:t xml:space="preserve"> </w:t>
      </w:r>
      <w:r>
        <w:rPr>
          <w:sz w:val="20"/>
          <w:szCs w:val="20"/>
        </w:rPr>
        <w:fldChar w:fldCharType="begin" w:fldLock="1"/>
      </w:r>
      <w:r>
        <w:rPr>
          <w:sz w:val="20"/>
          <w:szCs w:val="20"/>
        </w:rPr>
        <w:instrText>ADDIN CSL_CITATION {"citationItems":[{"id":"ITEM-1","itemData":{"DOI":"10.1061/9780784413005.029","ISBN":"9780784413005","abstract":"A 3-D finite element model (FEM) was developed to calculate the lemperature of an asphtalt rubber pavement localed in the Northeast of Portugal. The goal of the case study presented in this paper is to show the good accuracy temperature prediction tha can be obtained with this model when compared with the field pavement thermal condition obtained during a year. lnput data to the model are the hourly values for solar radiation and temperature and the mean daily value of wind speed obtained from a meteorological station. The therminal response of a multilayered pavement structure is modelled using a FEM transient thermal analysis and each analysis was initiated with the full deph constant initial temperature abtained from field measurements. For each analysed day, the pavement temperature was measured at a new pavement section, located in IP4 main road, near Bragança, in the north of Portugal. At this location, seven thermocouples were installed in the asphalt rubber and conventional mix layer, at seven different depths. These paviment data was used to validate this simulation model, by comparing model calculated data with mesured pavement temperatures. As conclusion, the 3-D finite-element analysis proved to be an interesting tool to simulate the transient behavior of the asphalt pavements. The presented simulation model can predict the pavement temperature at diferrent levels of bitumious layers with good accuracy.","author":[{"dropping-particle":"","family":"Minhoto","given":"Manuel J. C.","non-dropping-particle":"","parse-names":false,"suffix":""},{"dropping-particle":"","family":"Pais","given":"Jorge C.","non-dropping-particle":"","parse-names":false,"suffix":""},{"dropping-particle":"","family":"Pereira","given":"Paulo a. a.","non-dropping-particle":"","parse-names":false,"suffix":""}],"container-title":"Asphalt Rubber 2006: Proceedings","id":"ITEM-1","issued":{"date-parts":[["2006"]]},"page":"193-207","title":"Asphalt Pavement Temperature Prediction","type":"article-journal"},"uris":["http://www.mendeley.com/documents/?uuid=3a8ebe4b-51af-4dfb-b0b6-dcbbd938e37b"]}],"mendeley":{"formattedCitation":"(Minhoto et al., 2006)","plainTextFormattedCitation":"(Minhoto et al., 2006)","previouslyFormattedCitation":"(Minhoto et al., 2006)"},"properties":{"noteIndex":0},"schema":"https://github.com/citation-style-language/schema/raw/master/csl-citation.json"}</w:instrText>
      </w:r>
      <w:r>
        <w:rPr>
          <w:sz w:val="20"/>
          <w:szCs w:val="20"/>
        </w:rPr>
        <w:fldChar w:fldCharType="separate"/>
      </w:r>
      <w:r w:rsidRPr="002665AF">
        <w:rPr>
          <w:noProof/>
          <w:sz w:val="20"/>
          <w:szCs w:val="20"/>
        </w:rPr>
        <w:t>(Minhoto et al., 2006)</w:t>
      </w:r>
      <w:r>
        <w:rPr>
          <w:sz w:val="20"/>
          <w:szCs w:val="20"/>
        </w:rPr>
        <w:fldChar w:fldCharType="end"/>
      </w:r>
    </w:p>
    <w:p w:rsidR="002665AF" w:rsidRDefault="002665AF" w:rsidP="002665AF">
      <w:pPr>
        <w:spacing w:after="0" w:line="240" w:lineRule="auto"/>
        <w:rPr>
          <w:sz w:val="20"/>
          <w:szCs w:val="20"/>
        </w:rPr>
      </w:pPr>
      <w:r>
        <w:rPr>
          <w:sz w:val="20"/>
          <w:szCs w:val="20"/>
          <w:vertAlign w:val="superscript"/>
        </w:rPr>
        <w:t>h</w:t>
      </w:r>
      <w:r>
        <w:rPr>
          <w:sz w:val="20"/>
          <w:szCs w:val="20"/>
        </w:rPr>
        <w:t xml:space="preserve"> </w:t>
      </w:r>
      <w:r>
        <w:rPr>
          <w:sz w:val="20"/>
          <w:szCs w:val="20"/>
        </w:rPr>
        <w:fldChar w:fldCharType="begin" w:fldLock="1"/>
      </w:r>
      <w:r>
        <w:rPr>
          <w:sz w:val="20"/>
          <w:szCs w:val="20"/>
        </w:rPr>
        <w:instrText>ADDIN CSL_CITATION {"citationItems":[{"id":"ITEM-1","itemData":{"DOI":"10.1016/0360-1323(92)90030-S","ISSN":"03601323","abstract":"About 80% of the population of Singapore live in public housing estates built by the Housing and Development Board of Singapore. A typical neighbourhood in a public housing estate consists of several multi-storey buildings (from 8 to 25 storeys) laid out in a quadrangle enclosing an open space for outdoor play-grounds, car parks and private access roads into the neighbourhood. As car parks and access roads form the bulk of open spaces in these estates, it is likely that the outdoor thermal environment is much influenced by the materials used in their pavement construction. This is of special concern to the housing authority and community organizations since most community activities occur in the open spaces at ground level on weekends, and after working hours (5 pm) on weekdays. The present study does not attempt to quantify the effects of paving materials on air temperature, or on some comfort index for people inhabiting the outdoor space. However, this paper describes the experiments and analysis used to evaluate the comparative performance of several different pavement types with respect to their surface temperature behaviour and heat output to the environment as a result of daily exposure to solar irradiation in the Singapore climatic condition. It is found that pavement materials such as granite slab, terracotta bricks and coloured concrete interlocking blocks give lower surface temperatures and lower heat output to the environment than the conventional asphaltic concrete pavements used presently. A definite improvement to the thermal environment can be expected when any of these alternative pavement materials are used for the car parks and access roads in the housing estates of Singapore. © 1992.","author":[{"dropping-particle":"","family":"Tan","given":"Siew Ann","non-dropping-particle":"","parse-names":false,"suffix":""},{"dropping-particle":"","family":"Fwa","given":"Tien Fang","non-dropping-particle":"","parse-names":false,"suffix":""}],"container-title":"Building and Environment","id":"ITEM-1","issue":"3","issued":{"date-parts":[["1992"]]},"page":"289-295","title":"Influence of pavement materials on the thermal environment of outdoor spaces","type":"article-journal","volume":"27"},"uris":["http://www.mendeley.com/documents/?uuid=ea2a6564-0194-4090-a758-5a118a11a225"]}],"mendeley":{"formattedCitation":"(Tan &amp; Fwa, 1992)","plainTextFormattedCitation":"(Tan &amp; Fwa, 1992)","previouslyFormattedCitation":"(Tan &amp; Fwa, 1992)"},"properties":{"noteIndex":0},"schema":"https://github.com/citation-style-language/schema/raw/master/csl-citation.json"}</w:instrText>
      </w:r>
      <w:r>
        <w:rPr>
          <w:sz w:val="20"/>
          <w:szCs w:val="20"/>
        </w:rPr>
        <w:fldChar w:fldCharType="separate"/>
      </w:r>
      <w:r w:rsidRPr="002665AF">
        <w:rPr>
          <w:noProof/>
          <w:sz w:val="20"/>
          <w:szCs w:val="20"/>
        </w:rPr>
        <w:t>(Tan &amp; Fwa, 1992)</w:t>
      </w:r>
      <w:r>
        <w:rPr>
          <w:sz w:val="20"/>
          <w:szCs w:val="20"/>
        </w:rPr>
        <w:fldChar w:fldCharType="end"/>
      </w:r>
    </w:p>
    <w:p w:rsidR="002665AF" w:rsidRDefault="002665AF" w:rsidP="002665AF">
      <w:pPr>
        <w:spacing w:after="0" w:line="240" w:lineRule="auto"/>
        <w:rPr>
          <w:sz w:val="20"/>
          <w:szCs w:val="20"/>
        </w:rPr>
      </w:pPr>
      <w:r>
        <w:rPr>
          <w:sz w:val="20"/>
          <w:szCs w:val="20"/>
          <w:vertAlign w:val="superscript"/>
        </w:rPr>
        <w:t>i</w:t>
      </w:r>
      <w:r>
        <w:rPr>
          <w:sz w:val="20"/>
          <w:szCs w:val="20"/>
        </w:rPr>
        <w:t xml:space="preserve"> </w:t>
      </w:r>
      <w:r>
        <w:rPr>
          <w:sz w:val="20"/>
          <w:szCs w:val="20"/>
        </w:rPr>
        <w:fldChar w:fldCharType="begin" w:fldLock="1"/>
      </w:r>
      <w:r>
        <w:rPr>
          <w:sz w:val="20"/>
          <w:szCs w:val="20"/>
        </w:rPr>
        <w:instrText>ADDIN CSL_CITATION {"citationItems":[{"id":"ITEM-1","itemData":{"DOI":"10.1016/j.cemconcomp.2007.04.007","ISBN":"09589465","ISSN":"09589465","abstract":"In internal curing, pre-wetted lightweight aggregates (LWA) serve as internal reservoirs to supply the extra water needed by the cementitious and pozzolanic components of the concrete during their hydration processes. Due to their porous nature and reasonably high absorption capacity, the LWA can also be filled with other materials, such as phase change materials (PCMs). In this paper, three potential applications of PCM-filled LWA in concrete technology are presented. In addition to the previously explored application of increasing the energy storage capacity of concrete in residential and commercial construction by using a PCM with a transition temperature near room temperature, applications for higher and lower temperature PCMs also exist. In the former case, a PCM can be used to reduce the temperature rise (and subsequent rate of temperature decrease) of a large concrete section during (semi)adiabatic curing, to minimize thermal cracking, etc. In the latter case, a PCM can perhaps reduce the number or intensity of freeze/thaw cycles experienced by a bridge deck or other concrete exposed to a winter environment. In this paper, these latter two applications are preliminarily explored from both experimental and modeling viewpoints. ?? 2007 Elsevier Ltd. All rights reserved.","author":[{"dropping-particle":"","family":"Bentz","given":"Dale P.","non-dropping-particle":"","parse-names":false,"suffix":""},{"dropping-particle":"","family":"Turpin","given":"Randy","non-dropping-particle":"","parse-names":false,"suffix":""}],"container-title":"Cement and Concrete Composites","id":"ITEM-1","issue":"7","issued":{"date-parts":[["2007"]]},"page":"527-532","title":"Potential applications of phase change materials in concrete technology","type":"article-journal","volume":"29"},"uris":["http://www.mendeley.com/documents/?uuid=2addd9c4-b420-4a44-a6b4-c57c11eea49a"]}],"mendeley":{"formattedCitation":"(Bentz &amp; Turpin, 2007)","plainTextFormattedCitation":"(Bentz &amp; Turpin, 2007)","previouslyFormattedCitation":"(Bentz &amp; Turpin, 2007)"},"properties":{"noteIndex":0},"schema":"https://github.com/citation-style-language/schema/raw/master/csl-citation.json"}</w:instrText>
      </w:r>
      <w:r>
        <w:rPr>
          <w:sz w:val="20"/>
          <w:szCs w:val="20"/>
        </w:rPr>
        <w:fldChar w:fldCharType="separate"/>
      </w:r>
      <w:r w:rsidRPr="002665AF">
        <w:rPr>
          <w:noProof/>
          <w:sz w:val="20"/>
          <w:szCs w:val="20"/>
        </w:rPr>
        <w:t>(Bentz &amp; Turpin, 2007)</w:t>
      </w:r>
      <w:r>
        <w:rPr>
          <w:sz w:val="20"/>
          <w:szCs w:val="20"/>
        </w:rPr>
        <w:fldChar w:fldCharType="end"/>
      </w:r>
    </w:p>
    <w:p w:rsidR="00167A34" w:rsidRDefault="00167A34" w:rsidP="002665AF">
      <w:pPr>
        <w:spacing w:after="0" w:line="240" w:lineRule="auto"/>
        <w:rPr>
          <w:sz w:val="20"/>
          <w:szCs w:val="20"/>
        </w:rPr>
      </w:pPr>
      <w:r>
        <w:rPr>
          <w:sz w:val="20"/>
          <w:szCs w:val="20"/>
          <w:vertAlign w:val="superscript"/>
        </w:rPr>
        <w:t>j</w:t>
      </w:r>
      <w:r>
        <w:rPr>
          <w:sz w:val="20"/>
          <w:szCs w:val="20"/>
        </w:rPr>
        <w:t xml:space="preserve"> </w:t>
      </w:r>
      <w:r>
        <w:rPr>
          <w:sz w:val="20"/>
          <w:szCs w:val="20"/>
        </w:rPr>
        <w:fldChar w:fldCharType="begin" w:fldLock="1"/>
      </w:r>
      <w:r>
        <w:rPr>
          <w:sz w:val="20"/>
          <w:szCs w:val="20"/>
        </w:rPr>
        <w:instrText>ADDIN CSL_CITATION {"citationItems":[{"id":"ITEM-1","itemData":{"DOI":"10.1155/2017/2058034","ISSN":"16878442","abstract":"© 2017 Liqun Hu et al. Pavement heats the near-surface air and affects the thermal comfort of the human body in hot summer. Because of a large amount of connected porosity of porous Portland cement concrete (PPCC), the thermal parameters of PPCC are much different from those of traditional Portland cement concrete (PCC). The temperature change characteristics of PPCC and the effects on surrounding environment are also different. A continuous 48-hour log of temperature of a PCC and five kinds of PPCC with different porosity were recorded in the open air in the hot summer. The air temperatures at different heights above concrete specimens were tested using self-made enclosed boxes to analyze the characteristics of near-surface air temperature. The output heat flux of different concrete specimens was calculated. The results show that the PPCC has higher temperature in the daytime and lower temperature in the nighttime and larger temperature gradient than the PCC. The air temperature above PPCC is lower than that of PCC after solar radiation going to zero at night. The total output heat flux of PPCC is slightly smaller in the daytime and significantly smaller at night than that of PCC. The results of tests and calculations indicate that PPCC contributes to the mitigation of heating effect of pavement on the near-surface air.","author":[{"dropping-particle":"","family":"Hu","given":"Liqun","non-dropping-particle":"","parse-names":false,"suffix":""},{"dropping-particle":"","family":"Li","given":"Yangyang","non-dropping-particle":"","parse-names":false,"suffix":""},{"dropping-particle":"","family":"Zou","given":"Xiaolong","non-dropping-particle":"","parse-names":false,"suffix":""},{"dropping-particle":"","family":"Du","given":"Shaowen","non-dropping-particle":"","parse-names":false,"suffix":""},{"dropping-particle":"","family":"Liu","given":"Zhuangzhuang","non-dropping-particle":"","parse-names":false,"suffix":""},{"dropping-particle":"","family":"Huang","given":"Hao","non-dropping-particle":"","parse-names":false,"suffix":""}],"container-title":"Advances in Materials Science and Engineering","id":"ITEM-1","issued":{"date-parts":[["2017"]]},"title":"Temperature Characteristics of Porous Portland Cement Concrete during the Hot Summer Session","type":"article-journal","volume":"2017"},"uris":["http://www.mendeley.com/documents/?uuid=2145915f-ea9e-49c3-a9f3-c727a31bc709"]}],"mendeley":{"formattedCitation":"(Hu et al., 2017)","plainTextFormattedCitation":"(Hu et al., 2017)","previouslyFormattedCitation":"(Hu et al., 2017)"},"properties":{"noteIndex":0},"schema":"https://github.com/citation-style-language/schema/raw/master/csl-citation.json"}</w:instrText>
      </w:r>
      <w:r>
        <w:rPr>
          <w:sz w:val="20"/>
          <w:szCs w:val="20"/>
        </w:rPr>
        <w:fldChar w:fldCharType="separate"/>
      </w:r>
      <w:r w:rsidRPr="002665AF">
        <w:rPr>
          <w:noProof/>
          <w:sz w:val="20"/>
          <w:szCs w:val="20"/>
        </w:rPr>
        <w:t>(Hu et al., 2017)</w:t>
      </w:r>
      <w:r>
        <w:rPr>
          <w:sz w:val="20"/>
          <w:szCs w:val="20"/>
        </w:rPr>
        <w:fldChar w:fldCharType="end"/>
      </w:r>
    </w:p>
    <w:p w:rsidR="002665AF" w:rsidRDefault="002665AF" w:rsidP="002665AF">
      <w:pPr>
        <w:spacing w:after="0" w:line="240" w:lineRule="auto"/>
        <w:rPr>
          <w:sz w:val="20"/>
          <w:szCs w:val="20"/>
        </w:rPr>
      </w:pPr>
      <w:r>
        <w:rPr>
          <w:sz w:val="20"/>
          <w:szCs w:val="20"/>
          <w:vertAlign w:val="superscript"/>
        </w:rPr>
        <w:t>k</w:t>
      </w:r>
      <w:r>
        <w:rPr>
          <w:sz w:val="20"/>
          <w:szCs w:val="20"/>
        </w:rPr>
        <w:t xml:space="preserve"> </w:t>
      </w:r>
      <w:r>
        <w:rPr>
          <w:sz w:val="20"/>
          <w:szCs w:val="20"/>
        </w:rPr>
        <w:fldChar w:fldCharType="begin" w:fldLock="1"/>
      </w:r>
      <w:r>
        <w:rPr>
          <w:sz w:val="20"/>
          <w:szCs w:val="20"/>
        </w:rPr>
        <w:instrText>ADDIN CSL_CITATION {"citationItems":[{"id":"ITEM-1","itemData":{"DOI":"10.1061/(ASCE)0899-1561(2005)17:1(72)","author":[{"dropping-particle":"","family":"Luca","given":"Joseph","non-dropping-particle":"","parse-names":false,"suffix":""},{"dropping-particle":"","family":"Mrawira","given":"Donath","non-dropping-particle":"","parse-names":false,"suffix":""}],"container-title":"Journal of Materials in Civil Engineering","id":"ITEM-1","issue":"1","issued":{"date-parts":[["2005"]]},"page":"72-79","title":"New Measurement of Thermal Properties of Superpave Asphalt Concrete","type":"article-journal","volume":"17"},"uris":["http://www.mendeley.com/documents/?uuid=c000e127-d676-4c21-9c59-6fe2b9d3dc8b"]}],"mendeley":{"formattedCitation":"(Luca &amp; Mrawira, 2005)","plainTextFormattedCitation":"(Luca &amp; Mrawira, 2005)","previouslyFormattedCitation":"(Luca &amp; Mrawira, 2005)"},"properties":{"noteIndex":0},"schema":"https://github.com/citation-style-language/schema/raw/master/csl-citation.json"}</w:instrText>
      </w:r>
      <w:r>
        <w:rPr>
          <w:sz w:val="20"/>
          <w:szCs w:val="20"/>
        </w:rPr>
        <w:fldChar w:fldCharType="separate"/>
      </w:r>
      <w:r w:rsidRPr="002665AF">
        <w:rPr>
          <w:noProof/>
          <w:sz w:val="20"/>
          <w:szCs w:val="20"/>
        </w:rPr>
        <w:t>(Luca &amp; Mrawira, 2005)</w:t>
      </w:r>
      <w:r>
        <w:rPr>
          <w:sz w:val="20"/>
          <w:szCs w:val="20"/>
        </w:rPr>
        <w:fldChar w:fldCharType="end"/>
      </w:r>
    </w:p>
    <w:p w:rsidR="002665AF" w:rsidRDefault="002665AF" w:rsidP="002665AF">
      <w:pPr>
        <w:spacing w:after="0" w:line="240" w:lineRule="auto"/>
        <w:rPr>
          <w:sz w:val="20"/>
          <w:szCs w:val="20"/>
        </w:rPr>
      </w:pPr>
      <w:r>
        <w:rPr>
          <w:sz w:val="20"/>
          <w:szCs w:val="20"/>
          <w:vertAlign w:val="superscript"/>
        </w:rPr>
        <w:t>l</w:t>
      </w:r>
      <w:r>
        <w:rPr>
          <w:sz w:val="20"/>
          <w:szCs w:val="20"/>
        </w:rPr>
        <w:t xml:space="preserve"> </w:t>
      </w:r>
      <w:r>
        <w:rPr>
          <w:sz w:val="20"/>
          <w:szCs w:val="20"/>
        </w:rPr>
        <w:fldChar w:fldCharType="begin" w:fldLock="1"/>
      </w:r>
      <w:r>
        <w:rPr>
          <w:sz w:val="20"/>
          <w:szCs w:val="20"/>
        </w:rPr>
        <w:instrText>ADDIN CSL_CITATION {"citationItems":[{"id":"ITEM-1","itemData":{"DOI":"10.1061/(ASCE)TE.1943-5436.0000413","ISBN":"0733947X","ISSN":"0733-947X","PMID":"73961288","abstract":"To provide efficient public transportation services in areas with high demand variability over time, it may be desirable to switch vehicles between conventional services (with fixed routes and schedules) during peak periods and flexible route services during low-demand periods. This option is called variable-type services. Conventional, flexible, and variable-type service alternatives optimized for various conditions are compared to explore when variable-type bus services might be preferable to purely conventional or flexible service. The optimization models used for purely conventional or flexible service are adapted from previous studies. These models are integrated into a new model for optimizing variable-type bus service. The results of sensitivity analyses show how demand variability over time and other factors affect the relative effectiveness of conventional, flexible, and variable-type bus services.","author":[{"dropping-particle":"","family":"Wang","given":"Dong","non-dropping-particle":"","parse-names":false,"suffix":""},{"dropping-particle":"","family":"Roesler","given":"Jeffery R.","non-dropping-particle":"","parse-names":false,"suffix":""}],"container-title":"Journal of Transportation Engineering","id":"ITEM-1","issue":"9","issued":{"date-parts":[["2012","9"]]},"page":"1171-1177","title":"One-Dimensional Rigid Pavement Temperature Prediction Using Laplace Transformation","type":"article-journal","volume":"138"},"uris":["http://www.mendeley.com/documents/?uuid=1518effa-98e5-40d0-943d-9943ecdee4e8"]}],"mendeley":{"formattedCitation":"(Wang &amp; Roesler, 2012)","plainTextFormattedCitation":"(Wang &amp; Roesler, 2012)","previouslyFormattedCitation":"(Wang &amp; Roesler, 2012)"},"properties":{"noteIndex":0},"schema":"https://github.com/citation-style-language/schema/raw/master/csl-citation.json"}</w:instrText>
      </w:r>
      <w:r>
        <w:rPr>
          <w:sz w:val="20"/>
          <w:szCs w:val="20"/>
        </w:rPr>
        <w:fldChar w:fldCharType="separate"/>
      </w:r>
      <w:r w:rsidRPr="002665AF">
        <w:rPr>
          <w:noProof/>
          <w:sz w:val="20"/>
          <w:szCs w:val="20"/>
        </w:rPr>
        <w:t>(Wang &amp; Roesler, 2012)</w:t>
      </w:r>
      <w:r>
        <w:rPr>
          <w:sz w:val="20"/>
          <w:szCs w:val="20"/>
        </w:rPr>
        <w:fldChar w:fldCharType="end"/>
      </w:r>
    </w:p>
    <w:p w:rsidR="00CE1AE1" w:rsidRDefault="00CE1AE1" w:rsidP="002665AF">
      <w:pPr>
        <w:spacing w:after="0" w:line="240" w:lineRule="auto"/>
        <w:rPr>
          <w:sz w:val="20"/>
          <w:szCs w:val="20"/>
        </w:rPr>
      </w:pPr>
      <w:r>
        <w:rPr>
          <w:sz w:val="20"/>
          <w:szCs w:val="20"/>
          <w:vertAlign w:val="superscript"/>
        </w:rPr>
        <w:t>m</w:t>
      </w:r>
      <w:r>
        <w:rPr>
          <w:sz w:val="20"/>
          <w:szCs w:val="20"/>
        </w:rPr>
        <w:t xml:space="preserve"> </w:t>
      </w:r>
      <w:r>
        <w:rPr>
          <w:sz w:val="20"/>
          <w:szCs w:val="20"/>
        </w:rPr>
        <w:fldChar w:fldCharType="begin" w:fldLock="1"/>
      </w:r>
      <w:r>
        <w:rPr>
          <w:sz w:val="20"/>
          <w:szCs w:val="20"/>
        </w:rPr>
        <w:instrText>ADDIN CSL_CITATION {"citationItems":[{"id":"ITEM-1","itemData":{"DOI":"10.1155/2015/926809","ISSN":"1687-4110","abstract":"This paper investigates the thermal properties of asphalt mixtures modified with conductive fillers used for snow melting and solar harvesting pavements. Two different mixing processes were adopted to mold asphalt mixtures, dry- and wet-mixing, and two conductive fillers were used in this study, graphite and carbon black. The thermal conductivity was compared to investigate the effects of asphalt mixture preparing methods, the quantity, and the distribution of conductive filler on thermal properties. The combination of conductive filler with carbon fiber in asphalt mixture was evaluated. Also, rheological properties of modified asphalt binders with conductive fillers were measured using dynamic shear rheometer and bending beam rheometer at grade-specific temperatures. Based on rheological testing, the conductive fillers improve rutting resistance and decrease thermal cracking resistance. Thermal testing indicated that graphite and carbon black improve the thermal properties of asphalt mixes and the combined conductive fillers are more effective than the single filler.","author":[{"dropping-particle":"","family":"Im","given":"Ji Sun","non-dropping-particle":"","parse-names":false,"suffix":""},{"dropping-particle":"","family":"Dessouky","given":"Samer","non-dropping-particle":"","parse-names":false,"suffix":""},{"dropping-particle":"","family":"Bai","given":"Byong Chol","non-dropping-particle":"","parse-names":false,"suffix":""},{"dropping-particle":"","family":"Vo","given":"Hai Viet","non-dropping-particle":"","parse-names":false,"suffix":""},{"dropping-particle":"","family":"Park","given":"Dae-Wook","non-dropping-particle":"","parse-names":false,"suffix":""}],"container-title":"Journal of Nanomaterials","id":"ITEM-1","issued":{"date-parts":[["2015"]]},"page":"1-6","title":"Thermal Properties of Asphalt Mixtures Modified with Conductive Fillers","type":"article-journal","volume":"2015"},"uris":["http://www.mendeley.com/documents/?uuid=ece9afd9-d735-426e-ac78-e7442f227982"]}],"mendeley":{"formattedCitation":"(Im et al., 2015)","plainTextFormattedCitation":"(Im et al., 2015)","previouslyFormattedCitation":"(Im et al., 2015)"},"properties":{"noteIndex":0},"schema":"https://github.com/citation-style-language/schema/raw/master/csl-citation.json"}</w:instrText>
      </w:r>
      <w:r>
        <w:rPr>
          <w:sz w:val="20"/>
          <w:szCs w:val="20"/>
        </w:rPr>
        <w:fldChar w:fldCharType="separate"/>
      </w:r>
      <w:r w:rsidRPr="002665AF">
        <w:rPr>
          <w:noProof/>
          <w:sz w:val="20"/>
          <w:szCs w:val="20"/>
        </w:rPr>
        <w:t>(Im et al., 2015)</w:t>
      </w:r>
      <w:r>
        <w:rPr>
          <w:sz w:val="20"/>
          <w:szCs w:val="20"/>
        </w:rPr>
        <w:fldChar w:fldCharType="end"/>
      </w:r>
    </w:p>
    <w:p w:rsidR="002665AF" w:rsidRDefault="00CE1AE1" w:rsidP="002665AF">
      <w:pPr>
        <w:spacing w:after="0" w:line="240" w:lineRule="auto"/>
        <w:rPr>
          <w:sz w:val="20"/>
          <w:szCs w:val="20"/>
        </w:rPr>
      </w:pPr>
      <w:r>
        <w:rPr>
          <w:sz w:val="20"/>
          <w:szCs w:val="20"/>
          <w:vertAlign w:val="superscript"/>
        </w:rPr>
        <w:t>n</w:t>
      </w:r>
      <w:r w:rsidR="002665AF">
        <w:rPr>
          <w:sz w:val="20"/>
          <w:szCs w:val="20"/>
        </w:rPr>
        <w:t xml:space="preserve"> </w:t>
      </w:r>
      <w:r w:rsidR="002665AF">
        <w:rPr>
          <w:sz w:val="20"/>
          <w:szCs w:val="20"/>
        </w:rPr>
        <w:fldChar w:fldCharType="begin" w:fldLock="1"/>
      </w:r>
      <w:r w:rsidR="002665AF">
        <w:rPr>
          <w:sz w:val="20"/>
          <w:szCs w:val="20"/>
        </w:rPr>
        <w:instrText>ADDIN CSL_CITATION {"citationItems":[{"id":"ITEM-1","itemData":{"DOI":"10.1061/(ASCE)MT.1943-5533.0000357","ISSN":"0899-1561","abstract":"The paper summarizes the relative influence of different pavement thermophysical properties on the thermal response of pavement cross sections and how their relative behavior changes in different climatic regions. A simplified one-dimensional (1D) heat-flow modeling tool was developed to achieve this by using a finite difference solution method for studying the dynamic temperature profile within pavement constructions. This approach allows for a wide variety and for daily varying climatic conditions to be applied, where limited or historic thermophysical material properties are available, and permits the thermal behavior of the pavement layers to be accurately modeled and modified. The model was used with available thermal pavement materials properties and with properties determined specifically for the study reported in this paper. The pavement materials included in the study comprised both conventional bituminous and cementicious mixes and unconventional mixtures that allowed a wide range of densities, thermal conductivities, specific heat capacities, and thermal diffusivities to be investigated. Initially, the model was validated against in situ pavement data collected in the United States in five widely differing climatic regions. It was found to give results at least as good as others available from more computationally expensive approaches such as two-dimensional (2D) and three-dimensional (3D) finite-element (FE) commercial packages. The model was then used to compute the response for the same locations where the thermal properties had been changed by using some of the unconventional pavement materials. This revealed that reduction of the temperature range by several degrees was easily possible (with implications for reduction of rutting, fatigue, and the urban heat island effect) and that depth of penetration of peak temperatures was also achievable (with implications for winter freeze and thaw). However, the results showed that there was little opportunity to displace the peak temperatures in time.","author":[{"dropping-particle":"","family":"Hall","given":"Matthew R.","non-dropping-particle":"","parse-names":false,"suffix":""},{"dropping-particle":"","family":"Dehdezi","given":"Pejman Keikhaei","non-dropping-particle":"","parse-names":false,"suffix":""},{"dropping-particle":"","family":"Dawson","given":"Andrew R.","non-dropping-particle":"","parse-names":false,"suffix":""},{"dropping-particle":"","family":"Grenfell","given":"James","non-dropping-particle":"","parse-names":false,"suffix":""},{"dropping-particle":"","family":"Isola","given":"Riccardo","non-dropping-particle":"","parse-names":false,"suffix":""}],"container-title":"Journal of Materials in Civil Engineering","id":"ITEM-1","issue":"1","issued":{"date-parts":[["2012","1"]]},"page":"32-47","title":"Influence of the Thermophysical Properties of Pavement Materials on the Evolution of Temperature Depth Profiles in Different Climatic Regions","type":"article-journal","volume":"24"},"uris":["http://www.mendeley.com/documents/?uuid=e6e425a3-2eab-43d9-bc81-f5694c4bab4d"]}],"mendeley":{"formattedCitation":"(Hall et al., 2012)","plainTextFormattedCitation":"(Hall et al., 2012)","previouslyFormattedCitation":"(Hall et al., 2012)"},"properties":{"noteIndex":0},"schema":"https://github.com/citation-style-language/schema/raw/master/csl-citation.json"}</w:instrText>
      </w:r>
      <w:r w:rsidR="002665AF">
        <w:rPr>
          <w:sz w:val="20"/>
          <w:szCs w:val="20"/>
        </w:rPr>
        <w:fldChar w:fldCharType="separate"/>
      </w:r>
      <w:r w:rsidR="002665AF" w:rsidRPr="002665AF">
        <w:rPr>
          <w:noProof/>
          <w:sz w:val="20"/>
          <w:szCs w:val="20"/>
        </w:rPr>
        <w:t>(Hall et al., 2012)</w:t>
      </w:r>
      <w:r w:rsidR="002665AF">
        <w:rPr>
          <w:sz w:val="20"/>
          <w:szCs w:val="20"/>
        </w:rPr>
        <w:fldChar w:fldCharType="end"/>
      </w:r>
    </w:p>
    <w:p w:rsidR="00EE1DCC" w:rsidRDefault="00EE1DCC" w:rsidP="002665AF">
      <w:pPr>
        <w:spacing w:after="0" w:line="240" w:lineRule="auto"/>
        <w:rPr>
          <w:sz w:val="20"/>
          <w:szCs w:val="20"/>
        </w:rPr>
      </w:pPr>
      <w:r>
        <w:rPr>
          <w:sz w:val="20"/>
          <w:szCs w:val="20"/>
          <w:vertAlign w:val="superscript"/>
        </w:rPr>
        <w:t>o</w:t>
      </w:r>
      <w:r>
        <w:rPr>
          <w:sz w:val="20"/>
          <w:szCs w:val="20"/>
        </w:rPr>
        <w:t xml:space="preserve"> </w:t>
      </w:r>
      <w:r>
        <w:rPr>
          <w:sz w:val="20"/>
          <w:szCs w:val="20"/>
        </w:rPr>
        <w:fldChar w:fldCharType="begin" w:fldLock="1"/>
      </w:r>
      <w:r w:rsidR="00E52239">
        <w:rPr>
          <w:sz w:val="20"/>
          <w:szCs w:val="20"/>
        </w:rPr>
        <w:instrText>ADDIN CSL_CITATION {"citationItems":[{"id":"ITEM-1","itemData":{"author":[{"dropping-particle":"","family":"ADOT","given":"(Arizona Department of Transportation)","non-dropping-particle":"","parse-names":false,"suffix":""}],"id":"ITEM-1","issued":{"date-parts":[["2017"]]},"number-of-pages":"35-36, 41","title":"Pavement Design Manual","type":"report"},"uris":["http://www.mendeley.com/documents/?uuid=df732fcf-3030-4e4a-ac59-646eeef2ac58"]}],"mendeley":{"formattedCitation":"(ADOT, 2017)","plainTextFormattedCitation":"(ADOT, 2017)","previouslyFormattedCitation":"(ADOT, 2017)"},"properties":{"noteIndex":0},"schema":"https://github.com/citation-style-language/schema/raw/master/csl-citation.json"}</w:instrText>
      </w:r>
      <w:r>
        <w:rPr>
          <w:sz w:val="20"/>
          <w:szCs w:val="20"/>
        </w:rPr>
        <w:fldChar w:fldCharType="separate"/>
      </w:r>
      <w:r w:rsidRPr="00EE1DCC">
        <w:rPr>
          <w:noProof/>
          <w:sz w:val="20"/>
          <w:szCs w:val="20"/>
        </w:rPr>
        <w:t>(ADOT, 2017)</w:t>
      </w:r>
      <w:r>
        <w:rPr>
          <w:sz w:val="20"/>
          <w:szCs w:val="20"/>
        </w:rPr>
        <w:fldChar w:fldCharType="end"/>
      </w:r>
    </w:p>
    <w:p w:rsidR="002665AF" w:rsidRDefault="00EE1DCC" w:rsidP="002665AF">
      <w:pPr>
        <w:spacing w:after="0" w:line="240" w:lineRule="auto"/>
        <w:rPr>
          <w:sz w:val="20"/>
          <w:szCs w:val="20"/>
        </w:rPr>
      </w:pPr>
      <w:r>
        <w:rPr>
          <w:sz w:val="20"/>
          <w:szCs w:val="20"/>
          <w:vertAlign w:val="superscript"/>
        </w:rPr>
        <w:t>p</w:t>
      </w:r>
      <w:r w:rsidR="002665AF">
        <w:rPr>
          <w:sz w:val="20"/>
          <w:szCs w:val="20"/>
        </w:rPr>
        <w:t xml:space="preserve"> </w:t>
      </w:r>
      <w:r w:rsidR="002665AF">
        <w:rPr>
          <w:sz w:val="20"/>
          <w:szCs w:val="20"/>
        </w:rPr>
        <w:fldChar w:fldCharType="begin" w:fldLock="1"/>
      </w:r>
      <w:r w:rsidR="002665AF">
        <w:rPr>
          <w:sz w:val="20"/>
          <w:szCs w:val="20"/>
        </w:rPr>
        <w:instrText>ADDIN CSL_CITATION {"citationItems":[{"id":"ITEM-1","itemData":{"DOI":"150/5320-6F","abstract":"Subject: AIRCRAFT ICE PROTECTION Date: 8/16/06 AC No: 20-73A","author":[{"dropping-particle":"","family":"FAA","given":"(Federal Aviation Administration)","non-dropping-particle":"","parse-names":false,"suffix":""}],"id":"ITEM-1","issued":{"date-parts":[["2016"]]},"title":"Airport Pavement Design and Evaluation","type":"report"},"uris":["http://www.mendeley.com/documents/?uuid=824a1f1c-60ac-4833-aa13-ceff99fa2bd9"]}],"mendeley":{"formattedCitation":"(FAA, 2016)","plainTextFormattedCitation":"(FAA, 2016)","previouslyFormattedCitation":"(FAA, 2016)"},"properties":{"noteIndex":0},"schema":"https://github.com/citation-style-language/schema/raw/master/csl-citation.json"}</w:instrText>
      </w:r>
      <w:r w:rsidR="002665AF">
        <w:rPr>
          <w:sz w:val="20"/>
          <w:szCs w:val="20"/>
        </w:rPr>
        <w:fldChar w:fldCharType="separate"/>
      </w:r>
      <w:r w:rsidR="002665AF" w:rsidRPr="002665AF">
        <w:rPr>
          <w:noProof/>
          <w:sz w:val="20"/>
          <w:szCs w:val="20"/>
        </w:rPr>
        <w:t>(FAA, 2016)</w:t>
      </w:r>
      <w:r w:rsidR="002665AF">
        <w:rPr>
          <w:sz w:val="20"/>
          <w:szCs w:val="20"/>
        </w:rPr>
        <w:fldChar w:fldCharType="end"/>
      </w:r>
    </w:p>
    <w:p w:rsidR="00111766" w:rsidRDefault="00EE1DCC" w:rsidP="00A93C66">
      <w:pPr>
        <w:spacing w:after="0" w:line="240" w:lineRule="auto"/>
        <w:rPr>
          <w:sz w:val="20"/>
          <w:szCs w:val="20"/>
        </w:rPr>
      </w:pPr>
      <w:r>
        <w:rPr>
          <w:sz w:val="20"/>
          <w:szCs w:val="20"/>
          <w:vertAlign w:val="superscript"/>
        </w:rPr>
        <w:t>q</w:t>
      </w:r>
      <w:r w:rsidR="002665AF">
        <w:rPr>
          <w:sz w:val="20"/>
          <w:szCs w:val="20"/>
        </w:rPr>
        <w:t xml:space="preserve"> </w:t>
      </w:r>
      <w:r w:rsidR="002665AF">
        <w:rPr>
          <w:sz w:val="20"/>
          <w:szCs w:val="20"/>
        </w:rPr>
        <w:fldChar w:fldCharType="begin" w:fldLock="1"/>
      </w:r>
      <w:r>
        <w:rPr>
          <w:sz w:val="20"/>
          <w:szCs w:val="20"/>
        </w:rPr>
        <w:instrText>ADDIN CSL_CITATION {"citationItems":[{"id":"ITEM-1","itemData":{"DOI":"UFC 3-201-01","author":[{"dropping-particle":"","family":"USACE","given":"(United States Army Corps of Engineers)","non-dropping-particle":"","parse-names":false,"suffix":""}],"id":"ITEM-1","issue":"April","issued":{"date-parts":[["2018"]]},"title":"Unified Facilities Criteria","type":"report"},"uris":["http://www.mendeley.com/documents/?uuid=56a18f3c-fe61-453f-8da2-b639cb6bb993"]}],"mendeley":{"formattedCitation":"(USACE, 2018)","plainTextFormattedCitation":"(USACE, 2018)","previouslyFormattedCitation":"(USACE, 2018)"},"properties":{"noteIndex":0},"schema":"https://github.com/citation-style-language/schema/raw/master/csl-citation.json"}</w:instrText>
      </w:r>
      <w:r w:rsidR="002665AF">
        <w:rPr>
          <w:sz w:val="20"/>
          <w:szCs w:val="20"/>
        </w:rPr>
        <w:fldChar w:fldCharType="separate"/>
      </w:r>
      <w:r w:rsidR="002665AF" w:rsidRPr="002665AF">
        <w:rPr>
          <w:noProof/>
          <w:sz w:val="20"/>
          <w:szCs w:val="20"/>
        </w:rPr>
        <w:t>(USACE, 2018)</w:t>
      </w:r>
      <w:r w:rsidR="002665AF">
        <w:rPr>
          <w:sz w:val="20"/>
          <w:szCs w:val="20"/>
        </w:rPr>
        <w:fldChar w:fldCharType="end"/>
      </w:r>
    </w:p>
    <w:p w:rsidR="00902EF5" w:rsidRDefault="00902EF5" w:rsidP="00A93C66">
      <w:pPr>
        <w:spacing w:after="0" w:line="240" w:lineRule="auto"/>
        <w:rPr>
          <w:sz w:val="20"/>
          <w:szCs w:val="20"/>
        </w:rPr>
      </w:pPr>
      <w:r>
        <w:rPr>
          <w:sz w:val="20"/>
          <w:szCs w:val="20"/>
        </w:rPr>
        <w:br w:type="page"/>
      </w:r>
    </w:p>
    <w:p w:rsidR="00902EF5" w:rsidRPr="0021730E" w:rsidRDefault="00902EF5" w:rsidP="00B10179">
      <w:pPr>
        <w:pStyle w:val="Heading1"/>
        <w:rPr>
          <w:rFonts w:ascii="Times New Roman" w:hAnsi="Times New Roman" w:cs="Times New Roman"/>
          <w:b/>
          <w:color w:val="auto"/>
          <w:sz w:val="22"/>
          <w:szCs w:val="20"/>
        </w:rPr>
      </w:pPr>
      <w:r w:rsidRPr="0021730E">
        <w:rPr>
          <w:rFonts w:ascii="Times New Roman" w:hAnsi="Times New Roman" w:cs="Times New Roman"/>
          <w:b/>
          <w:color w:val="auto"/>
          <w:sz w:val="22"/>
          <w:szCs w:val="20"/>
        </w:rPr>
        <w:lastRenderedPageBreak/>
        <w:t>References</w:t>
      </w:r>
    </w:p>
    <w:p w:rsidR="00902EF5" w:rsidRPr="0021730E" w:rsidRDefault="00902EF5" w:rsidP="00A93C66">
      <w:pPr>
        <w:spacing w:after="0" w:line="240" w:lineRule="auto"/>
        <w:rPr>
          <w:sz w:val="18"/>
          <w:szCs w:val="20"/>
        </w:rPr>
      </w:pP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sz w:val="22"/>
          <w:szCs w:val="20"/>
        </w:rPr>
        <w:fldChar w:fldCharType="begin" w:fldLock="1"/>
      </w:r>
      <w:r w:rsidRPr="0021730E">
        <w:rPr>
          <w:sz w:val="22"/>
          <w:szCs w:val="20"/>
        </w:rPr>
        <w:instrText xml:space="preserve">ADDIN Mendeley Bibliography CSL_BIBLIOGRAPHY </w:instrText>
      </w:r>
      <w:r w:rsidRPr="0021730E">
        <w:rPr>
          <w:sz w:val="22"/>
          <w:szCs w:val="20"/>
        </w:rPr>
        <w:fldChar w:fldCharType="separate"/>
      </w:r>
      <w:r w:rsidRPr="0021730E">
        <w:rPr>
          <w:noProof/>
          <w:sz w:val="22"/>
        </w:rPr>
        <w:t xml:space="preserve">ADOT, (Arizona Department of Transportation). (2017). </w:t>
      </w:r>
      <w:r w:rsidRPr="0021730E">
        <w:rPr>
          <w:i/>
          <w:iCs/>
          <w:noProof/>
          <w:sz w:val="22"/>
        </w:rPr>
        <w:t>Pavement Design Manual</w:t>
      </w:r>
      <w:r w:rsidRPr="0021730E">
        <w:rPr>
          <w:noProof/>
          <w:sz w:val="22"/>
        </w:rPr>
        <w:t>. Retrieved from https://apps.azdot.gov/files/materials-manuals/Preliminary-Engineering-Design/PavementDesignManual.pdf</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Bentz, D. P., &amp; Turpin, R. (2007). Potential applications of phase change materials in concrete technology. </w:t>
      </w:r>
      <w:r w:rsidRPr="0021730E">
        <w:rPr>
          <w:i/>
          <w:iCs/>
          <w:noProof/>
          <w:sz w:val="22"/>
        </w:rPr>
        <w:t>Cement and Concrete Composites</w:t>
      </w:r>
      <w:r w:rsidRPr="0021730E">
        <w:rPr>
          <w:noProof/>
          <w:sz w:val="22"/>
        </w:rPr>
        <w:t xml:space="preserve">, </w:t>
      </w:r>
      <w:r w:rsidRPr="0021730E">
        <w:rPr>
          <w:i/>
          <w:iCs/>
          <w:noProof/>
          <w:sz w:val="22"/>
        </w:rPr>
        <w:t>29</w:t>
      </w:r>
      <w:r w:rsidRPr="0021730E">
        <w:rPr>
          <w:noProof/>
          <w:sz w:val="22"/>
        </w:rPr>
        <w:t>(7), 527–532. https://doi.org/10.1016/j.cemconcomp.2007.04.007</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Dobos, E. (2011). </w:t>
      </w:r>
      <w:r w:rsidRPr="0021730E">
        <w:rPr>
          <w:i/>
          <w:iCs/>
          <w:noProof/>
          <w:sz w:val="22"/>
        </w:rPr>
        <w:t>Encyclopedia of Soil Science, Second Edition</w:t>
      </w:r>
      <w:r w:rsidRPr="0021730E">
        <w:rPr>
          <w:noProof/>
          <w:sz w:val="22"/>
        </w:rPr>
        <w:t>. https://doi.org/10.1081/E-ESS</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FAA, (Federal Aviation Administration). (2016). </w:t>
      </w:r>
      <w:r w:rsidRPr="0021730E">
        <w:rPr>
          <w:i/>
          <w:iCs/>
          <w:noProof/>
          <w:sz w:val="22"/>
        </w:rPr>
        <w:t>Airport Pavement Design and Evaluation</w:t>
      </w:r>
      <w:r w:rsidRPr="0021730E">
        <w:rPr>
          <w:noProof/>
          <w:sz w:val="22"/>
        </w:rPr>
        <w:t>. https://doi.org/150/5320-6F</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Gui, J., Phelan, P. E., Kaloush, K. E., &amp; Golden, J. S. (2007). Impact of Pavement Thermophysical Properties on Surface Temperatures. </w:t>
      </w:r>
      <w:r w:rsidRPr="0021730E">
        <w:rPr>
          <w:i/>
          <w:iCs/>
          <w:noProof/>
          <w:sz w:val="22"/>
        </w:rPr>
        <w:t>Journal of Materials in Civil Engineering</w:t>
      </w:r>
      <w:r w:rsidRPr="0021730E">
        <w:rPr>
          <w:noProof/>
          <w:sz w:val="22"/>
        </w:rPr>
        <w:t xml:space="preserve">, </w:t>
      </w:r>
      <w:r w:rsidRPr="0021730E">
        <w:rPr>
          <w:i/>
          <w:iCs/>
          <w:noProof/>
          <w:sz w:val="22"/>
        </w:rPr>
        <w:t>19</w:t>
      </w:r>
      <w:r w:rsidRPr="0021730E">
        <w:rPr>
          <w:noProof/>
          <w:sz w:val="22"/>
        </w:rPr>
        <w:t>(8), 683–690.</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Hall, M. R., Dehdezi, P. K., Dawson, A. R., Grenfell, J., &amp; Isola, R. (2012). Influence of the Thermophysical Properties of Pavement Materials on the Evolution of Temperature Depth Profiles in Different Climatic Regions. </w:t>
      </w:r>
      <w:r w:rsidRPr="0021730E">
        <w:rPr>
          <w:i/>
          <w:iCs/>
          <w:noProof/>
          <w:sz w:val="22"/>
        </w:rPr>
        <w:t>Journal of Materials in Civil Engineering</w:t>
      </w:r>
      <w:r w:rsidRPr="0021730E">
        <w:rPr>
          <w:noProof/>
          <w:sz w:val="22"/>
        </w:rPr>
        <w:t xml:space="preserve">, </w:t>
      </w:r>
      <w:r w:rsidRPr="0021730E">
        <w:rPr>
          <w:i/>
          <w:iCs/>
          <w:noProof/>
          <w:sz w:val="22"/>
        </w:rPr>
        <w:t>24</w:t>
      </w:r>
      <w:r w:rsidRPr="0021730E">
        <w:rPr>
          <w:noProof/>
          <w:sz w:val="22"/>
        </w:rPr>
        <w:t>(1), 32–47. https://doi.org/10.1061/(ASCE)MT.1943-5533.0000357</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Hermansson, Å. (2004). Mathematical model for paved surface summer and winter temperature: comparison of calculated and measured temperatures. </w:t>
      </w:r>
      <w:r w:rsidRPr="0021730E">
        <w:rPr>
          <w:i/>
          <w:iCs/>
          <w:noProof/>
          <w:sz w:val="22"/>
        </w:rPr>
        <w:t>Cold Regions Science and Technology</w:t>
      </w:r>
      <w:r w:rsidRPr="0021730E">
        <w:rPr>
          <w:noProof/>
          <w:sz w:val="22"/>
        </w:rPr>
        <w:t xml:space="preserve">, </w:t>
      </w:r>
      <w:r w:rsidRPr="0021730E">
        <w:rPr>
          <w:i/>
          <w:iCs/>
          <w:noProof/>
          <w:sz w:val="22"/>
        </w:rPr>
        <w:t>40</w:t>
      </w:r>
      <w:r w:rsidRPr="0021730E">
        <w:rPr>
          <w:noProof/>
          <w:sz w:val="22"/>
        </w:rPr>
        <w:t>(1–2), 1–17. https://doi.org/10.1016/j.coldregions.2004.03.001</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Hu, L., Li, Y., Zou, X., Du, S., Liu, Z., &amp; Huang, H. (2017). Temperature Characteristics of Porous Portland Cement Concrete during the Hot Summer Session. </w:t>
      </w:r>
      <w:r w:rsidRPr="0021730E">
        <w:rPr>
          <w:i/>
          <w:iCs/>
          <w:noProof/>
          <w:sz w:val="22"/>
        </w:rPr>
        <w:t>Advances in Materials Science and Engineering</w:t>
      </w:r>
      <w:r w:rsidRPr="0021730E">
        <w:rPr>
          <w:noProof/>
          <w:sz w:val="22"/>
        </w:rPr>
        <w:t xml:space="preserve">, </w:t>
      </w:r>
      <w:r w:rsidRPr="0021730E">
        <w:rPr>
          <w:i/>
          <w:iCs/>
          <w:noProof/>
          <w:sz w:val="22"/>
        </w:rPr>
        <w:t>2017</w:t>
      </w:r>
      <w:r w:rsidRPr="0021730E">
        <w:rPr>
          <w:noProof/>
          <w:sz w:val="22"/>
        </w:rPr>
        <w:t>. https://doi.org/10.1155/2017/2058034</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Im, J. S., Dessouky, S., Bai, B. C., Vo, H. V., &amp; Park, D.-W. (2015). Thermal Properties of Asphalt Mixtures Modified with Conductive Fillers. </w:t>
      </w:r>
      <w:r w:rsidRPr="0021730E">
        <w:rPr>
          <w:i/>
          <w:iCs/>
          <w:noProof/>
          <w:sz w:val="22"/>
        </w:rPr>
        <w:t>Journal of Nanomaterials</w:t>
      </w:r>
      <w:r w:rsidRPr="0021730E">
        <w:rPr>
          <w:noProof/>
          <w:sz w:val="22"/>
        </w:rPr>
        <w:t xml:space="preserve">, </w:t>
      </w:r>
      <w:r w:rsidRPr="0021730E">
        <w:rPr>
          <w:i/>
          <w:iCs/>
          <w:noProof/>
          <w:sz w:val="22"/>
        </w:rPr>
        <w:t>2015</w:t>
      </w:r>
      <w:r w:rsidRPr="0021730E">
        <w:rPr>
          <w:noProof/>
          <w:sz w:val="22"/>
        </w:rPr>
        <w:t>, 1–6. https://doi.org/10.1155/2015/926809</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Li, H., Harvey, J., &amp; Kendall, A. (2013). Field measurement of albedo for different land cover materials and effects on thermal performance. </w:t>
      </w:r>
      <w:r w:rsidRPr="0021730E">
        <w:rPr>
          <w:i/>
          <w:iCs/>
          <w:noProof/>
          <w:sz w:val="22"/>
        </w:rPr>
        <w:t>Building and Environment</w:t>
      </w:r>
      <w:r w:rsidRPr="0021730E">
        <w:rPr>
          <w:noProof/>
          <w:sz w:val="22"/>
        </w:rPr>
        <w:t xml:space="preserve">, </w:t>
      </w:r>
      <w:r w:rsidRPr="0021730E">
        <w:rPr>
          <w:i/>
          <w:iCs/>
          <w:noProof/>
          <w:sz w:val="22"/>
        </w:rPr>
        <w:t>59</w:t>
      </w:r>
      <w:r w:rsidRPr="0021730E">
        <w:rPr>
          <w:noProof/>
          <w:sz w:val="22"/>
        </w:rPr>
        <w:t>, 536–546. https://doi.org/10.1016/J.BUILDENV.2012.10.014</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Luca, J., &amp; Mrawira, D. (2005). New Measurement of Thermal Properties of Superpave Asphalt Concrete. </w:t>
      </w:r>
      <w:r w:rsidRPr="0021730E">
        <w:rPr>
          <w:i/>
          <w:iCs/>
          <w:noProof/>
          <w:sz w:val="22"/>
        </w:rPr>
        <w:t>Journal of Materials in Civil Engineering</w:t>
      </w:r>
      <w:r w:rsidRPr="0021730E">
        <w:rPr>
          <w:noProof/>
          <w:sz w:val="22"/>
        </w:rPr>
        <w:t xml:space="preserve">, </w:t>
      </w:r>
      <w:r w:rsidRPr="0021730E">
        <w:rPr>
          <w:i/>
          <w:iCs/>
          <w:noProof/>
          <w:sz w:val="22"/>
        </w:rPr>
        <w:t>17</w:t>
      </w:r>
      <w:r w:rsidRPr="0021730E">
        <w:rPr>
          <w:noProof/>
          <w:sz w:val="22"/>
        </w:rPr>
        <w:t>(1), 72–79. https://doi.org/10.1061/(ASCE)0899-1561(2005)17:1(72)</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Minhoto, M. J. C., Pais, J. C., &amp; Pereira, P. a. a. (2006). Asphalt Pavement Temperature Prediction. </w:t>
      </w:r>
      <w:r w:rsidRPr="0021730E">
        <w:rPr>
          <w:i/>
          <w:iCs/>
          <w:noProof/>
          <w:sz w:val="22"/>
        </w:rPr>
        <w:t>Asphalt Rubber 2006: Proceedings</w:t>
      </w:r>
      <w:r w:rsidRPr="0021730E">
        <w:rPr>
          <w:noProof/>
          <w:sz w:val="22"/>
        </w:rPr>
        <w:t>, 193–207. https://doi.org/10.1061/9780784413005.029</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Monteith, J. L., &amp; Unsworth, M. H. (2013). </w:t>
      </w:r>
      <w:r w:rsidRPr="0021730E">
        <w:rPr>
          <w:i/>
          <w:iCs/>
          <w:noProof/>
          <w:sz w:val="22"/>
        </w:rPr>
        <w:t>Principles of Environmental Physics: plants, animals, and the atmosphere</w:t>
      </w:r>
      <w:r w:rsidRPr="0021730E">
        <w:rPr>
          <w:noProof/>
          <w:sz w:val="22"/>
        </w:rPr>
        <w:t xml:space="preserve"> (4th ed.). Academic Press.</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lastRenderedPageBreak/>
        <w:t xml:space="preserve">Qin, Y. (2015). Urban canyon albedo and its implication on the use of reflective cool pavements. </w:t>
      </w:r>
      <w:r w:rsidRPr="0021730E">
        <w:rPr>
          <w:i/>
          <w:iCs/>
          <w:noProof/>
          <w:sz w:val="22"/>
        </w:rPr>
        <w:t>Energy and Buildings</w:t>
      </w:r>
      <w:r w:rsidRPr="0021730E">
        <w:rPr>
          <w:noProof/>
          <w:sz w:val="22"/>
        </w:rPr>
        <w:t xml:space="preserve">, </w:t>
      </w:r>
      <w:r w:rsidRPr="0021730E">
        <w:rPr>
          <w:i/>
          <w:iCs/>
          <w:noProof/>
          <w:sz w:val="22"/>
        </w:rPr>
        <w:t>96</w:t>
      </w:r>
      <w:r w:rsidRPr="0021730E">
        <w:rPr>
          <w:noProof/>
          <w:sz w:val="22"/>
        </w:rPr>
        <w:t>, 86–94. https://doi.org/10.1016/j.enbuild.2015.03.005</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Tan, S. A., &amp; Fwa, T. F. (1992). Influence of pavement materials on the thermal environment of outdoor spaces. </w:t>
      </w:r>
      <w:r w:rsidRPr="0021730E">
        <w:rPr>
          <w:i/>
          <w:iCs/>
          <w:noProof/>
          <w:sz w:val="22"/>
        </w:rPr>
        <w:t>Building and Environment</w:t>
      </w:r>
      <w:r w:rsidRPr="0021730E">
        <w:rPr>
          <w:noProof/>
          <w:sz w:val="22"/>
        </w:rPr>
        <w:t xml:space="preserve">, </w:t>
      </w:r>
      <w:r w:rsidRPr="0021730E">
        <w:rPr>
          <w:i/>
          <w:iCs/>
          <w:noProof/>
          <w:sz w:val="22"/>
        </w:rPr>
        <w:t>27</w:t>
      </w:r>
      <w:r w:rsidRPr="0021730E">
        <w:rPr>
          <w:noProof/>
          <w:sz w:val="22"/>
        </w:rPr>
        <w:t>(3), 289–295. https://doi.org/10.1016/0360-1323(92)90030-S</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USACE, (United States Army Corps of Engineers). (2018). </w:t>
      </w:r>
      <w:r w:rsidRPr="0021730E">
        <w:rPr>
          <w:i/>
          <w:iCs/>
          <w:noProof/>
          <w:sz w:val="22"/>
        </w:rPr>
        <w:t>Unified Facilities Criteria</w:t>
      </w:r>
      <w:r w:rsidRPr="0021730E">
        <w:rPr>
          <w:noProof/>
          <w:sz w:val="22"/>
        </w:rPr>
        <w:t>. https://doi.org/UFC 3-201-01</w:t>
      </w:r>
    </w:p>
    <w:p w:rsidR="00A93C66" w:rsidRPr="0021730E" w:rsidRDefault="00A93C66" w:rsidP="00B10179">
      <w:pPr>
        <w:widowControl w:val="0"/>
        <w:autoSpaceDE w:val="0"/>
        <w:autoSpaceDN w:val="0"/>
        <w:adjustRightInd w:val="0"/>
        <w:spacing w:after="240" w:line="240" w:lineRule="auto"/>
        <w:ind w:left="720" w:hanging="720"/>
        <w:rPr>
          <w:noProof/>
          <w:sz w:val="22"/>
        </w:rPr>
      </w:pPr>
      <w:r w:rsidRPr="0021730E">
        <w:rPr>
          <w:noProof/>
          <w:sz w:val="22"/>
        </w:rPr>
        <w:t xml:space="preserve">Wang, D., &amp; Roesler, J. R. (2012). One-Dimensional Rigid Pavement Temperature Prediction Using Laplace Transformation. </w:t>
      </w:r>
      <w:r w:rsidRPr="0021730E">
        <w:rPr>
          <w:i/>
          <w:iCs/>
          <w:noProof/>
          <w:sz w:val="22"/>
        </w:rPr>
        <w:t>Journal of Transportation Engineering</w:t>
      </w:r>
      <w:r w:rsidRPr="0021730E">
        <w:rPr>
          <w:noProof/>
          <w:sz w:val="22"/>
        </w:rPr>
        <w:t xml:space="preserve">, </w:t>
      </w:r>
      <w:r w:rsidRPr="0021730E">
        <w:rPr>
          <w:i/>
          <w:iCs/>
          <w:noProof/>
          <w:sz w:val="22"/>
        </w:rPr>
        <w:t>138</w:t>
      </w:r>
      <w:r w:rsidRPr="0021730E">
        <w:rPr>
          <w:noProof/>
          <w:sz w:val="22"/>
        </w:rPr>
        <w:t>(9), 1171–1177. https://doi.org/10.1061/(ASCE)TE.1943-5436.0000413</w:t>
      </w:r>
    </w:p>
    <w:p w:rsidR="00A93C66" w:rsidRPr="00A93C66" w:rsidRDefault="00A93C66" w:rsidP="00B10179">
      <w:pPr>
        <w:spacing w:after="240" w:line="240" w:lineRule="auto"/>
        <w:ind w:left="240" w:hanging="720"/>
        <w:rPr>
          <w:sz w:val="20"/>
          <w:szCs w:val="20"/>
        </w:rPr>
      </w:pPr>
      <w:r w:rsidRPr="0021730E">
        <w:rPr>
          <w:sz w:val="22"/>
          <w:szCs w:val="20"/>
        </w:rPr>
        <w:fldChar w:fldCharType="end"/>
      </w:r>
    </w:p>
    <w:sectPr w:rsidR="00A93C66" w:rsidRPr="00A93C66" w:rsidSect="007118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7E75DA"/>
    <w:multiLevelType w:val="hybridMultilevel"/>
    <w:tmpl w:val="F6720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E3"/>
    <w:rsid w:val="00024EAB"/>
    <w:rsid w:val="000A0EBC"/>
    <w:rsid w:val="000D0E37"/>
    <w:rsid w:val="000D1263"/>
    <w:rsid w:val="000D346E"/>
    <w:rsid w:val="00111766"/>
    <w:rsid w:val="00167A34"/>
    <w:rsid w:val="0021730E"/>
    <w:rsid w:val="002665AF"/>
    <w:rsid w:val="00282834"/>
    <w:rsid w:val="003149A2"/>
    <w:rsid w:val="003B3994"/>
    <w:rsid w:val="003B447F"/>
    <w:rsid w:val="003D1FEE"/>
    <w:rsid w:val="003D4D88"/>
    <w:rsid w:val="004504F2"/>
    <w:rsid w:val="00470CA9"/>
    <w:rsid w:val="00492254"/>
    <w:rsid w:val="0051242C"/>
    <w:rsid w:val="005F64AA"/>
    <w:rsid w:val="00611E8E"/>
    <w:rsid w:val="00640E89"/>
    <w:rsid w:val="00685DFD"/>
    <w:rsid w:val="00710A56"/>
    <w:rsid w:val="007118E3"/>
    <w:rsid w:val="00713F9B"/>
    <w:rsid w:val="00716169"/>
    <w:rsid w:val="0073598B"/>
    <w:rsid w:val="00792552"/>
    <w:rsid w:val="008A0C47"/>
    <w:rsid w:val="008E0B97"/>
    <w:rsid w:val="00902EF5"/>
    <w:rsid w:val="00931BAD"/>
    <w:rsid w:val="009F54BD"/>
    <w:rsid w:val="00A9394B"/>
    <w:rsid w:val="00A93C66"/>
    <w:rsid w:val="00B10179"/>
    <w:rsid w:val="00B4656E"/>
    <w:rsid w:val="00CA1B9F"/>
    <w:rsid w:val="00CE1AE1"/>
    <w:rsid w:val="00D23A76"/>
    <w:rsid w:val="00D96236"/>
    <w:rsid w:val="00DD16FC"/>
    <w:rsid w:val="00DF0E07"/>
    <w:rsid w:val="00DF61F2"/>
    <w:rsid w:val="00E43065"/>
    <w:rsid w:val="00E52239"/>
    <w:rsid w:val="00EE1DCC"/>
    <w:rsid w:val="00F0471B"/>
    <w:rsid w:val="00F85950"/>
    <w:rsid w:val="00FA673E"/>
    <w:rsid w:val="00FE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C49C"/>
  <w15:chartTrackingRefBased/>
  <w15:docId w15:val="{69B3B220-CB92-4ACC-884B-1D675CD0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8E3"/>
    <w:rPr>
      <w:rFonts w:ascii="Times New Roman" w:hAnsi="Times New Roman" w:cs="Times New Roman"/>
      <w:sz w:val="24"/>
      <w:szCs w:val="24"/>
    </w:rPr>
  </w:style>
  <w:style w:type="paragraph" w:styleId="Heading1">
    <w:name w:val="heading 1"/>
    <w:basedOn w:val="Normal"/>
    <w:next w:val="Normal"/>
    <w:link w:val="Heading1Char"/>
    <w:uiPriority w:val="9"/>
    <w:qFormat/>
    <w:rsid w:val="00B101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792552"/>
    <w:rPr>
      <w:rFonts w:ascii="Times New Roman" w:hAnsi="Times New Roman"/>
      <w:color w:val="auto"/>
      <w:sz w:val="22"/>
    </w:rPr>
  </w:style>
  <w:style w:type="table" w:styleId="TableGrid">
    <w:name w:val="Table Grid"/>
    <w:basedOn w:val="TableNormal"/>
    <w:uiPriority w:val="39"/>
    <w:rsid w:val="007118E3"/>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1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8E3"/>
    <w:rPr>
      <w:rFonts w:ascii="Segoe UI" w:hAnsi="Segoe UI" w:cs="Segoe UI"/>
      <w:sz w:val="18"/>
      <w:szCs w:val="18"/>
    </w:rPr>
  </w:style>
  <w:style w:type="paragraph" w:styleId="Caption">
    <w:name w:val="caption"/>
    <w:basedOn w:val="Normal"/>
    <w:next w:val="Normal"/>
    <w:uiPriority w:val="35"/>
    <w:unhideWhenUsed/>
    <w:qFormat/>
    <w:rsid w:val="00902EF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02EF5"/>
    <w:rPr>
      <w:sz w:val="16"/>
      <w:szCs w:val="16"/>
    </w:rPr>
  </w:style>
  <w:style w:type="paragraph" w:styleId="CommentText">
    <w:name w:val="annotation text"/>
    <w:basedOn w:val="Normal"/>
    <w:link w:val="CommentTextChar"/>
    <w:uiPriority w:val="99"/>
    <w:unhideWhenUsed/>
    <w:rsid w:val="00902EF5"/>
    <w:pPr>
      <w:spacing w:line="240" w:lineRule="auto"/>
    </w:pPr>
    <w:rPr>
      <w:sz w:val="20"/>
      <w:szCs w:val="20"/>
    </w:rPr>
  </w:style>
  <w:style w:type="character" w:customStyle="1" w:styleId="CommentTextChar">
    <w:name w:val="Comment Text Char"/>
    <w:basedOn w:val="DefaultParagraphFont"/>
    <w:link w:val="CommentText"/>
    <w:uiPriority w:val="99"/>
    <w:rsid w:val="00902EF5"/>
    <w:rPr>
      <w:rFonts w:ascii="Times New Roman" w:hAnsi="Times New Roman" w:cs="Times New Roman"/>
      <w:sz w:val="20"/>
      <w:szCs w:val="20"/>
    </w:rPr>
  </w:style>
  <w:style w:type="character" w:customStyle="1" w:styleId="Heading1Char">
    <w:name w:val="Heading 1 Char"/>
    <w:basedOn w:val="DefaultParagraphFont"/>
    <w:link w:val="Heading1"/>
    <w:uiPriority w:val="9"/>
    <w:rsid w:val="00B1017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927B3-DB05-40B0-B657-916DB385C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3</Pages>
  <Words>5526</Words>
  <Characters>31501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Arizona State University</Company>
  <LinksUpToDate>false</LinksUpToDate>
  <CharactersWithSpaces>36954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Hoehne (Student)</dc:creator>
  <cp:keywords/>
  <dc:description/>
  <cp:lastModifiedBy>Chris Hoehne (Student)</cp:lastModifiedBy>
  <cp:revision>37</cp:revision>
  <dcterms:created xsi:type="dcterms:W3CDTF">2019-04-19T15:55:00Z</dcterms:created>
  <dcterms:modified xsi:type="dcterms:W3CDTF">2019-04-19T23:02:00Z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http://csl.mendeley.com/styles/445409021/apa-old-doi-prefix-3-author-et-al-2</vt:lpwstr>
  </property>
  <property fmtid="{D5CDD505-2E9C-101B-9397-08002B2CF9AE}" pid="7" name="Mendeley Recent Style Name 2_1">
    <vt:lpwstr>American Psychological Association 6th edition ("doi:" DOI prefix + et al. for 3+ author)</vt:lpwstr>
  </property>
  <property fmtid="{D5CDD505-2E9C-101B-9397-08002B2CF9AE}" pid="8" name="Mendeley Recent Style Id 3_1">
    <vt:lpwstr>http://csl.mendeley.com/styles/445409021/apa-3-auth-et-al</vt:lpwstr>
  </property>
  <property fmtid="{D5CDD505-2E9C-101B-9397-08002B2CF9AE}" pid="9" name="Mendeley Recent Style Name 3_1">
    <vt:lpwstr>American Psychological Association 6th edition (et al 3+ author)</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http://www.zotero.org/styles/environmental-health-perspectives</vt:lpwstr>
  </property>
  <property fmtid="{D5CDD505-2E9C-101B-9397-08002B2CF9AE}" pid="15" name="Mendeley Recent Style Name 6_1">
    <vt:lpwstr>Environmental Health Perspectives</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http://www.zotero.org/styles/transportation-research-part-d</vt:lpwstr>
  </property>
  <property fmtid="{D5CDD505-2E9C-101B-9397-08002B2CF9AE}" pid="21" name="Mendeley Recent Style Name 9_1">
    <vt:lpwstr>Transportation Research Part D</vt:lpwstr>
  </property>
  <property fmtid="{D5CDD505-2E9C-101B-9397-08002B2CF9AE}" pid="22" name="Mendeley Document_1">
    <vt:lpwstr>True</vt:lpwstr>
  </property>
  <property fmtid="{D5CDD505-2E9C-101B-9397-08002B2CF9AE}" pid="23" name="Mendeley Unique User Id_1">
    <vt:lpwstr>cbf374f1-7790-388a-9434-3e4aa8d9eb02</vt:lpwstr>
  </property>
  <property fmtid="{D5CDD505-2E9C-101B-9397-08002B2CF9AE}" pid="24" name="Mendeley Citation Style_1">
    <vt:lpwstr>http://csl.mendeley.com/styles/445409021/apa-3-auth-et-al</vt:lpwstr>
  </property>
</Properties>
</file>