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466A75E9" w:rsidR="00AC7FA5" w:rsidRPr="00185B78" w:rsidRDefault="0053105C" w:rsidP="001C1F2E">
      <w:r>
        <w:t xml:space="preserve">November </w:t>
      </w:r>
      <w:r w:rsidR="00196AF1">
        <w:t>1</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28FE3EB4"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3CED4447" w:rsidR="003803B5" w:rsidRDefault="007D62F9" w:rsidP="003544EE">
      <w:pPr>
        <w:spacing w:after="400" w:afterAutospacing="0"/>
      </w:pPr>
      <w:r>
        <w:t xml:space="preserve">Please </w:t>
      </w:r>
      <w:r w:rsidR="00950AE6">
        <w:t xml:space="preserve">kindly </w:t>
      </w:r>
      <w:r w:rsidR="000C637A">
        <w:t>find</w:t>
      </w:r>
      <w:r>
        <w:t xml:space="preserve"> our responses to </w:t>
      </w:r>
      <w:r w:rsidR="000C637A">
        <w:t>the</w:t>
      </w:r>
      <w:r>
        <w:t xml:space="preserve"> reviewer</w:t>
      </w:r>
      <w:r w:rsidR="000C637A">
        <w:t>s</w:t>
      </w:r>
      <w:r w:rsidR="00595913">
        <w:t xml:space="preserve"> below</w:t>
      </w:r>
      <w:r w:rsidR="00BA4E67">
        <w:t xml:space="preserve">, with </w:t>
      </w:r>
      <w:r w:rsidR="0073031D">
        <w:t>references to</w:t>
      </w:r>
      <w:r w:rsidR="00274DCB">
        <w:t xml:space="preserve"> tracked changes</w:t>
      </w:r>
      <w:r w:rsidR="0073031D">
        <w:t xml:space="preserve"> in the attached document named</w:t>
      </w:r>
      <w:r w:rsidR="00BA4E67">
        <w:t xml:space="preserve"> </w:t>
      </w:r>
      <w:r w:rsidR="00BA4E67" w:rsidRPr="00BA4E67">
        <w:rPr>
          <w:i/>
          <w:iCs/>
        </w:rPr>
        <w:t>wen-et-al-2025-cava-rv1-changes.docx</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32BE296E"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 xml:space="preserve">We are pleased to provide detailed responses to your comments and have referenced each revision </w:t>
      </w:r>
      <w:r w:rsidR="00A03350">
        <w:t>relative to the</w:t>
      </w:r>
      <w:r w:rsidR="001422EA" w:rsidRPr="001422EA">
        <w:t xml:space="preserve"> revised manuscript</w:t>
      </w:r>
      <w:r w:rsidR="00D6201F">
        <w:t xml:space="preserve"> named </w:t>
      </w:r>
      <w:r w:rsidR="00D6201F" w:rsidRPr="00BA4E67">
        <w:rPr>
          <w:i/>
          <w:iCs/>
        </w:rPr>
        <w:t>wen-et-al-2025-cava-rv1-changes.docx</w:t>
      </w:r>
      <w:r w:rsidR="00AF6C80">
        <w:t xml:space="preserve"> with tracked changes</w:t>
      </w:r>
      <w:r w:rsidR="00A03350">
        <w:t xml:space="preserve"> highlighted in red</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51F2B61B"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w:t>
      </w:r>
      <w:r w:rsidR="007B11A3">
        <w:t>Section 4</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w:t>
      </w:r>
      <w:r w:rsidR="00AA66F0">
        <w:t xml:space="preserve"> </w:t>
      </w:r>
      <w:r w:rsidR="007B11A3">
        <w:t>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w:t>
      </w:r>
      <w:r w:rsidR="00521786">
        <w:t xml:space="preserve">recommended </w:t>
      </w:r>
      <w:r w:rsidR="00807D35">
        <w:t xml:space="preserve">temperature of 0 and a </w:t>
      </w:r>
      <w:r w:rsidR="00C076A5">
        <w:t xml:space="preserve">constant </w:t>
      </w:r>
      <w:r w:rsidR="00807D35">
        <w:t>seed of 1234</w:t>
      </w:r>
      <w:r w:rsidR="00521786">
        <w:t xml:space="preserve"> for maximizing consistency</w:t>
      </w:r>
      <w:r w:rsidR="00807D35">
        <w:t xml:space="preserve">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w:t>
      </w:r>
      <w:r w:rsidR="007C43B6">
        <w:t xml:space="preserve"> </w:t>
      </w:r>
      <w:r w:rsidR="005E646B">
        <w:t>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300383">
        <w:t xml:space="preserve"> in Appendix C</w:t>
      </w:r>
      <w:r w:rsidR="00B140AE">
        <w:t>,</w:t>
      </w:r>
      <w:r w:rsidR="007B3F37">
        <w:t xml:space="preserve"> best efforts to adjust model parameters </w:t>
      </w:r>
      <w:r w:rsidR="00B140AE">
        <w:t>only</w:t>
      </w:r>
      <w:r w:rsidR="00300383">
        <w:t xml:space="preserve"> currently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Section 4</w:t>
      </w:r>
      <w:r w:rsidR="00FA1D63">
        <w:t xml:space="preserve">, with references to </w:t>
      </w:r>
      <w:r w:rsidR="007B668F">
        <w:t xml:space="preserve">recent </w:t>
      </w:r>
      <w:r w:rsidR="00FA1D63">
        <w:t>studies on the stability of GPT model outputs</w:t>
      </w:r>
      <w:r w:rsidR="00D75388">
        <w:t xml:space="preserve"> </w:t>
      </w:r>
      <w:r w:rsidR="00330475">
        <w:t>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0C36392D"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Section 4</w:t>
      </w:r>
      <w:r w:rsidR="008250E5">
        <w:t>.</w:t>
      </w:r>
      <w:r w:rsidR="000D3307">
        <w:t xml:space="preserve"> </w:t>
      </w:r>
      <w:r w:rsidR="0054073B">
        <w:t>In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061173DF"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EF6BE9">
        <w:t xml:space="preserve"> Error bars and text for the 95% confidence interval were also included for reference.</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w:t>
      </w:r>
      <w:r w:rsidR="00550E0B">
        <w:lastRenderedPageBreak/>
        <w:t>improved organization.</w:t>
      </w:r>
      <w:r w:rsidR="00453034">
        <w:t xml:space="preserve"> The reader may conveniently compare performances 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0D0BA1EC" w:rsidR="00443820" w:rsidRPr="00185B78" w:rsidRDefault="00FA24B6" w:rsidP="00A14E2F">
      <w:pPr>
        <w:pStyle w:val="p1"/>
        <w:ind w:left="700"/>
      </w:pPr>
      <w:r>
        <w:rPr>
          <w:noProof/>
          <w:lang w:val="en-US"/>
        </w:rPr>
        <w:drawing>
          <wp:inline distT="0" distB="0" distL="0" distR="0" wp14:anchorId="124F945B" wp14:editId="3CB856D5">
            <wp:extent cx="5216665" cy="3069265"/>
            <wp:effectExtent l="0" t="0" r="0" b="4445"/>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41727" cy="3084010"/>
                    </a:xfrm>
                    <a:prstGeom prst="rect">
                      <a:avLst/>
                    </a:prstGeom>
                  </pic:spPr>
                </pic:pic>
              </a:graphicData>
            </a:graphic>
          </wp:inline>
        </w:drawing>
      </w:r>
    </w:p>
    <w:p w14:paraId="5200CAC5" w14:textId="6D1B2150" w:rsidR="006F09B9" w:rsidRDefault="006F09B9" w:rsidP="001C1F2E">
      <w:pPr>
        <w:pStyle w:val="p1"/>
      </w:pPr>
      <w:r w:rsidRPr="00185B78">
        <w:t>Finally, the generalisability of the results beyond Sierra Leone should be addressed more directly</w:t>
      </w:r>
      <w:r w:rsidR="00AE0643">
        <w:t xml:space="preserve"> </w:t>
      </w:r>
      <w:r w:rsidRPr="00185B78">
        <w:t>—highlighting to what extent findings may translate to other regions with different mortality profiles</w:t>
      </w:r>
      <w:r w:rsidR="00C85E56" w:rsidRPr="00185B78">
        <w:t>.</w:t>
      </w:r>
    </w:p>
    <w:p w14:paraId="697C8966" w14:textId="31129821"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lastRenderedPageBreak/>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paper, as they have </w:t>
      </w:r>
      <w:r w:rsidR="00987E79">
        <w:t>leverage up-to-date sources of information from the web</w:t>
      </w:r>
      <w:r w:rsidR="00B127EF">
        <w:t xml:space="preserve"> (e.g.</w:t>
      </w:r>
      <w:r w:rsidR="00F8502A">
        <w:t>,</w:t>
      </w:r>
      <w:r w:rsidR="00B127EF">
        <w:t xml:space="preserve">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w:t>
      </w:r>
      <w:r w:rsidR="002D72FD">
        <w:t xml:space="preserve"> (e.g., underrepresentation</w:t>
      </w:r>
      <w:r w:rsidR="00DB0BDD">
        <w:t xml:space="preserve"> on the web</w:t>
      </w:r>
      <w:r w:rsidR="002D72FD">
        <w:t>)</w:t>
      </w:r>
      <w:r w:rsidR="00406DA9">
        <w:t>,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Section 4</w:t>
      </w:r>
      <w:r w:rsidR="0073035A">
        <w:t>.</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38FD3FFB"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w:t>
      </w:r>
      <w:r w:rsidR="00D90297">
        <w:t xml:space="preserve"> </w:t>
      </w:r>
      <w:r w:rsidR="00E404DF" w:rsidRPr="00E404DF">
        <w:t xml:space="preserve">with references to each corresponding </w:t>
      </w:r>
      <w:r w:rsidR="00615B89">
        <w:t>edit</w:t>
      </w:r>
      <w:r w:rsidR="00E404DF" w:rsidRPr="00E404DF">
        <w:t xml:space="preserve"> in the revised manuscript</w:t>
      </w:r>
      <w:r w:rsidR="008F61B4">
        <w:t xml:space="preserve"> named </w:t>
      </w:r>
      <w:r w:rsidR="008F61B4" w:rsidRPr="00BA4E67">
        <w:rPr>
          <w:i/>
          <w:iCs/>
        </w:rPr>
        <w:t>wen-et-al-2025-cava-rv1-changes.docx</w:t>
      </w:r>
      <w:r w:rsidR="008F61B4">
        <w:t xml:space="preserve">, containing </w:t>
      </w:r>
      <w:r w:rsidR="00FA4146">
        <w:t>tracked changes</w:t>
      </w:r>
      <w:r w:rsidR="008F61B4">
        <w:t xml:space="preserve"> highlighted in red</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476BBBBB" w:rsidR="00E14E68" w:rsidRPr="00185B78" w:rsidRDefault="002960BA" w:rsidP="00F603D0">
      <w:pPr>
        <w:ind w:left="708"/>
      </w:pPr>
      <w:r w:rsidRPr="003F7815">
        <w:rPr>
          <w:b/>
          <w:bCs/>
        </w:rPr>
        <w:t>Response 2.2:</w:t>
      </w:r>
      <w:r>
        <w:t xml:space="preserve"> </w:t>
      </w:r>
      <w:r w:rsidR="004F46C9">
        <w:t>We</w:t>
      </w:r>
      <w:r w:rsidR="0073091E">
        <w:t xml:space="preserve"> agree that the questionnaire and narratives do not contain equivalent information</w:t>
      </w:r>
      <w:r w:rsidR="002F4255">
        <w:t>. W</w:t>
      </w:r>
      <w:r w:rsidR="00425CE6">
        <w:t xml:space="preserve">e </w:t>
      </w:r>
      <w:r w:rsidR="00683794">
        <w:t>wish to</w:t>
      </w:r>
      <w:r w:rsidR="007233E1">
        <w:t xml:space="preserve"> address this </w:t>
      </w:r>
      <w:r w:rsidR="00FF2A89">
        <w:t>confusion and</w:t>
      </w:r>
      <w:r w:rsidR="00683794">
        <w:t xml:space="preserve"> clarify </w:t>
      </w:r>
      <w:r w:rsidR="00F63556">
        <w:t xml:space="preserve">that </w:t>
      </w:r>
      <w:r w:rsidR="00683794">
        <w:t>we do not assume this</w:t>
      </w:r>
      <w:r w:rsidR="00425CE6">
        <w:t xml:space="preserve">. </w:t>
      </w:r>
      <w:r w:rsidR="00F8502A">
        <w:t>Narratives are unstructured text</w:t>
      </w:r>
      <w:r w:rsidR="00146AB2">
        <w:t xml:space="preserve"> that</w:t>
      </w:r>
      <w:r w:rsidR="00F8502A">
        <w:t xml:space="preserve"> provide additional context and temporal information (e.g.,</w:t>
      </w:r>
      <w:r w:rsidR="001E3B3E">
        <w:t xml:space="preserve"> </w:t>
      </w:r>
      <w:r w:rsidR="002E081D">
        <w:t>event circumstances, symptom chronology, behaviours)</w:t>
      </w:r>
      <w:r w:rsidR="00146AB2">
        <w:t xml:space="preserve">, often </w:t>
      </w:r>
      <w:r w:rsidR="00F8502A">
        <w:t>missed by the questionnaire</w:t>
      </w:r>
      <w:r w:rsidR="00146AB2">
        <w:t xml:space="preserve">, and as mentioned, </w:t>
      </w:r>
      <w:r w:rsidR="004E287F">
        <w:t xml:space="preserve">are </w:t>
      </w:r>
      <w:r w:rsidR="00146AB2">
        <w:t>expressed differently than from structured responses</w:t>
      </w:r>
      <w:r w:rsidR="004C12CF">
        <w:t xml:space="preserve">. </w:t>
      </w:r>
      <w:r w:rsidR="0079201F">
        <w:t>In past studies, t</w:t>
      </w:r>
      <w:r w:rsidR="004C12CF">
        <w:t>h</w:t>
      </w:r>
      <w:r w:rsidR="002F35B9">
        <w:t>is</w:t>
      </w:r>
      <w:r w:rsidR="004C12CF">
        <w:t xml:space="preserve"> information in</w:t>
      </w:r>
      <w:r w:rsidR="002F35B9">
        <w:t xml:space="preserve"> the</w:t>
      </w:r>
      <w:r w:rsidR="004C12CF">
        <w:t xml:space="preserve"> narratives has been shown to improve the performance of COD prediction models</w:t>
      </w:r>
      <w:r w:rsidR="00F577E7">
        <w:t xml:space="preserve">, in contrast to </w:t>
      </w:r>
      <w:r w:rsidR="008533CA">
        <w:t>solely relying on the questionnaire</w:t>
      </w:r>
      <w:r w:rsidR="0079201F">
        <w:t xml:space="preserve"> </w:t>
      </w:r>
      <w:r w:rsidR="00E80DA5" w:rsidRPr="009A37BC">
        <w:fldChar w:fldCharType="begin"/>
      </w:r>
      <w:r w:rsidR="00E80DA5">
        <w:instrText xml:space="preserve"> ADDIN ZOTERO_ITEM CSL_CITATION {"citationID":"00000011","properties":{"unsorted":false,"formattedCitation":"[22\\uc0\\u8211{}24]","plainCitation":"[22–24]","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E80DA5" w:rsidRPr="009A37BC">
        <w:fldChar w:fldCharType="separate"/>
      </w:r>
      <w:r w:rsidR="00E80DA5" w:rsidRPr="00E80DA5">
        <w:rPr>
          <w:rFonts w:eastAsiaTheme="minorHAnsi"/>
          <w:szCs w:val="24"/>
          <w:lang w:val="en-US" w:eastAsia="en-US"/>
          <w14:ligatures w14:val="standardContextual"/>
        </w:rPr>
        <w:t>[22–24]</w:t>
      </w:r>
      <w:r w:rsidR="00E80DA5" w:rsidRPr="009A37BC">
        <w:fldChar w:fldCharType="end"/>
      </w:r>
      <w:r w:rsidR="00E80DA5">
        <w:t>.</w:t>
      </w:r>
      <w:r w:rsidR="00146AB2">
        <w:t xml:space="preserve"> </w:t>
      </w:r>
      <w:r w:rsidR="00DA3301">
        <w:t>Building on</w:t>
      </w:r>
      <w:r w:rsidR="00973679">
        <w:t xml:space="preserve"> these</w:t>
      </w:r>
      <w:r w:rsidR="00DA3301">
        <w:t xml:space="preserve"> past studies, w</w:t>
      </w:r>
      <w:r w:rsidR="009B79FC">
        <w:t xml:space="preserve">e use </w:t>
      </w:r>
      <w:r w:rsidR="003D5B65">
        <w:t>narratives and questionnaire</w:t>
      </w:r>
      <w:r w:rsidR="007D68F1">
        <w:t xml:space="preserve"> data</w:t>
      </w:r>
      <w:r w:rsidR="005B57A0">
        <w:t xml:space="preserve"> (recognizing they do not contain equivalent information)</w:t>
      </w:r>
      <w:r w:rsidR="009B79FC">
        <w:t xml:space="preserve"> to allow GPT</w:t>
      </w:r>
      <w:r w:rsidR="007E568E">
        <w:t xml:space="preserve"> models</w:t>
      </w:r>
      <w:r w:rsidR="009B79FC">
        <w:t xml:space="preserve"> to leverage the latent patterns in the narratives</w:t>
      </w:r>
      <w:r w:rsidR="00E3741A">
        <w:t>, while</w:t>
      </w:r>
      <w:r w:rsidR="009B79FC">
        <w:t xml:space="preserve"> </w:t>
      </w:r>
      <w:r w:rsidR="00A3403B">
        <w:t>providing</w:t>
      </w:r>
      <w:r w:rsidR="009B79FC">
        <w:t xml:space="preserve"> comparison with widely adopted models </w:t>
      </w:r>
      <w:r w:rsidR="004D783A">
        <w:t>(</w:t>
      </w:r>
      <w:r w:rsidR="009B79FC">
        <w:t>InterVA-5</w:t>
      </w:r>
      <w:r w:rsidR="00A3681F">
        <w:t xml:space="preserve"> </w:t>
      </w:r>
      <w:r w:rsidR="00A3681F" w:rsidRPr="009A37BC">
        <w:fldChar w:fldCharType="begin"/>
      </w:r>
      <w:r w:rsidR="004D783A">
        <w:instrText xml:space="preserve"> ADDIN ZOTERO_ITEM CSL_CITATION {"citationID":"00000008","properties":{"unsorted":false,"formattedCitation":"[25]","plainCitation":"[25]","noteIndex":0},"citationItems":[{"id":2573,"uris":["http://zotero.org/users/6749620/items/U3A2VM9I"],"itemData":{"id":2573,"type":"article-journal","abstract":"Verbal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A3681F" w:rsidRPr="009A37BC">
        <w:fldChar w:fldCharType="separate"/>
      </w:r>
      <w:r w:rsidR="004D783A">
        <w:rPr>
          <w:rFonts w:eastAsiaTheme="minorEastAsia"/>
          <w:lang w:val="en-US"/>
        </w:rPr>
        <w:t>[25]</w:t>
      </w:r>
      <w:r w:rsidR="00A3681F" w:rsidRPr="009A37BC">
        <w:fldChar w:fldCharType="end"/>
      </w:r>
      <w:r w:rsidR="009B79FC">
        <w:t xml:space="preserve"> and InSilicoVA</w:t>
      </w:r>
      <w:r w:rsidR="00A3681F">
        <w:t xml:space="preserve"> </w:t>
      </w:r>
      <w:r w:rsidR="00A3681F" w:rsidRPr="009A37BC">
        <w:fldChar w:fldCharType="begin"/>
      </w:r>
      <w:r w:rsidR="004D783A">
        <w:instrText xml:space="preserve"> ADDIN ZOTERO_ITEM CSL_CITATION {"citationID":"00000009","properties":{"unsorted":false,"formattedCitation":"[26]","plainCitation":"[26]","noteIndex":0},"citationItems":[{"id":2645,"uris":["http://zotero.org/users/6749620/items/KVHNNXR8"],"itemData":{"id":2645,"type":"article-journal","abstract":"In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A3681F" w:rsidRPr="009A37BC">
        <w:fldChar w:fldCharType="separate"/>
      </w:r>
      <w:r w:rsidR="004D783A">
        <w:rPr>
          <w:rFonts w:eastAsiaTheme="minorEastAsia"/>
          <w:lang w:val="en-US"/>
        </w:rPr>
        <w:t>[26]</w:t>
      </w:r>
      <w:r w:rsidR="00A3681F" w:rsidRPr="009A37BC">
        <w:fldChar w:fldCharType="end"/>
      </w:r>
      <w:r w:rsidR="004D783A">
        <w:t>)</w:t>
      </w:r>
      <w:r w:rsidR="00ED2BF9">
        <w:t xml:space="preserve"> that</w:t>
      </w:r>
      <w:r w:rsidR="00D2373E">
        <w:t xml:space="preserve"> </w:t>
      </w:r>
      <w:r w:rsidR="00A04B43">
        <w:t>are</w:t>
      </w:r>
      <w:r w:rsidR="00D2373E">
        <w:t xml:space="preserve"> currently unable to </w:t>
      </w:r>
      <w:r w:rsidR="006C4FDC">
        <w:t xml:space="preserve">fully </w:t>
      </w:r>
      <w:r w:rsidR="009C7B9E">
        <w:t xml:space="preserve">utilize </w:t>
      </w:r>
      <w:r w:rsidR="00D2373E">
        <w:t>narratives</w:t>
      </w:r>
      <w:r w:rsidR="009B79FC">
        <w:t>.</w:t>
      </w:r>
      <w:r w:rsidR="00146AB2">
        <w:t xml:space="preserve"> </w:t>
      </w:r>
      <w:r w:rsidR="008A1B03">
        <w:t xml:space="preserve"> We have included a</w:t>
      </w:r>
      <w:r w:rsidR="00C95463">
        <w:t>n additional</w:t>
      </w:r>
      <w:r w:rsidR="008A1B03">
        <w:t xml:space="preserve"> clarification</w:t>
      </w:r>
      <w:r w:rsidR="004F46C9">
        <w:t xml:space="preserve"> in</w:t>
      </w:r>
      <w:r w:rsidR="006020D8">
        <w:t xml:space="preserve"> the </w:t>
      </w:r>
      <w:r w:rsidR="0079658E">
        <w:t>methods (</w:t>
      </w:r>
      <w:r w:rsidR="00697781">
        <w:t>Section 2.2</w:t>
      </w:r>
      <w:r w:rsidR="0079658E">
        <w:t>)</w:t>
      </w:r>
      <w:r w:rsidR="008264CF">
        <w:t>.</w:t>
      </w:r>
      <w:r w:rsidR="007C2695">
        <w:t xml:space="preserve"> </w:t>
      </w:r>
      <w:r w:rsidR="001C0F6A">
        <w:rPr>
          <w:color w:val="000000"/>
        </w:rPr>
        <w:t>Similar to</w:t>
      </w:r>
      <w:r w:rsidR="00F603D0" w:rsidRPr="00F603D0">
        <w:rPr>
          <w:color w:val="000000"/>
        </w:rPr>
        <w:t xml:space="preserve"> previous studies, we observed that GPT models utilizing narratives</w:t>
      </w:r>
      <w:r w:rsidR="001C0F6A">
        <w:rPr>
          <w:color w:val="000000"/>
        </w:rPr>
        <w:t xml:space="preserve"> had the impact of</w:t>
      </w:r>
      <w:r w:rsidR="00F603D0" w:rsidRPr="00F603D0">
        <w:rPr>
          <w:color w:val="000000"/>
        </w:rPr>
        <w:t xml:space="preserve"> consistently outperform</w:t>
      </w:r>
      <w:r w:rsidR="001C0F6A">
        <w:rPr>
          <w:color w:val="000000"/>
        </w:rPr>
        <w:t>ing</w:t>
      </w:r>
      <w:r w:rsidR="00F603D0" w:rsidRPr="00F603D0">
        <w:rPr>
          <w:color w:val="000000"/>
        </w:rPr>
        <w:t xml:space="preserve"> questionnaire-based statistical models (InterVA-5/InSilicoVA) in individual-level performance, as shown in </w:t>
      </w:r>
      <w:r w:rsidR="001C0F6A">
        <w:rPr>
          <w:color w:val="000000"/>
        </w:rPr>
        <w:t>our results (Section 3)</w:t>
      </w:r>
      <w:r w:rsidR="00F603D0" w:rsidRPr="00F603D0">
        <w:rPr>
          <w:color w:val="000000"/>
        </w:rPr>
        <w:t>.</w:t>
      </w:r>
    </w:p>
    <w:p w14:paraId="6D7B2561" w14:textId="50D1BEAA" w:rsidR="008277F2" w:rsidRPr="00185B78" w:rsidRDefault="008277F2" w:rsidP="001C1F2E">
      <w:r w:rsidRPr="00185B78">
        <w:t xml:space="preserve">The prompts for the GPT models mentioned the country name. Why </w:t>
      </w:r>
      <w:proofErr w:type="gramStart"/>
      <w:r w:rsidRPr="00185B78">
        <w:t>was</w:t>
      </w:r>
      <w:proofErr w:type="gramEnd"/>
      <w:r w:rsidRPr="00185B78">
        <w:t xml:space="preserve"> that done and what implications could there be regarding the results returned by the models. Is it possible that the models </w:t>
      </w:r>
      <w:r w:rsidRPr="00185B78">
        <w:lastRenderedPageBreak/>
        <w:t>use information (e.g. country statistics regarding diseases) that they already have, extracted from datasets and academic papers. Have you tried to prompt without giving away the country name?</w:t>
      </w:r>
    </w:p>
    <w:p w14:paraId="6A5AD721" w14:textId="79358A72" w:rsidR="00E14E68" w:rsidRPr="00185B78" w:rsidRDefault="002960BA" w:rsidP="00A55102">
      <w:pPr>
        <w:ind w:left="700"/>
      </w:pPr>
      <w:r w:rsidRPr="003F7815">
        <w:rPr>
          <w:b/>
          <w:bCs/>
        </w:rPr>
        <w:t>Response 2.3:</w:t>
      </w:r>
      <w:r>
        <w:t xml:space="preserve"> </w:t>
      </w:r>
      <w:r w:rsidR="00183B3A">
        <w:t xml:space="preserve">Thank you for the insightful comment. </w:t>
      </w:r>
      <w:r w:rsidR="00A55102">
        <w:t xml:space="preserve">When physicians review each Verbal Autopsy (VA) record, the country that the deceased resides in is </w:t>
      </w:r>
      <w:r w:rsidR="00CC0582">
        <w:t xml:space="preserve">mostly </w:t>
      </w:r>
      <w:r w:rsidR="00A55102">
        <w:t>always given and known</w:t>
      </w:r>
      <w:r>
        <w:t>.</w:t>
      </w:r>
      <w:r w:rsidR="00914F9C">
        <w:t xml:space="preserve"> </w:t>
      </w:r>
      <w:r w:rsidR="00EC47D1">
        <w:t>For fair comparison</w:t>
      </w:r>
      <w:r w:rsidR="00914F9C">
        <w:t xml:space="preserve">, we wished to also provide GPT models with this </w:t>
      </w:r>
      <w:r w:rsidR="001B711C">
        <w:t>standard</w:t>
      </w:r>
      <w:r w:rsidR="00914F9C">
        <w:t xml:space="preserve"> information</w:t>
      </w:r>
      <w:r w:rsidR="001B711C">
        <w:t>, as it is available both to physicians and the widely adopted models InterVA-5 and InSilicoVA.</w:t>
      </w:r>
      <w:r w:rsidR="00433E08">
        <w:t xml:space="preserve"> It is possible that GPT models use information</w:t>
      </w:r>
      <w:r w:rsidR="00692679">
        <w:t>, such as country statistics,</w:t>
      </w:r>
      <w:r w:rsidR="00433E08">
        <w:t xml:space="preserve"> that they already have as their training data includes academic papers and potentially datasets accessible on the web.</w:t>
      </w:r>
      <w:r w:rsidR="008006E1">
        <w:t xml:space="preserve"> However, the black box nature of these models </w:t>
      </w:r>
      <w:r w:rsidR="003D19C9">
        <w:t>poses</w:t>
      </w:r>
      <w:r w:rsidR="008006E1">
        <w:t xml:space="preserve"> a barrier to directly verify if this is the case </w:t>
      </w:r>
      <w:r w:rsidR="00AC47EC">
        <w:t>at a technical level</w:t>
      </w:r>
      <w:r w:rsidR="008006E1">
        <w:t>.</w:t>
      </w:r>
      <w:r w:rsidR="00B5181D">
        <w:t xml:space="preserve"> In addition, we have instructed GPT models to provide ICD-10 codes, for which there are thousands of possibilities, and may potentially be more difficult to apply statistics to.</w:t>
      </w:r>
      <w:r w:rsidR="00AC3FAD">
        <w:t xml:space="preserve"> Alternatives include prompting for reasoning output (e.g., asking the GPT model to provide rationale for its assignments or more directly, </w:t>
      </w:r>
      <w:r w:rsidR="000B133F">
        <w:t>requesting</w:t>
      </w:r>
      <w:r w:rsidR="00912FF8">
        <w:t xml:space="preserve"> to know</w:t>
      </w:r>
      <w:r w:rsidR="000B133F">
        <w:t xml:space="preserve"> </w:t>
      </w:r>
      <w:r w:rsidR="00AC3FAD">
        <w:t xml:space="preserve">if </w:t>
      </w:r>
      <w:r w:rsidR="00806F26">
        <w:t>the</w:t>
      </w:r>
      <w:r w:rsidR="00AC3FAD">
        <w:t xml:space="preserve"> country was helpful for its assignment), and, </w:t>
      </w:r>
      <w:r w:rsidR="00C42976">
        <w:t xml:space="preserve">as </w:t>
      </w:r>
      <w:r w:rsidR="00AC3FAD">
        <w:t>suggested, a sensitivity analysis</w:t>
      </w:r>
      <w:r w:rsidR="008B68E5">
        <w:t xml:space="preserve"> to observe its impact on performance</w:t>
      </w:r>
      <w:r w:rsidR="008F4DC8">
        <w:t xml:space="preserve"> by tuning the model</w:t>
      </w:r>
      <w:r w:rsidR="00AC3FAD">
        <w:t xml:space="preserve"> (e.g., prompting with and without the country name).</w:t>
      </w:r>
      <w:r w:rsidR="00EE1B13">
        <w:t xml:space="preserve"> As these were not the primary focus of the paper, we have not attempted a thorough analysis </w:t>
      </w:r>
      <w:r w:rsidR="00195892">
        <w:t>on</w:t>
      </w:r>
      <w:r w:rsidR="00EE1B13">
        <w:t xml:space="preserve"> the impact of including the country in the prompt.</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04986874" w:rsidR="002960BA" w:rsidRPr="00185B78" w:rsidRDefault="002960BA" w:rsidP="00C92A93">
      <w:pPr>
        <w:ind w:left="708"/>
      </w:pPr>
      <w:r w:rsidRPr="003F7815">
        <w:rPr>
          <w:b/>
          <w:bCs/>
        </w:rPr>
        <w:t>Response 2.4:</w:t>
      </w:r>
      <w:r>
        <w:t xml:space="preserve"> </w:t>
      </w:r>
      <w:r w:rsidR="00C92A93">
        <w:t>The prompt instructed GPT models to return an ICD-10 code</w:t>
      </w:r>
      <w:r w:rsidR="008F4E58">
        <w:t xml:space="preserve"> to mirror physician practice</w:t>
      </w:r>
      <w:r w:rsidR="0028692F">
        <w:t>.</w:t>
      </w:r>
      <w:r w:rsidR="00FC7BC7">
        <w:t xml:space="preserve"> The ICD-10 system is a standard that is widely adopted </w:t>
      </w:r>
      <w:r w:rsidR="00487C6E">
        <w:t xml:space="preserve">and </w:t>
      </w:r>
      <w:r w:rsidR="001676A6">
        <w:t>well-studied</w:t>
      </w:r>
      <w:r w:rsidR="00487C6E">
        <w:t xml:space="preserve"> with </w:t>
      </w:r>
      <w:r w:rsidR="00FE0715">
        <w:t xml:space="preserve">strict and </w:t>
      </w:r>
      <w:r w:rsidR="00243403">
        <w:t>granular definitions of</w:t>
      </w:r>
      <w:r w:rsidR="006936AB">
        <w:t xml:space="preserve"> </w:t>
      </w:r>
      <w:r w:rsidR="00243403">
        <w:t xml:space="preserve">each </w:t>
      </w:r>
      <w:r w:rsidR="00FC7BC7">
        <w:t>code</w:t>
      </w:r>
      <w:r w:rsidR="0049652E">
        <w:t xml:space="preserve">, allowing for </w:t>
      </w:r>
      <w:r w:rsidR="00BB5C2A">
        <w:t xml:space="preserve">comparison across </w:t>
      </w:r>
      <w:r w:rsidR="00F40C44">
        <w:t>analyses</w:t>
      </w:r>
      <w:r w:rsidR="004154A4">
        <w:t xml:space="preserve"> </w:t>
      </w:r>
      <w:r w:rsidR="004154A4">
        <w:fldChar w:fldCharType="begin"/>
      </w:r>
      <w:r w:rsidR="004154A4">
        <w:instrText xml:space="preserve"> ADDIN ZOTERO_ITEM CSL_CITATION {"citationID":"MsZuGmzO","properties":{"formattedCitation":"[27\\uc0\\u8211{}29]","plainCitation":"[27–29]","noteIndex":0},"citationItems":[{"id":3564,"uris":["http://zotero.org/users/6749620/items/BXBKPQX8"],"itemData":{"id":3564,"type":"article-journal","container-title":"Medical care","issue":"11","note":"publisher: LWW","page":"1011–1019","source":"Google Scholar","title":"Quality of diagnosis and procedure coding in ICD-10 administrative data","volume":"44","author":[{"family":"Henderson","given":"Toni"},{"family":"Shepheard","given":"Jennie"},{"family":"Sundararajan","given":"Vijaya"}],"issued":{"date-parts":[["2006"]]},"citation-key":"hendersonQualityDiagnosisProcedure2006"}},{"id":3567,"uris":["http://zotero.org/users/6749620/items/9WUNM3ZN"],"itemData":{"id":3567,"type":"article-journal","container-title":"Psychopathology","issue":"2-3","note":"publisher: S. Karger AG Basel, Switzerland","page":"72–75","source":"Google Scholar","title":"International surveys on the use of ICD-10 and related diagnostic systems","volume":"35","author":[{"family":"Mezzich","given":"Juan E."}],"issued":{"date-parts":[["2002"]]},"citation-key":"mezzichInternationalSurveysUse2002"}},{"id":3565,"uris":["http://zotero.org/users/6749620/items/ARV85AI9"],"itemData":{"id":3565,"type":"article-journal","container-title":"American Journal of Neuroradiology","issue":"4","note":"publisher: American Journal of Neuroradiology","page":"596–599","source":"Google Scholar","title":"ICD-10: history and context","title-short":"ICD-10","volume":"37","author":[{"family":"Hirsch","given":"J. A."},{"family":"Nicola","given":"G."},{"family":"McGinty","given":"G."},{"family":"Liu","given":"R. W."},{"family":"Barr","given":"R. M."},{"family":"Chittle","given":"M. D."},{"family":"Manchikanti","given":"L."}],"issued":{"date-parts":[["2016"]]},"citation-key":"hirschICD10HistoryContext2016"}}],"schema":"https://github.com/citation-style-language/schema/raw/master/csl-citation.json"} </w:instrText>
      </w:r>
      <w:r w:rsidR="004154A4">
        <w:fldChar w:fldCharType="separate"/>
      </w:r>
      <w:r w:rsidR="004154A4" w:rsidRPr="009D215D">
        <w:rPr>
          <w:rFonts w:eastAsiaTheme="minorHAnsi"/>
          <w:szCs w:val="24"/>
          <w:lang w:val="en-US" w:eastAsia="en-US"/>
          <w14:ligatures w14:val="standardContextual"/>
        </w:rPr>
        <w:t>[27–29]</w:t>
      </w:r>
      <w:r w:rsidR="004154A4">
        <w:fldChar w:fldCharType="end"/>
      </w:r>
      <w:r w:rsidR="00BD2DD0">
        <w:t>.</w:t>
      </w:r>
      <w:r w:rsidR="00C00F5C">
        <w:t xml:space="preserve"> </w:t>
      </w:r>
      <w:r w:rsidR="00C233FC">
        <w:t>In addition,</w:t>
      </w:r>
      <w:r w:rsidR="00424F3A">
        <w:t xml:space="preserve"> </w:t>
      </w:r>
      <w:r w:rsidR="008B4313">
        <w:t>CGHR-10</w:t>
      </w:r>
      <w:r w:rsidR="004E783C">
        <w:t xml:space="preserve"> and WHO VA</w:t>
      </w:r>
      <w:r w:rsidR="008B4313">
        <w:t xml:space="preserve"> codes</w:t>
      </w:r>
      <w:r w:rsidR="00731862">
        <w:t xml:space="preserve"> directly group ICD-10 codes, which provide</w:t>
      </w:r>
      <w:r w:rsidR="00DF09CC">
        <w:t>d</w:t>
      </w:r>
      <w:r w:rsidR="00731862">
        <w:t xml:space="preserve"> </w:t>
      </w:r>
      <w:r w:rsidR="004E783C">
        <w:t>the flexibility of a standardized coding system while enabling convenient conversion from ICD-10 to CGHR-10, WHO VA, or any other system based on</w:t>
      </w:r>
      <w:r w:rsidR="002E356D">
        <w:t xml:space="preserve"> more granular</w:t>
      </w:r>
      <w:r w:rsidR="004E783C">
        <w:t xml:space="preserve"> ICD-10</w:t>
      </w:r>
      <w:r w:rsidR="002E356D">
        <w:t xml:space="preserve"> codes</w:t>
      </w:r>
      <w:r w:rsidR="004E783C">
        <w:t xml:space="preserve">. </w:t>
      </w:r>
      <w:r w:rsidR="00034612">
        <w:t>Thus, g</w:t>
      </w:r>
      <w:r w:rsidR="006C1D95">
        <w:t xml:space="preserve">rouping ICD-10 codes </w:t>
      </w:r>
      <w:r w:rsidR="00CE4366">
        <w:t xml:space="preserve">also </w:t>
      </w:r>
      <w:r w:rsidR="006C1D95">
        <w:t>enables stricter and more standardized definitions of COD categories, ensuring that comparable categories across different coding systems can be accurately aligned, and that observed results are not influenced by variations in coding systems or ca</w:t>
      </w:r>
      <w:r w:rsidR="00C41A05">
        <w:t>tegory</w:t>
      </w:r>
      <w:r w:rsidR="006C1D95">
        <w:t xml:space="preserve"> definitions</w:t>
      </w:r>
      <w:r w:rsidR="0014006E">
        <w:t xml:space="preserve"> </w:t>
      </w:r>
      <w:r w:rsidR="0014006E">
        <w:fldChar w:fldCharType="begin"/>
      </w:r>
      <w:r w:rsidR="003442AE">
        <w:instrText xml:space="preserve"> ADDIN ZOTERO_ITEM CSL_CITATION {"citationID":"cMTijeOm","properties":{"formattedCitation":"[30,31]","plainCitation":"[30,31]","noteIndex":0},"citationItems":[{"id":3569,"uris":["http://zotero.org/users/6749620/items/UUFZ6LUG"],"itemData":{"id":3569,"type":"article-journal","container-title":"Perspectives in Health Information Management/AHIMA, American Health Information Management Association","page":"6","source":"Google Scholar","title":"The effectiveness of ICD-10-CM in capturing public health diseases","volume":"4","author":[{"family":"Watzlaf","given":"Valerie JM"},{"family":"Garvin","given":"Jennifer Hornung"},{"family":"Moeini","given":"Sohrab"},{"family":"Anania-Firouzan","given":"Patricia"}],"issued":{"date-parts":[["2007"]]},"citation-key":"watzlafEffectivenessICD10CMCapturing2007"}},{"id":3573,"uris":["http://zotero.org/users/6749620/items/U4NVGW8E"],"itemData":{"id":3573,"type":"article-journal","abstract":"Purpose To evaluate the effect of diagnostic coding system transition on the identification of common conditions recorded in Taiwan's national claims database. Methods Using the National Health Insurance Research Database, we estimated the 3-month prevalence of recorded diagnosis of 32 conditions based on the ICD-9-CM codes in 2014–2015 and the ICD-10-CM codes in 2016–2017. Two algorithms were assessed for ICD-10-CM: validated ICD-10 codes in the literature and codes translated from ICD-9-CM using an established mapping algorithm. We used segmented regression analysis on time-series data to examine changes in the 3-month prevalence (both level and trend) before and after the ICD-10-CM implementation. Results Significant changes in the level were found in 19 and 11 conditions when using the ICD-10 codes from the literature and mapping algorithm, respectively. The conditions with inconsistent levels by both of the algorithms were valvular heart disease, peripheral vascular disease, mild liver disease, moderate to severe liver disease, metastatic cancer, rheumatoid arthritis and collagen vascular diseases, coagulopathy, blood loss anemia, deficiency anemia, alcohol abuse, and psychosis. Nine conditions had significant changes in the trend when using the ICD-10 codes from the literature or mapping algorithm. Conclusions Less than half of the 32 conditions studied had a smooth transition between the ICD-9-CM and ICD-10-CM coding systems. Researchers should pay attention to the conditions where the coding definitions result in inconsistent time series estimates.","container-title":"Pharmacoepidemiology and Drug Safety","DOI":"10.1002/pds.5330","ISSN":"1099-1557","issue":"12","language":"en","license":"© 2021 John Wiley &amp; Sons Ltd.","note":"_eprint: https://onlinelibrary.wiley.com/doi/pdf/10.1002/pds.5330","page":"1653-1674","source":"Wiley Online Library","title":"Effect of ICD-9-CM to ICD-10-CM coding system transition on identification of common conditions: An interrupted time series analysis","title-short":"Effect of ICD-9-CM to ICD-10-CM coding system transition on identification of common conditions","volume":"30","author":[{"family":"Hsu","given":"Meng-Chen"},{"family":"Wang","given":"Chi-Chuan"},{"family":"Huang","given":"Ling-Ya"},{"family":"Lin","given":"Chih-Ying"},{"family":"Lin","given":"Fang-Ju"},{"family":"Toh","given":"Sengwee"}],"issued":{"date-parts":[["2021"]]},"citation-key":"hsuEffectICD9CMICD10CM2021"}}],"schema":"https://github.com/citation-style-language/schema/raw/master/csl-citation.json"} </w:instrText>
      </w:r>
      <w:r w:rsidR="0014006E">
        <w:fldChar w:fldCharType="separate"/>
      </w:r>
      <w:r w:rsidR="003442AE">
        <w:rPr>
          <w:noProof/>
        </w:rPr>
        <w:t>[30,31]</w:t>
      </w:r>
      <w:r w:rsidR="0014006E">
        <w:fldChar w:fldCharType="end"/>
      </w:r>
      <w:r w:rsidR="006C1D95">
        <w:t xml:space="preserve">. </w:t>
      </w:r>
      <w:r w:rsidR="00C45B43">
        <w:t>We</w:t>
      </w:r>
      <w:r w:rsidR="00B52396">
        <w:t xml:space="preserve"> </w:t>
      </w:r>
      <w:r w:rsidR="005C33D8">
        <w:t>expect</w:t>
      </w:r>
      <w:r w:rsidR="00B52396">
        <w:t xml:space="preserve"> that if GPT models would use CGHR-10 codes, all records would be coded instead of </w:t>
      </w:r>
      <w:r w:rsidR="00117208">
        <w:t xml:space="preserve">the </w:t>
      </w:r>
      <w:r w:rsidR="007E28AE">
        <w:t>&gt;</w:t>
      </w:r>
      <w:r w:rsidR="00B52396">
        <w:t>99%</w:t>
      </w:r>
      <w:r w:rsidR="007E28AE">
        <w:t xml:space="preserve"> shown</w:t>
      </w:r>
      <w:r w:rsidR="00B52396">
        <w:t xml:space="preserve"> in Figure B1</w:t>
      </w:r>
      <w:r w:rsidR="00295DAF">
        <w:t>, as some ICD-10 codes were not captured by CGHR-10.</w:t>
      </w:r>
      <w:r w:rsidR="009C5D38">
        <w:t xml:space="preserve"> Consequently, if the models used WHO VA codes, we may see more records lost to conversion.</w:t>
      </w:r>
      <w:r w:rsidR="00B43D82">
        <w:t xml:space="preserve"> These may slightly impact performance scores depending on the age groups and CODs of the lost records, while mostly negligible for overall performance results.</w:t>
      </w:r>
      <w:r w:rsidR="004E18FD">
        <w:t xml:space="preserve"> We also suspect that it is possible that performance would improve with the use of CGHR-10</w:t>
      </w:r>
      <w:r w:rsidR="0085516E">
        <w:t xml:space="preserve"> or WHO VA</w:t>
      </w:r>
      <w:r w:rsidR="004E18FD">
        <w:t xml:space="preserve"> codes instead of ICD-10, as the</w:t>
      </w:r>
      <w:r w:rsidR="00EA5946">
        <w:t xml:space="preserve"> number of</w:t>
      </w:r>
      <w:r w:rsidR="004E18FD">
        <w:t xml:space="preserve"> CGHR-10</w:t>
      </w:r>
      <w:r w:rsidR="0085516E">
        <w:t xml:space="preserve"> and WHO VA</w:t>
      </w:r>
      <w:r w:rsidR="004E18FD">
        <w:t xml:space="preserve"> codes </w:t>
      </w:r>
      <w:r w:rsidR="0085516E">
        <w:t>are</w:t>
      </w:r>
      <w:r w:rsidR="004E18FD">
        <w:t xml:space="preserve"> </w:t>
      </w:r>
      <w:r w:rsidR="00694CA9">
        <w:t>comparatively</w:t>
      </w:r>
      <w:r w:rsidR="004E18FD">
        <w:t xml:space="preserve"> less than th</w:t>
      </w:r>
      <w:r w:rsidR="00F93543">
        <w:t>e thousands of</w:t>
      </w:r>
      <w:r w:rsidR="004E18FD">
        <w:t xml:space="preserve"> ICD-10 codes. This limits the number of </w:t>
      </w:r>
      <w:r w:rsidR="002216C1">
        <w:t>possibilities and</w:t>
      </w:r>
      <w:r w:rsidR="004E18FD">
        <w:t xml:space="preserve"> thus </w:t>
      </w:r>
      <w:r w:rsidR="00BE4D1F">
        <w:t>reduces misclassification</w:t>
      </w:r>
      <w:r w:rsidR="007B23E6">
        <w:t xml:space="preserve"> </w:t>
      </w:r>
      <w:r w:rsidR="007B23E6">
        <w:fldChar w:fldCharType="begin"/>
      </w:r>
      <w:r w:rsidR="007B23E6">
        <w:instrText xml:space="preserve"> ADDIN ZOTERO_ITEM CSL_CITATION {"citationID":"oyemmEak","properties":{"formattedCitation":"[32\\uc0\\u8211{}35]","plainCitation":"[32–35]","noteIndex":0},"citationItems":[{"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3580,"uris":["http://zotero.org/users/6749620/items/8C7EGAAR"],"itemData":{"id":3580,"type":"article-journal","abstract":"Introduction Verbal autopsy (VA) is a useful tool for evaluating causes of death, especially in places with limited or no vital registration systems. The Population Health Metrics Research Consortium (PHMRC) developed a validated questionnaire and a set of automated methods to determine the cause of death from a VA. However, the application of these methods needs to be tested in a community environment. Objective To estimate cause-specific mortality fractions (CSMFs) using VAs and compare them against those obtained in the vital statistics of the state of Hidalgo, Mexico. Methods A random sample of deaths occurred in 2009 was selected from vital statistics in the state of Hidalgo. The full PHMRC validated VA instrument was applied to the relatives of the deceased, and the cause of death was determined using Tariff's automated method. The causes of death were grouped into 34 causes for adults, 21 for children and 6 for newborns. Results were compared with cause of death on death certificates for all deaths. Results A total of 1,198 VAs were analyzed. The Tariff method was not able to assign a cause of death in only 9% of adults, 2% of children and 7% of neonatal deaths. The CSMFs obtained from the Tariff method were similar in some cases to those of vital statistics (e.g. cirrhosis), but different in others (e.g. sepsis). Conclusion The application of VAs in a community sample, analyzed with the Tariff method, allowed assigning a cause of death to most of the cases, with results similar to those of vital statistics for most conditions. This tool can be useful to strengthen the quality of vital statistics.","container-title":"PLOS ONE","DOI":"10.1371/journal.pone.0218438","ISSN":"1932-6203","issue":"7","journalAbbreviation":"PLOS ONE","language":"en","note":"publisher: Public Library of Science","page":"e0218438","source":"PLoS Journals","title":"Analysis of causes of death using verbal autopsies and vital registration in Hidalgo, Mexico","volume":"14","author":[{"family":"Ramirez-Villalobos","given":"Dolores"},{"family":"Stewart","given":"Andrea Leigh"},{"family":"Romero","given":"Minerva"},{"family":"Gomez","given":"Sara"},{"family":"Flaxman","given":"Abraham D."},{"family":"Hernandez","given":"Bernardo"}],"issued":{"date-parts":[["2019",7,3]]},"citation-key":"ramirez-villalobosAnalysisCausesDeath2019"}},{"id":3578,"uris":["http://zotero.org/users/6749620/items/469F4STD"],"itemData":{"id":3578,"type":"article-journal","source":"Google Scholar","title":"Verbal autopsy methods with multiple causes of death","URL":"https://projecteuclid.org/journals/statistical-science/volume-23/issue-1/Verbal-Autopsy-Methods-with-Multiple-Causes-of-Death/10.1214/07-STS247.short","author":[{"family":"King","given":"Gary"},{"family":"Lu","given":"Ying"}],"accessed":{"date-parts":[["2025",10,23]]},"issued":{"date-parts":[["2008"]]},"citation-key":"kingVerbalAutopsyMethods2008"}},{"id":3575,"uris":["http://zotero.org/users/6749620/items/TKDLT22A"],"itemData":{"id":3575,"type":"article-journal","abstract":"Verbal autopsy methods are critically important for evaluating the leading causes of death in populations without adequate vital registration systems. With a myriad of analytical and data collection approaches, it is essential to create a high quality validation dataset from different populations to evaluate comparative method performance and make recommendations for future verbal autopsy implementation. This study was undertaken to compile a set of strictly defined gold standard deaths for which verbal autopsies were collected to validate the accuracy of different methods of verbal autopsy cause of death assignment.","container-title":"Population Health Metrics","DOI":"10.1186/1478-7954-9-27","ISSN":"1478-7954","issue":"1","journalAbbreviation":"Population Health Metrics","page":"27","source":"BioMed Central","title":"Population Health Metrics Research Consortium gold standard verbal autopsy validation study: design, implementation, and development of analysis datasets","title-short":"Population Health Metrics Research Consortium gold standard verbal autopsy validation study","volume":"9","author":[{"family":"Murray","given":"Christopher JL"},{"family":"Lopez","given":"Alan D."},{"family":"Black","given":"Robert"},{"family":"Ahuja","given":"Ramesh"},{"family":"Ali","given":"Said Mohd"},{"family":"Baqui","given":"Abdullah"},{"family":"Dandona","given":"Lalit"},{"family":"Dantzer","given":"Emily"},{"family":"Das","given":"Vinita"},{"family":"Dhingra","given":"Usha"},{"family":"Dutta","given":"Arup"},{"family":"Fawzi","given":"Wafaie"},{"family":"Flaxman","given":"Abraham D."},{"family":"Gómez","given":"Sara"},{"family":"Hernández","given":"Bernardo"},{"family":"Joshi","given":"Rohina"},{"family":"Kalter","given":"Henry"},{"family":"Kumar","given":"Aarti"},{"family":"Kumar","given":"Vishwajeet"},{"family":"Lozano","given":"Rafael"},{"family":"Lucero","given":"Marilla"},{"family":"Mehta","given":"Saurabh"},{"family":"Neal","given":"Bruce"},{"family":"Ohno","given":"Summer Lockett"},{"family":"Prasad","given":"Rajendra"},{"family":"Praveen","given":"Devarsetty"},{"family":"Premji","given":"Zul"},{"family":"Ramírez-Villalobos","given":"Dolores"},{"family":"Remolador","given":"Hazel"},{"family":"Riley","given":"Ian"},{"family":"Romero","given":"Minerva"},{"family":"Said","given":"Mwanaidi"},{"family":"Sanvictores","given":"Diozele"},{"family":"Sazawal","given":"Sunil"},{"family":"Tallo","given":"Veronica"}],"issued":{"date-parts":[["2011",8,4]]},"citation-key":"murrayPopulationHealthMetrics2011"}}],"schema":"https://github.com/citation-style-language/schema/raw/master/csl-citation.json"} </w:instrText>
      </w:r>
      <w:r w:rsidR="007B23E6">
        <w:fldChar w:fldCharType="separate"/>
      </w:r>
      <w:r w:rsidR="007B23E6" w:rsidRPr="007B23E6">
        <w:rPr>
          <w:rFonts w:eastAsiaTheme="minorHAnsi"/>
          <w:szCs w:val="24"/>
          <w:lang w:val="en-US" w:eastAsia="en-US"/>
          <w14:ligatures w14:val="standardContextual"/>
        </w:rPr>
        <w:t>[32–35]</w:t>
      </w:r>
      <w:r w:rsidR="007B23E6">
        <w:fldChar w:fldCharType="end"/>
      </w:r>
      <w:r w:rsidR="004E18FD">
        <w:t>. However,</w:t>
      </w:r>
      <w:r w:rsidR="004D5542">
        <w:t xml:space="preserve"> </w:t>
      </w:r>
      <w:r w:rsidR="00BE4D1F">
        <w:t>the caveat is the loss of diagnostic specificity, which may obscure important differences between grouped disease codes (e.g.</w:t>
      </w:r>
      <w:r w:rsidR="00541A4F">
        <w:t>,</w:t>
      </w:r>
      <w:r w:rsidR="00BE4D1F">
        <w:t xml:space="preserve"> cancer sites) or lead to concern</w:t>
      </w:r>
      <w:r w:rsidR="002C7048">
        <w:t>s</w:t>
      </w:r>
      <w:r w:rsidR="00BE4D1F">
        <w:t xml:space="preserve"> related to Response 2.3 above, where GPT models may simply utilize country statistics to assign CODs </w:t>
      </w:r>
      <w:r w:rsidR="000826F9">
        <w:t>rather than leveraging</w:t>
      </w:r>
      <w:r w:rsidR="00BE4D1F">
        <w:t xml:space="preserve"> the informative patterns in the narratives</w:t>
      </w:r>
      <w:r w:rsidR="004D5542">
        <w:t xml:space="preserve">. </w:t>
      </w:r>
      <w:r w:rsidR="00C45B43">
        <w:t>Additional</w:t>
      </w:r>
      <w:r w:rsidR="00EA309B">
        <w:t xml:space="preserve"> rationale</w:t>
      </w:r>
      <w:r w:rsidR="00C45B43">
        <w:t xml:space="preserve"> has been provided</w:t>
      </w:r>
      <w:r w:rsidR="00EA309B">
        <w:t xml:space="preserve"> to justify </w:t>
      </w:r>
      <w:r w:rsidR="00447206">
        <w:t>instructing GPT models to use</w:t>
      </w:r>
      <w:r w:rsidR="00EA309B">
        <w:t xml:space="preserve"> the ICD-10 </w:t>
      </w:r>
      <w:r w:rsidR="006B0D88">
        <w:t>coding system</w:t>
      </w:r>
      <w:r w:rsidR="00EA309B">
        <w:t xml:space="preserve"> in Appendix B.2.1</w:t>
      </w:r>
      <w:r w:rsidR="00853BDC">
        <w:t xml:space="preserve">. </w:t>
      </w:r>
      <w:r w:rsidR="00F92DB5">
        <w:t xml:space="preserve">We also included the mention of GPT models outperforming InterVA-5/InSilicoVA models despite the advantage of fewer possible codes to assign from in Section 4. </w:t>
      </w:r>
      <w:r w:rsidR="00747318">
        <w:t xml:space="preserve">We </w:t>
      </w:r>
      <w:r w:rsidR="00AA1543">
        <w:t>did not provide ICD-10 codes to the GPT models as they already had knowledge of them</w:t>
      </w:r>
      <w:r w:rsidR="00EF5644">
        <w:t>. A</w:t>
      </w:r>
      <w:r w:rsidR="00793E05">
        <w:t>n additional</w:t>
      </w:r>
      <w:r w:rsidR="00EF5644">
        <w:t xml:space="preserve"> sentence has been added to clarify this</w:t>
      </w:r>
      <w:r w:rsidR="005D64BB">
        <w:t xml:space="preserve"> detail</w:t>
      </w:r>
      <w:r w:rsidR="00EF5644">
        <w:t xml:space="preserve"> in Appendix B.2.1.</w:t>
      </w:r>
    </w:p>
    <w:p w14:paraId="006DDAFA" w14:textId="77777777" w:rsidR="008277F2" w:rsidRPr="00185B78" w:rsidRDefault="008277F2" w:rsidP="001C1F2E">
      <w:r w:rsidRPr="00185B78">
        <w:lastRenderedPageBreak/>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566412F8" w:rsidR="00E14E68" w:rsidRPr="00185B78" w:rsidRDefault="002960BA" w:rsidP="00975215">
      <w:pPr>
        <w:ind w:left="700"/>
      </w:pPr>
      <w:r w:rsidRPr="003F7815">
        <w:rPr>
          <w:b/>
          <w:bCs/>
        </w:rPr>
        <w:t>Response 2.5:</w:t>
      </w:r>
      <w:r>
        <w:t xml:space="preserve"> </w:t>
      </w:r>
      <w:r w:rsidR="00BD2EE8">
        <w:t xml:space="preserve">Thank you </w:t>
      </w:r>
      <w:r w:rsidR="003A3D59">
        <w:t xml:space="preserve">for </w:t>
      </w:r>
      <w:r w:rsidR="00BD2EE8">
        <w:t>the suggestion</w:t>
      </w:r>
      <w:r>
        <w:t>.</w:t>
      </w:r>
      <w:r w:rsidR="00975215">
        <w:t xml:space="preserve"> GPT model outputs were based on tokens</w:t>
      </w:r>
      <w:r w:rsidR="00687961">
        <w:t xml:space="preserve"> (units of text such as word segments, phrases</w:t>
      </w:r>
      <w:r w:rsidR="00975215">
        <w:t>,</w:t>
      </w:r>
      <w:r w:rsidR="00687961">
        <w:t xml:space="preserve"> punctuation)</w:t>
      </w:r>
      <w:r w:rsidR="00E87A39">
        <w:t>, and an underlying mechanism that tries to predict the next most likely token</w:t>
      </w:r>
      <w:r w:rsidR="00A95D7C">
        <w:t xml:space="preserve">. Assuming that reliability refers to the consistency of outputs across repeated runs, </w:t>
      </w:r>
      <w:r w:rsidR="00687961">
        <w:t xml:space="preserve">the </w:t>
      </w:r>
      <w:r w:rsidR="00975215">
        <w:t>increas</w:t>
      </w:r>
      <w:r w:rsidR="00687961">
        <w:t>e of output tokens</w:t>
      </w:r>
      <w:r w:rsidR="00975215">
        <w:t xml:space="preserve"> (e.g.</w:t>
      </w:r>
      <w:r w:rsidR="0010110E">
        <w:t>,</w:t>
      </w:r>
      <w:r w:rsidR="00975215">
        <w:t xml:space="preserve"> including an English COD) may potentially increase randomness, leading</w:t>
      </w:r>
      <w:r w:rsidR="002479D3">
        <w:t xml:space="preserve"> to</w:t>
      </w:r>
      <w:r w:rsidR="00975215">
        <w:t xml:space="preserve"> a reduction in reliability.</w:t>
      </w:r>
      <w:r w:rsidR="00A95D7C">
        <w:t xml:space="preserve"> </w:t>
      </w:r>
      <w:r w:rsidR="00E64516">
        <w:t xml:space="preserve">With the addition of the English COD, more tokens are produced and thus, more possibilities </w:t>
      </w:r>
      <w:r w:rsidR="00243C47">
        <w:t>exist</w:t>
      </w:r>
      <w:r w:rsidR="002C5986">
        <w:t xml:space="preserve"> due to</w:t>
      </w:r>
      <w:r w:rsidR="00A95D7C">
        <w:t xml:space="preserve"> the flexibility of expressing the same COD with different arrangement</w:t>
      </w:r>
      <w:r w:rsidR="00DC304C">
        <w:t>s</w:t>
      </w:r>
      <w:r w:rsidR="00A95D7C">
        <w:t xml:space="preserve"> of word</w:t>
      </w:r>
      <w:r w:rsidR="00A20CE7">
        <w:t xml:space="preserve"> segments, phrases, and punctuation</w:t>
      </w:r>
      <w:r w:rsidR="00A95D7C">
        <w:t>.</w:t>
      </w:r>
      <w:r w:rsidR="00A76E12">
        <w:t xml:space="preserve"> This may also introduce issues with standardizing these different arrangements and comparing equivalency in meaning.</w:t>
      </w:r>
      <w:r w:rsidR="00013DF5">
        <w:t xml:space="preserve"> However, we acknowledge the importance of evaluating the reliability of outputs, and wish to mention that it is an emerging topic for LLMs and approaches are still developing </w:t>
      </w:r>
      <w:r w:rsidR="00013DF5">
        <w:fldChar w:fldCharType="begin"/>
      </w:r>
      <w:r w:rsidR="00013DF5">
        <w:instrText xml:space="preserve"> ADDIN ZOTERO_ITEM CSL_CITATION {"citationID":"LtXIbn5v","properties":{"formattedCitation":"[36]","plainCitation":"[36]","noteIndex":0},"citationItems":[{"id":3595,"uris":["http://zotero.org/users/6749620/items/NEZNUTTM"],"itemData":{"id":3595,"type":"paper-conference","container-title":"Proceedings of the 31st ACM SIGKDD Conference on Knowledge Discovery and Data Mining V.2","DOI":"10.1145/3711896.3736569","event-place":"Toronto ON Canada","event-title":"KDD '25: The 31st ACM SIGKDD Conference on Knowledge Discovery and Data Mining","ISBN":"979-8-4007-1454-2","language":"en","page":"6107-6117","publisher":"ACM","publisher-place":"Toronto ON Canada","source":"DOI.org (Crossref)","title":"Uncertainty Quantification and Confidence Calibration in Large Language Models: A Survey","title-short":"Uncertainty Quantification and Confidence Calibration in Large Language Models","URL":"https://dl.acm.org/doi/10.1145/3711896.3736569","author":[{"family":"Liu","given":"Xiaoou"},{"family":"Chen","given":"Tiejin"},{"family":"Da","given":"Longchao"},{"family":"Chen","given":"Chacha"},{"family":"Lin","given":"Zhen"},{"family":"Wei","given":"Hua"}],"accessed":{"date-parts":[["2025",10,23]]},"issued":{"date-parts":[["2025",8,3]]},"citation-key":"liuUncertaintyQuantificationConfidence2025"}}],"schema":"https://github.com/citation-style-language/schema/raw/master/csl-citation.json"} </w:instrText>
      </w:r>
      <w:r w:rsidR="00013DF5">
        <w:fldChar w:fldCharType="separate"/>
      </w:r>
      <w:r w:rsidR="00013DF5">
        <w:rPr>
          <w:noProof/>
        </w:rPr>
        <w:t>[36]</w:t>
      </w:r>
      <w:r w:rsidR="00013DF5">
        <w:fldChar w:fldCharType="end"/>
      </w:r>
      <w:r w:rsidR="00013DF5">
        <w:t>.</w:t>
      </w:r>
      <w:r w:rsidR="00EC3B46">
        <w:t xml:space="preserve"> This mention has been added in the discussion (Section 4).</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5688F920" w:rsidR="005017C2" w:rsidRPr="00185B78" w:rsidRDefault="002960BA" w:rsidP="00FD503E">
      <w:pPr>
        <w:ind w:left="700"/>
      </w:pPr>
      <w:r w:rsidRPr="003F7815">
        <w:rPr>
          <w:b/>
          <w:bCs/>
        </w:rPr>
        <w:t>Response 2.6:</w:t>
      </w:r>
      <w:r>
        <w:t xml:space="preserve"> </w:t>
      </w:r>
      <w:r w:rsidR="00A6015C">
        <w:t xml:space="preserve">We agree that evaluating GPT models and their </w:t>
      </w:r>
      <w:r w:rsidR="00A66A29">
        <w:t>reliability</w:t>
      </w:r>
      <w:r w:rsidR="00A6015C">
        <w:t xml:space="preserve"> is an important consideration for </w:t>
      </w:r>
      <w:r w:rsidR="0086763A">
        <w:t>our</w:t>
      </w:r>
      <w:r w:rsidR="00A6015C">
        <w:t xml:space="preserve"> study. Thus, w</w:t>
      </w:r>
      <w:r w:rsidR="00041939">
        <w:t>e have mention</w:t>
      </w:r>
      <w:r w:rsidR="0037600C">
        <w:t>ed the</w:t>
      </w:r>
      <w:r w:rsidR="00041939">
        <w:t xml:space="preserve"> </w:t>
      </w:r>
      <w:r w:rsidR="0037600C">
        <w:t>reduction of</w:t>
      </w:r>
      <w:r w:rsidR="00041939">
        <w:t xml:space="preserve"> randomness </w:t>
      </w:r>
      <w:r w:rsidR="004B6D1B">
        <w:t xml:space="preserve">in </w:t>
      </w:r>
      <w:r w:rsidR="0076110C">
        <w:t xml:space="preserve">GPT </w:t>
      </w:r>
      <w:r w:rsidR="005814EE">
        <w:t>model output</w:t>
      </w:r>
      <w:r w:rsidR="00681560">
        <w:t xml:space="preserve">s, </w:t>
      </w:r>
      <w:r w:rsidR="00041939">
        <w:t xml:space="preserve">with the objective of producing more deterministic </w:t>
      </w:r>
      <w:r w:rsidR="00721BEE">
        <w:t>results</w:t>
      </w:r>
      <w:r w:rsidR="00041939">
        <w:t xml:space="preserve"> in Section 2.2</w:t>
      </w:r>
      <w:r w:rsidR="00F97E1E">
        <w:t>.</w:t>
      </w:r>
      <w:r w:rsidR="00B0785F">
        <w:t xml:space="preserve"> Further details have also been provided in Appendix B.2.2, where we describe each parameter and </w:t>
      </w:r>
      <w:r w:rsidR="00547219">
        <w:t>application of best practices to</w:t>
      </w:r>
      <w:r w:rsidR="00B0785F">
        <w:t xml:space="preserve"> configur</w:t>
      </w:r>
      <w:r w:rsidR="00547219">
        <w:t>e</w:t>
      </w:r>
      <w:r w:rsidR="00B0785F">
        <w:t xml:space="preserve"> for </w:t>
      </w:r>
      <w:r w:rsidR="00A715E0">
        <w:t xml:space="preserve">more </w:t>
      </w:r>
      <w:r w:rsidR="00B0785F">
        <w:t>deterministic outputs.</w:t>
      </w:r>
      <w:r w:rsidR="00CD7D24">
        <w:t xml:space="preserve"> Despite this, we mention in Section 4</w:t>
      </w:r>
      <w:r w:rsidR="00B03FFB">
        <w:t>, and explain for reviewer 1 in Response 1.2,</w:t>
      </w:r>
      <w:r w:rsidR="00CD7D24">
        <w:t xml:space="preserve"> that a limitation of</w:t>
      </w:r>
      <w:r w:rsidR="00B0785F">
        <w:t xml:space="preserve"> GPT models </w:t>
      </w:r>
      <w:r w:rsidR="007E1A3F">
        <w:t>is</w:t>
      </w:r>
      <w:r w:rsidR="00CD7D24">
        <w:t xml:space="preserve"> that they are</w:t>
      </w:r>
      <w:r w:rsidR="00B0785F">
        <w:t xml:space="preserve"> inherently non-deterministic</w:t>
      </w:r>
      <w:r w:rsidR="007E1A3F">
        <w:t>, and configuration of parameters are current best practice</w:t>
      </w:r>
      <w:r w:rsidR="00434476">
        <w:t>, as noted by OpenAI,</w:t>
      </w:r>
      <w:r w:rsidR="007E1A3F">
        <w:t xml:space="preserve"> to </w:t>
      </w:r>
      <w:r w:rsidR="007E1A3F" w:rsidRPr="00FF2A89">
        <w:rPr>
          <w:i/>
          <w:iCs/>
        </w:rPr>
        <w:t>increase</w:t>
      </w:r>
      <w:r w:rsidR="007E1A3F">
        <w:t xml:space="preserve"> the </w:t>
      </w:r>
      <w:r w:rsidR="00C878B5">
        <w:t>reliability</w:t>
      </w:r>
      <w:r w:rsidR="007E1A3F">
        <w:t xml:space="preserve"> of outputs.</w:t>
      </w:r>
      <w:r w:rsidR="00EF77FA">
        <w:t xml:space="preserve"> We also note in the same section, that the </w:t>
      </w:r>
      <w:r w:rsidR="003F48A4">
        <w:t xml:space="preserve">robust </w:t>
      </w:r>
      <w:r w:rsidR="00EF77FA">
        <w:t>analysis of output reliability for GPT models is out of the scope of this study</w:t>
      </w:r>
      <w:r w:rsidR="00573A0D">
        <w:t xml:space="preserve">, scaling substantially with </w:t>
      </w:r>
      <w:r w:rsidR="00EF77FA">
        <w:t>time and costs when hundreds or thousands of repetitions are needed</w:t>
      </w:r>
      <w:r w:rsidR="00C044C5">
        <w:t xml:space="preserve"> </w:t>
      </w:r>
      <w:r w:rsidR="00C044C5">
        <w:fldChar w:fldCharType="begin"/>
      </w:r>
      <w:r w:rsidR="00013DF5">
        <w:instrText xml:space="preserve"> ADDIN ZOTERO_ITEM CSL_CITATION {"citationID":"Nr2mghGk","properties":{"formattedCitation":"[37\\uc0\\u8211{}39]","plainCitation":"[37–39]","noteIndex":0},"citationItems":[{"id":3588,"uris":["http://zotero.org/users/6749620/items/RW7R3RKD"],"itemData":{"id":3588,"type":"article","abstract":"Fine-tuning pre-trained transformer-based language models such as BERT has become a common practice dominating leaderboards across various NLP benchmarks. Despite the strong empirical performance of fine-tuned models, fine-tuning is an unstable process: training the same model with multiple random seeds can result in a large variance of the task performance. Previous literature (Devlin et al., 2019; Lee et al., 2020; Dodge et al., 2020) identified two potential reasons for the observed instability: catastrophic forgetting and small size of the fine-tuning datasets. In this paper, we show that both hypotheses fail to explain the fine-tuning instability. We analyze BERT, RoBERTa, and ALBERT, fine-tuned on commonly used datasets from the GLUE benchmark, and show that the observed instability is caused by optimization difficulties that lead to vanishing gradients. Additionally, we show that the remaining variance of the downstream task performance can be attributed to differences in generalization where fine-tuned models with the same training loss exhibit noticeably different test performance. Based on our analysis, we present a simple but strong baseline that makes fine-tuning BERT-based models significantly more stable than the previously proposed approaches. Code to reproduce our results is available online: https://github.com/uds-lsv/bert-stable-fine-tuning.","DOI":"10.48550/arXiv.2006.04884","note":"arXiv:2006.04884 [cs]","number":"arXiv:2006.04884","publisher":"arXiv","source":"arXiv.org","title":"On the Stability of Fine-tuning BERT: Misconceptions, Explanations, and Strong Baselines","title-short":"On the Stability of Fine-tuning BERT","URL":"http://arxiv.org/abs/2006.04884","author":[{"family":"Mosbach","given":"Marius"},{"family":"Andriushchenko","given":"Maksym"},{"family":"Klakow","given":"Dietrich"}],"accessed":{"date-parts":[["2025",10,23]]},"issued":{"date-parts":[["2021",3,25]]},"citation-key":"mosbachStabilityFinetuningBERT2021"}},{"id":3586,"uris":["http://zotero.org/users/6749620/items/XYX5Z3HR"],"itemData":{"id":3586,"type":"article","abstract":"Fine-tuning pretrained contextual word embedding models to supervised downstream tasks has become commonplace in natural language processing. This process, however, is often brittle: even with the same hyperparameter values, distinct random seeds can lead to substantially different results. To better understand this phenomenon, we experiment with four datasets from the GLUE benchmark, fine-tuning BERT hundreds of times on each while varying only the random seeds. We find substantial performance increases compared to previously reported results, and we quantify how the performance of the best-found model varies as a function of the number of fine-tuning trials. Further, we examine two factors influenced by the choice of random seed: weight initialization and training data order. We find that both contribute comparably to the variance of out-of-sample performance, and that some weight initializations perform well across all tasks explored. On small datasets, we observe that many fine-tuning trials diverge part of the way through training, and we offer best practices for practitioners to stop training less promising runs early. We publicly release all of our experimental data, including training and validation scores for 2,100 trials, to encourage further analysis of training dynamics during fine-tuning.","DOI":"10.48550/arXiv.2002.06305","note":"arXiv:2002.06305 [cs]","number":"arXiv:2002.06305","publisher":"arXiv","source":"arXiv.org","title":"Fine-Tuning Pretrained Language Models: Weight Initializations, Data Orders, and Early Stopping","title-short":"Fine-Tuning Pretrained Language Models","URL":"http://arxiv.org/abs/2002.06305","author":[{"family":"Dodge","given":"Jesse"},{"family":"Ilharco","given":"Gabriel"},{"family":"Schwartz","given":"Roy"},{"family":"Farhadi","given":"Ali"},{"family":"Hajishirzi","given":"Hannaneh"},{"family":"Smith","given":"Noah"}],"accessed":{"date-parts":[["2025",10,23]]},"issued":{"date-parts":[["2020",2,15]]},"citation-key":"dodgeFineTuningPretrainedLanguage2020"}},{"id":3593,"uris":["http://zotero.org/users/6749620/items/2MAVCRR6"],"itemData":{"id":3593,"type":"paper-conference","container-title":"Proceedings of the 12th International conference on cognitive modeling, Ottawa","source":"Google Scholar","title":"How many times should a stochastic model be run? An approach based on confidence intervals","title-short":"How many times should a stochastic model be run?","URL":"https://iccm-conference.neocities.org/2013/proceedings/papers/0083/paper0083.pdf","author":[{"family":"Byrne","given":"Michael D."}],"accessed":{"date-parts":[["2025",10,23]]},"issued":{"date-parts":[["2013"]]},"citation-key":"byrneHowManyTimes2013"}}],"schema":"https://github.com/citation-style-language/schema/raw/master/csl-citation.json"} </w:instrText>
      </w:r>
      <w:r w:rsidR="00C044C5">
        <w:fldChar w:fldCharType="separate"/>
      </w:r>
      <w:r w:rsidR="00013DF5" w:rsidRPr="00013DF5">
        <w:rPr>
          <w:rFonts w:eastAsiaTheme="minorHAnsi"/>
          <w:szCs w:val="24"/>
          <w:lang w:val="en-US" w:eastAsia="en-US"/>
          <w14:ligatures w14:val="standardContextual"/>
        </w:rPr>
        <w:t>[37–39]</w:t>
      </w:r>
      <w:r w:rsidR="00C044C5">
        <w:fldChar w:fldCharType="end"/>
      </w:r>
      <w:r w:rsidR="00EF77FA">
        <w:t>.</w:t>
      </w:r>
      <w:r w:rsidR="003000B3">
        <w:t xml:space="preserve"> </w:t>
      </w:r>
      <w:r w:rsidR="00A33293">
        <w:t xml:space="preserve">As our study’s </w:t>
      </w:r>
      <w:r w:rsidR="00AF2EC6">
        <w:t>focus</w:t>
      </w:r>
      <w:r w:rsidR="00A33293">
        <w:t xml:space="preserve"> was to compare LLMs leveraging narrative data to widely adopted models that rely on questionnaire responses</w:t>
      </w:r>
      <w:r w:rsidR="003000B3">
        <w:t xml:space="preserve">, the issue of </w:t>
      </w:r>
      <w:r w:rsidR="00AF2EC6">
        <w:t>output consistency</w:t>
      </w:r>
      <w:r w:rsidR="005C502F">
        <w:t xml:space="preserve"> and a</w:t>
      </w:r>
      <w:r w:rsidR="00E225E8">
        <w:t>ttempts</w:t>
      </w:r>
      <w:r w:rsidR="005C502F">
        <w:t xml:space="preserve"> to remedy them</w:t>
      </w:r>
      <w:r w:rsidR="00E225E8">
        <w:t xml:space="preserve"> (e.g., prompt engineering)</w:t>
      </w:r>
      <w:r w:rsidR="00E94494">
        <w:t xml:space="preserve">, </w:t>
      </w:r>
      <w:r w:rsidR="003000B3">
        <w:t>remain a</w:t>
      </w:r>
      <w:r w:rsidR="002D7EA0">
        <w:t xml:space="preserve">n emerging topic and a </w:t>
      </w:r>
      <w:r w:rsidR="003000B3">
        <w:t>limitation</w:t>
      </w:r>
      <w:r w:rsidR="001F4ACA">
        <w:t xml:space="preserve"> in this paper</w:t>
      </w:r>
      <w:r w:rsidR="00E225E8">
        <w:t>. However,</w:t>
      </w:r>
      <w:r w:rsidR="001F4ACA">
        <w:t xml:space="preserve"> </w:t>
      </w:r>
      <w:r w:rsidR="00E225E8">
        <w:t>we signify its importance by applying current best practices</w:t>
      </w:r>
      <w:r w:rsidR="00024A36">
        <w:t xml:space="preserve"> in parameter selection</w:t>
      </w:r>
      <w:r w:rsidR="00B901AA">
        <w:t xml:space="preserve"> detailed in Appendix B.2.2</w:t>
      </w:r>
      <w:r w:rsidR="00E225E8">
        <w:t>,</w:t>
      </w:r>
      <w:r w:rsidR="00DD667D">
        <w:t xml:space="preserve"> conducting a small sample of experiments</w:t>
      </w:r>
      <w:r w:rsidR="00E75E61">
        <w:t xml:space="preserve"> </w:t>
      </w:r>
      <w:r w:rsidR="007A0532">
        <w:t>in Appendix C</w:t>
      </w:r>
      <w:r w:rsidR="00DD667D">
        <w:t>,</w:t>
      </w:r>
      <w:r w:rsidR="00E225E8">
        <w:t xml:space="preserve"> and </w:t>
      </w:r>
      <w:r w:rsidR="001F4ACA">
        <w:t>discuss</w:t>
      </w:r>
      <w:r w:rsidR="00E225E8">
        <w:t>ing it</w:t>
      </w:r>
      <w:r w:rsidR="009E5FD4">
        <w:t xml:space="preserve"> along with mention of emerging approaches</w:t>
      </w:r>
      <w:r w:rsidR="001F4ACA">
        <w:t xml:space="preserve"> </w:t>
      </w:r>
      <w:r w:rsidR="00B901AA">
        <w:t>in Section 4</w:t>
      </w:r>
      <w:r w:rsidR="00E35A0C">
        <w:t>.</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56165A62" w:rsidR="005017C2" w:rsidRPr="00185B78" w:rsidRDefault="00847E0C" w:rsidP="007A0AEE">
      <w:pPr>
        <w:ind w:left="708"/>
      </w:pPr>
      <w:r w:rsidRPr="003F7815">
        <w:rPr>
          <w:b/>
          <w:bCs/>
        </w:rPr>
        <w:t>Response 2.7:</w:t>
      </w:r>
      <w:r>
        <w:t xml:space="preserve"> </w:t>
      </w:r>
      <w:r w:rsidR="007A0AEE">
        <w:t>We wish to clarify that the Cause Specific Mortality Fraction (CSMF) accuracy</w:t>
      </w:r>
      <w:r w:rsidR="006655BA">
        <w:t xml:space="preserve"> and Partial Chance Corrected Concordance (PCCC)</w:t>
      </w:r>
      <w:r w:rsidR="007A0AEE">
        <w:t xml:space="preserve"> both have error components included in their calculation</w:t>
      </w:r>
      <w:r w:rsidR="006655BA">
        <w:t xml:space="preserve"> when measuring model performance</w:t>
      </w:r>
      <w:r>
        <w:t>.</w:t>
      </w:r>
      <w:r w:rsidR="006655BA">
        <w:t xml:space="preserve"> CSMF accuracy </w:t>
      </w:r>
      <w:r w:rsidR="00385FFD">
        <w:t xml:space="preserve">measures population-level performance and </w:t>
      </w:r>
      <w:r w:rsidR="006655BA">
        <w:t xml:space="preserve">is adjusted by the maximum </w:t>
      </w:r>
      <w:r w:rsidR="00DD5997">
        <w:t xml:space="preserve">total </w:t>
      </w:r>
      <w:r w:rsidR="006655BA">
        <w:t>error</w:t>
      </w:r>
      <w:r w:rsidR="00DD5997">
        <w:t xml:space="preserve"> from the worst model</w:t>
      </w:r>
      <w:r w:rsidR="00385FFD">
        <w:t xml:space="preserve"> (see Appendix B.3.1)</w:t>
      </w:r>
      <w:r w:rsidR="009004D4">
        <w:t>, while PCCC measures individual-level performance</w:t>
      </w:r>
      <w:r w:rsidR="0014313F">
        <w:t xml:space="preserve"> and is corrected for </w:t>
      </w:r>
      <w:r w:rsidR="009004D4">
        <w:t>random chance</w:t>
      </w:r>
      <w:r w:rsidR="006134BE">
        <w:t xml:space="preserve"> (see</w:t>
      </w:r>
      <w:r w:rsidR="00AA2304">
        <w:t xml:space="preserve"> </w:t>
      </w:r>
      <w:r w:rsidR="006134BE">
        <w:t>Appendix B.3.2)</w:t>
      </w:r>
      <w:r w:rsidR="00AD570E">
        <w:t xml:space="preserve">. Both metrics </w:t>
      </w:r>
      <w:r w:rsidR="005546F3">
        <w:t>were</w:t>
      </w:r>
      <w:r w:rsidR="00AD570E">
        <w:t xml:space="preserve"> based on</w:t>
      </w:r>
      <w:r w:rsidR="002D291F">
        <w:t xml:space="preserve"> </w:t>
      </w:r>
      <w:r w:rsidR="002D291F" w:rsidRPr="00D04613">
        <w:fldChar w:fldCharType="begin"/>
      </w:r>
      <w:r w:rsidR="00013DF5">
        <w:instrText xml:space="preserve"> ADDIN ZOTERO_ITEM CSL_CITATION {"citationID":"00000066","properties":{"unsorted":false,"formattedCitation":"[40]","plainCitation":"[40]","noteIndex":0},"citationItems":[{"id":2620,"uris":["http://zotero.org/users/6749620/items/532V639L"],"itemData":{"id":2620,"type":"article-journal","abstract":"Verbal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2D291F" w:rsidRPr="00D04613">
        <w:fldChar w:fldCharType="separate"/>
      </w:r>
      <w:r w:rsidR="00013DF5">
        <w:rPr>
          <w:rFonts w:eastAsiaTheme="minorEastAsia"/>
          <w:lang w:val="en-US"/>
        </w:rPr>
        <w:t>[40]</w:t>
      </w:r>
      <w:r w:rsidR="002D291F" w:rsidRPr="00D04613">
        <w:fldChar w:fldCharType="end"/>
      </w:r>
      <w:r w:rsidR="006655BA">
        <w:t xml:space="preserve">. </w:t>
      </w:r>
      <w:r w:rsidR="008748EC">
        <w:t xml:space="preserve"> Our methods</w:t>
      </w:r>
      <w:r w:rsidR="005270DA">
        <w:t xml:space="preserve"> were</w:t>
      </w:r>
      <w:r w:rsidR="008748EC">
        <w:t xml:space="preserve"> buil</w:t>
      </w:r>
      <w:r w:rsidR="005270DA">
        <w:t>t</w:t>
      </w:r>
      <w:r w:rsidR="008748EC">
        <w:t xml:space="preserve"> on well-cited past studies</w:t>
      </w:r>
      <w:r w:rsidR="00E870AA">
        <w:t xml:space="preserve"> </w:t>
      </w:r>
      <w:r w:rsidR="00E870AA">
        <w:fldChar w:fldCharType="begin"/>
      </w:r>
      <w:r w:rsidR="00013DF5">
        <w:instrText xml:space="preserve"> ADDIN ZOTERO_ITEM CSL_CITATION {"citationID":"8ZjJxA5K","properties":{"formattedCitation":"[22,32,41\\uc0\\u8211{}44]","plainCitation":"[22,32,41–44]","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id":3583,"uris":["http://zotero.org/users/6749620/items/AD65DTMP"],"itemData":{"id":3583,"type":"article-journal","container-title":"Gates open research","page":"63","source":"Google Scholar","title":"Automated verbal autopsy classification: using one-against-all ensemble method and Naïve Bayes classifier","title-short":"Automated verbal autopsy classification","volume":"2","author":[{"family":"Murtaza","given":"Syed Shariyar"},{"family":"Kolpak","given":"Patrycja"},{"family":"Bener","given":"Ayse"},{"family":"Jha","given":"Prabhat"}],"issued":{"date-parts":[["2019"]]},"citation-key":"murtazaAutomatedVerbalAutopsy2019"}},{"id":3582,"uris":["http://zotero.org/users/6749620/items/J5CI8DKT"],"itemData":{"id":3582,"type":"article-journal","container-title":"BMC Medicine","DOI":"10.1186/s12916-015-0521-2","ISSN":"1741-7015","issue":"1","journalAbbreviation":"BMC Med","language":"en","page":"286","source":"DOI.org (Crossref)","title":"Naive Bayes classifiers for verbal autopsies: comparison to physician-based classification for 21,000 child and adult deaths","title-short":"Naive Bayes classifiers for verbal autopsies","volume":"13","author":[{"family":"Miasnikof","given":"Pierre"},{"family":"Giannakeas","given":"Vasily"},{"family":"Gomes","given":"Mireille"},{"family":"Aleksandrowicz","given":"Lukasz"},{"family":"Shestopaloff","given":"Alexander Y."},{"family":"Alam","given":"Dewan"},{"family":"Tollman","given":"Stephen"},{"family":"Samarikhalaj","given":"Akram"},{"family":"Jha","given":"Prabhat"}],"issued":{"date-parts":[["2015",12]]},"citation-key":"miasnikofNaiveBayesClassifiers2015"}}],"schema":"https://github.com/citation-style-language/schema/raw/master/csl-citation.json"} </w:instrText>
      </w:r>
      <w:r w:rsidR="00E870AA">
        <w:fldChar w:fldCharType="separate"/>
      </w:r>
      <w:r w:rsidR="00013DF5" w:rsidRPr="00013DF5">
        <w:rPr>
          <w:rFonts w:ascii="Cambria" w:eastAsiaTheme="minorHAnsi" w:hAnsi="Cambria"/>
          <w:color w:val="000000"/>
          <w:sz w:val="20"/>
          <w:szCs w:val="24"/>
          <w:lang w:val="en-US" w:eastAsia="en-US"/>
          <w14:ligatures w14:val="standardContextual"/>
        </w:rPr>
        <w:t>[22,32,41–44]</w:t>
      </w:r>
      <w:r w:rsidR="00E870AA">
        <w:fldChar w:fldCharType="end"/>
      </w:r>
      <w:r w:rsidR="008748EC">
        <w:t xml:space="preserve"> </w:t>
      </w:r>
      <w:r w:rsidR="002C57F0">
        <w:t>evaluating</w:t>
      </w:r>
      <w:r w:rsidR="008748EC">
        <w:t xml:space="preserve"> </w:t>
      </w:r>
      <w:r w:rsidR="0066077A">
        <w:t xml:space="preserve">Computer Coded Verbal Autopsy </w:t>
      </w:r>
      <w:r w:rsidR="0066077A">
        <w:lastRenderedPageBreak/>
        <w:t>(CCVA) models</w:t>
      </w:r>
      <w:r w:rsidR="008748EC">
        <w:t xml:space="preserve"> using PCCC and CSMF accuracy</w:t>
      </w:r>
      <w:r w:rsidR="00380AC4">
        <w:t xml:space="preserve"> as robust metrics</w:t>
      </w:r>
      <w:r w:rsidR="008748EC">
        <w:t>.</w:t>
      </w:r>
      <w:r w:rsidR="0066077A">
        <w:t xml:space="preserve"> </w:t>
      </w:r>
      <w:r w:rsidR="00EA0629">
        <w:t>In Section 2.3, w</w:t>
      </w:r>
      <w:r w:rsidR="0066077A">
        <w:t xml:space="preserve">e have included clarification of </w:t>
      </w:r>
      <w:r w:rsidR="00D22570">
        <w:t xml:space="preserve">the </w:t>
      </w:r>
      <w:r w:rsidR="0066077A">
        <w:t xml:space="preserve">error adjustments </w:t>
      </w:r>
      <w:r w:rsidR="00D22570">
        <w:t>incorporated into</w:t>
      </w:r>
      <w:r w:rsidR="0066077A">
        <w:t xml:space="preserve"> each metric, and mentioned that PCCC and CSMF accuracy have both been widely used in assessing performance for CCVA models.</w:t>
      </w:r>
      <w:r w:rsidR="00CF4B59">
        <w:t xml:space="preserve"> In addition, we have computed the 95% confidence intervals using bootstrapping (1000 resamples with replacement) for Figures 3 and 5-7 for reference.</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5B421811" w:rsidR="005017C2" w:rsidRPr="00AC6287" w:rsidRDefault="002960BA" w:rsidP="00F66C12">
      <w:pPr>
        <w:ind w:left="700"/>
      </w:pPr>
      <w:r w:rsidRPr="003F7815">
        <w:rPr>
          <w:b/>
          <w:bCs/>
        </w:rPr>
        <w:t>Response 2.</w:t>
      </w:r>
      <w:r w:rsidR="00847E0C">
        <w:rPr>
          <w:b/>
          <w:bCs/>
        </w:rPr>
        <w:t>8</w:t>
      </w:r>
      <w:r w:rsidRPr="003F7815">
        <w:rPr>
          <w:b/>
          <w:bCs/>
        </w:rPr>
        <w:t>:</w:t>
      </w:r>
      <w:r>
        <w:t xml:space="preserve"> </w:t>
      </w:r>
      <w:r w:rsidR="00EB2104">
        <w:t xml:space="preserve">Thank you for bringing this to our attention. </w:t>
      </w:r>
      <w:r w:rsidR="00834F17">
        <w:t>For consistency across GPT models, t</w:t>
      </w:r>
      <w:r w:rsidR="00F66C12">
        <w:t>he records given to the LLM models (GPT-3.5/4/5) were assessed one by one in separate sessions (also known as stateless API calls). Thus,</w:t>
      </w:r>
      <w:r w:rsidR="00FC58FF">
        <w:t xml:space="preserve"> we suspect that</w:t>
      </w:r>
      <w:r w:rsidR="00F66C12">
        <w:t xml:space="preserve"> “memory contamination” </w:t>
      </w:r>
      <w:r w:rsidR="00696144">
        <w:t>in this manner and context</w:t>
      </w:r>
      <w:r w:rsidR="001546CE">
        <w:t xml:space="preserve"> </w:t>
      </w:r>
      <w:r w:rsidR="00696144">
        <w:t>is likely not of concern,</w:t>
      </w:r>
      <w:r w:rsidR="00F66C12">
        <w:t xml:space="preserve"> to the best of our knowledge.</w:t>
      </w:r>
      <w:r w:rsidR="00986D2F">
        <w:t xml:space="preserve"> We have included this information in Appendix B.2.</w:t>
      </w:r>
      <w:r w:rsidR="004F0BF3">
        <w:t>2</w:t>
      </w:r>
      <w:r w:rsidR="00986D2F">
        <w:t xml:space="preserve">, detailing the APIs we had used and our </w:t>
      </w:r>
      <w:r w:rsidR="00DF5BBC">
        <w:t xml:space="preserve">configuration for </w:t>
      </w:r>
      <w:r w:rsidR="00986D2F">
        <w:t>statelessness</w:t>
      </w:r>
      <w:r w:rsidR="00AC6287">
        <w:t>,</w:t>
      </w:r>
      <w:r w:rsidR="00C22587">
        <w:t xml:space="preserve"> in addition to</w:t>
      </w:r>
      <w:r w:rsidR="00AC6287">
        <w:t xml:space="preserve"> describing the setting of the </w:t>
      </w:r>
      <w:r w:rsidR="00AC6287">
        <w:rPr>
          <w:i/>
          <w:iCs/>
        </w:rPr>
        <w:t>store</w:t>
      </w:r>
      <w:r w:rsidR="00AC6287">
        <w:t xml:space="preserve"> parameter to enable statelessness for GPT-5</w:t>
      </w:r>
      <w:r w:rsidR="00055B4D">
        <w:t>. N</w:t>
      </w:r>
      <w:r w:rsidR="00937481">
        <w:t xml:space="preserve">ote that </w:t>
      </w:r>
      <w:r w:rsidR="00D43871">
        <w:t xml:space="preserve">GPT-3.5/4 </w:t>
      </w:r>
      <w:proofErr w:type="gramStart"/>
      <w:r w:rsidR="00D43871">
        <w:t>were</w:t>
      </w:r>
      <w:proofErr w:type="gramEnd"/>
      <w:r w:rsidR="00D43871">
        <w:t xml:space="preserve"> stateless by default</w:t>
      </w:r>
      <w:r w:rsidR="00055B4D">
        <w:t>, and did not require any parameters for statelessness</w:t>
      </w:r>
      <w:r w:rsidR="00D43871">
        <w:t>.</w:t>
      </w:r>
    </w:p>
    <w:p w14:paraId="0F3556BB" w14:textId="019F3318" w:rsidR="00871493" w:rsidRPr="00185B78" w:rsidRDefault="008277F2" w:rsidP="001C1F2E">
      <w:r w:rsidRPr="00185B78">
        <w:t>Was the data in some particular order or contained any groupings, e.g. all children tested together or in blocks?</w:t>
      </w:r>
    </w:p>
    <w:p w14:paraId="3697BAB8" w14:textId="520E7965" w:rsidR="00871493" w:rsidRPr="00185B78" w:rsidRDefault="002960BA" w:rsidP="005F02FA">
      <w:pPr>
        <w:ind w:left="700"/>
      </w:pPr>
      <w:r w:rsidRPr="003F7815">
        <w:rPr>
          <w:b/>
          <w:bCs/>
        </w:rPr>
        <w:t>Response 2.</w:t>
      </w:r>
      <w:r w:rsidR="00847E0C">
        <w:rPr>
          <w:b/>
          <w:bCs/>
        </w:rPr>
        <w:t>9</w:t>
      </w:r>
      <w:r w:rsidRPr="003F7815">
        <w:rPr>
          <w:b/>
          <w:bCs/>
        </w:rPr>
        <w:t>:</w:t>
      </w:r>
      <w:r>
        <w:t xml:space="preserve"> </w:t>
      </w:r>
      <w:r w:rsidR="005F02FA">
        <w:t xml:space="preserve">The data </w:t>
      </w:r>
      <w:r w:rsidR="001B6409">
        <w:t xml:space="preserve">was in the order of record entry by </w:t>
      </w:r>
      <w:r w:rsidR="007D189E">
        <w:t>surveyors and</w:t>
      </w:r>
      <w:r w:rsidR="00E30087">
        <w:t xml:space="preserve"> was</w:t>
      </w:r>
      <w:r w:rsidR="001B6409">
        <w:t xml:space="preserve"> </w:t>
      </w:r>
      <w:r w:rsidR="00746DC8">
        <w:t>tested in two blocks representing a survey round each. Each block contained</w:t>
      </w:r>
      <w:r w:rsidR="00682927">
        <w:t xml:space="preserve"> </w:t>
      </w:r>
      <w:r w:rsidR="00833F54">
        <w:t>all</w:t>
      </w:r>
      <w:r w:rsidR="00682927">
        <w:t xml:space="preserve"> adult (12 to 69 years), child (28 days to 11 years), and neonate (under 28 days)</w:t>
      </w:r>
      <w:r w:rsidR="00746DC8">
        <w:t xml:space="preserve"> records </w:t>
      </w:r>
      <w:r w:rsidR="005E2211">
        <w:t>collected for the</w:t>
      </w:r>
      <w:r w:rsidR="00722E23">
        <w:t xml:space="preserve"> survey </w:t>
      </w:r>
      <w:r w:rsidR="00746DC8">
        <w:t>round</w:t>
      </w:r>
      <w:r>
        <w:t>.</w:t>
      </w:r>
      <w:r w:rsidR="002F6544">
        <w:t xml:space="preserve"> The data was tested in this manner as we receive</w:t>
      </w:r>
      <w:r w:rsidR="003F797E">
        <w:t>d</w:t>
      </w:r>
      <w:r w:rsidR="002F6544">
        <w:t xml:space="preserve"> and process</w:t>
      </w:r>
      <w:r w:rsidR="003F797E">
        <w:t>ed</w:t>
      </w:r>
      <w:r w:rsidR="002F6544">
        <w:t xml:space="preserve"> the verbal autopsy data </w:t>
      </w:r>
      <w:r w:rsidR="001A25BD">
        <w:t>as survey rounds were completed.</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C93FEA"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w:t>
      </w:r>
      <w:r w:rsidR="007E0EEE">
        <w:t>address</w:t>
      </w:r>
      <w:r w:rsidR="005F4A82">
        <w:t xml:space="preserve"> this confusion.</w:t>
      </w:r>
    </w:p>
    <w:p w14:paraId="29EE7EF8" w14:textId="77777777" w:rsidR="008277F2" w:rsidRDefault="008277F2" w:rsidP="001C1F2E">
      <w:r w:rsidRPr="00185B78">
        <w:t>Should Table 1 from discussion be moved to results?</w:t>
      </w:r>
    </w:p>
    <w:p w14:paraId="1BD5C627" w14:textId="64B0AAE4"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w:t>
      </w:r>
      <w:r w:rsidR="000422F3">
        <w:t>.</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0AEA703D" w:rsidR="003F7815" w:rsidRDefault="003F7815" w:rsidP="00B27855">
      <w:pPr>
        <w:ind w:left="700"/>
      </w:pPr>
      <w:r w:rsidRPr="003F7815">
        <w:rPr>
          <w:b/>
          <w:bCs/>
        </w:rPr>
        <w:t>Response 2.1</w:t>
      </w:r>
      <w:r w:rsidR="00847E0C">
        <w:rPr>
          <w:b/>
          <w:bCs/>
        </w:rPr>
        <w:t>2</w:t>
      </w:r>
      <w:r>
        <w:t xml:space="preserve">: </w:t>
      </w:r>
      <w:r w:rsidR="00541013">
        <w:t>We have included agreement data in Table</w:t>
      </w:r>
      <w:r w:rsidR="00326B7D">
        <w:t>s</w:t>
      </w:r>
      <w:r w:rsidR="00541013">
        <w:t xml:space="preserve"> B4 and B5 for reference</w:t>
      </w:r>
      <w:r>
        <w:t>.</w:t>
      </w:r>
      <w:r w:rsidR="00B27855">
        <w:t xml:space="preserve"> We highlighted notable CODs with high and low physician agreement in Section B.</w:t>
      </w:r>
      <w:r w:rsidR="00D94127">
        <w:t>1</w:t>
      </w:r>
      <w:r w:rsidR="00AC0CB3">
        <w:t>.</w:t>
      </w:r>
      <w:r w:rsidR="00B27855">
        <w:t xml:space="preserve"> </w:t>
      </w:r>
      <w:r w:rsidR="00236667">
        <w:t>Additionally, t</w:t>
      </w:r>
      <w:r w:rsidR="00B27855">
        <w:t>he performance of models in relation to physician agreement for CODs</w:t>
      </w:r>
      <w:r w:rsidR="00315156">
        <w:t xml:space="preserve"> </w:t>
      </w:r>
      <w:r w:rsidR="00236667">
        <w:t>was</w:t>
      </w:r>
      <w:r w:rsidR="007A2484">
        <w:t xml:space="preserve"> added to the results</w:t>
      </w:r>
      <w:r w:rsidR="00236667">
        <w:t xml:space="preserve"> </w:t>
      </w:r>
      <w:r w:rsidR="00B27855">
        <w:t>in Sections 3.2 to 3.4.</w:t>
      </w:r>
      <w:r w:rsidR="00AD7E7A">
        <w:t xml:space="preserve"> </w:t>
      </w:r>
      <w:r w:rsidR="00C86462">
        <w:t>For the</w:t>
      </w:r>
      <w:r w:rsidR="00BD660E">
        <w:t xml:space="preserve"> discussion </w:t>
      </w:r>
      <w:r w:rsidR="00C86462">
        <w:t xml:space="preserve">in </w:t>
      </w:r>
      <w:r w:rsidR="00BD660E">
        <w:t>Section 4, w</w:t>
      </w:r>
      <w:r w:rsidR="00AD7E7A">
        <w:t>e note</w:t>
      </w:r>
      <w:r w:rsidR="00BD660E">
        <w:t>d</w:t>
      </w:r>
      <w:r w:rsidR="00AD7E7A">
        <w:t xml:space="preserve"> </w:t>
      </w:r>
      <w:r w:rsidR="00880F38">
        <w:t>physician agreement</w:t>
      </w:r>
      <w:r w:rsidR="00B865AB">
        <w:t xml:space="preserve"> in our data and the high performance of the models for most CODs,</w:t>
      </w:r>
      <w:r w:rsidR="00CD0326">
        <w:t xml:space="preserve"> which provides</w:t>
      </w:r>
      <w:r w:rsidR="00880F38">
        <w:t xml:space="preserve"> the opportunity for improving </w:t>
      </w:r>
      <w:r w:rsidR="00DD5651">
        <w:t xml:space="preserve">physician </w:t>
      </w:r>
      <w:r w:rsidR="00880F38">
        <w:t>agreement with computer assisted verbal autopsy.</w:t>
      </w:r>
    </w:p>
    <w:p w14:paraId="68E28297" w14:textId="4CA4A293" w:rsidR="00B368BF" w:rsidRDefault="00B368BF" w:rsidP="00B368BF">
      <w:pPr>
        <w:pStyle w:val="Heading1"/>
      </w:pPr>
      <w:r>
        <w:lastRenderedPageBreak/>
        <w:t>References</w:t>
      </w:r>
    </w:p>
    <w:p w14:paraId="5D800940" w14:textId="77777777" w:rsidR="00013DF5" w:rsidRPr="00013DF5" w:rsidRDefault="00B368BF" w:rsidP="00643D65">
      <w:pPr>
        <w:pStyle w:val="Bibliography"/>
        <w:spacing w:before="0" w:beforeAutospacing="0" w:after="0" w:afterAutospacing="0"/>
        <w:ind w:left="386" w:hanging="386"/>
        <w:rPr>
          <w:rFonts w:eastAsiaTheme="minorHAnsi"/>
          <w:lang w:val="en-US" w:eastAsia="en-US"/>
        </w:rPr>
      </w:pPr>
      <w:r>
        <w:rPr>
          <w:bCs/>
        </w:rPr>
        <w:fldChar w:fldCharType="begin"/>
      </w:r>
      <w:r w:rsidR="00E870AA">
        <w:rPr>
          <w:bCs/>
        </w:rPr>
        <w:instrText xml:space="preserve"> ADDIN ZOTERO_BIBL {"uncited":[],"omitted":[],"custom":[]} CSL_BIBLIOGRAPHY </w:instrText>
      </w:r>
      <w:r>
        <w:rPr>
          <w:bCs/>
        </w:rPr>
        <w:fldChar w:fldCharType="separate"/>
      </w:r>
      <w:r w:rsidR="00013DF5" w:rsidRPr="00013DF5">
        <w:rPr>
          <w:rFonts w:eastAsiaTheme="minorHAnsi"/>
          <w:lang w:val="en-US" w:eastAsia="en-US"/>
        </w:rPr>
        <w:t xml:space="preserve">1. </w:t>
      </w:r>
      <w:r w:rsidR="00013DF5" w:rsidRPr="00013DF5">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13EFC09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 </w:t>
      </w:r>
      <w:r w:rsidRPr="00013DF5">
        <w:rPr>
          <w:rFonts w:eastAsiaTheme="minorHAnsi"/>
          <w:lang w:val="en-US" w:eastAsia="en-US"/>
        </w:rPr>
        <w:tab/>
        <w:t>OpenAI. Using GPT-5 [Internet]. OpenAI API. 2025 [cited 2025 Oct 14]. Available from: https://platform.openai.com/docs/guides/latest-model</w:t>
      </w:r>
    </w:p>
    <w:p w14:paraId="6FBBCFE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 </w:t>
      </w:r>
      <w:r w:rsidRPr="00013DF5">
        <w:rPr>
          <w:rFonts w:eastAsiaTheme="minorHAnsi"/>
          <w:lang w:val="en-US" w:eastAsia="en-US"/>
        </w:rPr>
        <w:tab/>
        <w:t>OpenAI, Singh M. GPT-5 New Params and Tools [Internet]. OpenAI Cookbook. 2025 [cited 2025 Oct 14]. Available from: https://cookbook.openai.com/examples/gpt-5/gpt-5_new_params_and_tools</w:t>
      </w:r>
    </w:p>
    <w:p w14:paraId="132468A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 </w:t>
      </w:r>
      <w:r w:rsidRPr="00013DF5">
        <w:rPr>
          <w:rFonts w:eastAsiaTheme="minorHAnsi"/>
          <w:lang w:val="en-US" w:eastAsia="en-US"/>
        </w:rPr>
        <w:tab/>
        <w:t xml:space="preserve">Krishna S, Bhambra N, Bleakney R, Bhayana R, Atzen S. Evaluation of Reliability, Repeatability, Robustness, and Confidence of GPT-3.5 and GPT-4 on a Radiology Board–style Examination. Moy L, editor. Radiology. 2024 May 1;311(2):e232715. </w:t>
      </w:r>
    </w:p>
    <w:p w14:paraId="76CE9E8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5. </w:t>
      </w:r>
      <w:r w:rsidRPr="00013DF5">
        <w:rPr>
          <w:rFonts w:eastAsiaTheme="minorHAnsi"/>
          <w:lang w:val="en-US" w:eastAsia="en-US"/>
        </w:rPr>
        <w:tab/>
        <w:t>Jang ME, Lukasiewicz T. Consistency Analysis of ChatGPT [Internet]. arXiv; 2023 [cited 2024 July 6]. Available from: http://arxiv.org/abs/2303.06273</w:t>
      </w:r>
    </w:p>
    <w:p w14:paraId="6FA3E00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6. </w:t>
      </w:r>
      <w:r w:rsidRPr="00013DF5">
        <w:rPr>
          <w:rFonts w:eastAsiaTheme="minorHAnsi"/>
          <w:lang w:val="en-US" w:eastAsia="en-US"/>
        </w:rPr>
        <w:tab/>
        <w:t xml:space="preserve">Johnson D, Goodman R, Patrinely J, Stone C, Zimmerman E, Donald R, et al. Assessing the Accuracy and Reliability of AI-Generated Medical Responses: An Evaluation of the Chat-GPT Model. Res Sq. 2023 Feb 28;rs.3.rs-2566942. </w:t>
      </w:r>
    </w:p>
    <w:p w14:paraId="7CD56D1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7. </w:t>
      </w:r>
      <w:r w:rsidRPr="00013DF5">
        <w:rPr>
          <w:rFonts w:eastAsiaTheme="minorHAnsi"/>
          <w:lang w:val="en-US" w:eastAsia="en-US"/>
        </w:rPr>
        <w:tab/>
        <w:t xml:space="preserve">Olatunji IE, Rauch J, Katzensteiner M, Khosla M. A Review of Anonymization for Healthcare Data. Big Data. 2024 Dec 1;12(6):538–55. </w:t>
      </w:r>
    </w:p>
    <w:p w14:paraId="22C6E66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8. </w:t>
      </w:r>
      <w:r w:rsidRPr="00013DF5">
        <w:rPr>
          <w:rFonts w:eastAsiaTheme="minorHAnsi"/>
          <w:lang w:val="en-US" w:eastAsia="en-US"/>
        </w:rPr>
        <w:tab/>
        <w:t xml:space="preserve">Vovk O, Piho G, Ross P. Methods and tools for healthcare data anonymization: a literature review. International Journal of General Systems. 2023 Apr 3;52(3):326–42. </w:t>
      </w:r>
    </w:p>
    <w:p w14:paraId="43817ED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9. </w:t>
      </w:r>
      <w:r w:rsidRPr="00013DF5">
        <w:rPr>
          <w:rFonts w:eastAsiaTheme="minorHAnsi"/>
          <w:lang w:val="en-US" w:eastAsia="en-US"/>
        </w:rPr>
        <w:tab/>
        <w:t xml:space="preserve">Zuo Z, Watson M, Budgen D, Hall R, Kennelly C, Al Moubayed N. Data Anonymization for Pervasive Health Care: Systematic Literature Mapping Study. JMIR Med Inform. 2021 Oct 15;9(10):e29871. </w:t>
      </w:r>
    </w:p>
    <w:p w14:paraId="59EBE940"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10. </w:t>
      </w:r>
      <w:r w:rsidRPr="00013DF5">
        <w:rPr>
          <w:rFonts w:eastAsiaTheme="minorHAnsi"/>
          <w:lang w:val="en-US" w:eastAsia="en-US"/>
        </w:rPr>
        <w:tab/>
        <w:t xml:space="preserve">Das BC, Amini MH, Wu Y. Security and Privacy Challenges of Large Language Models: A Survey. ACM Comput Surv. 2025 June 30;57(6):1–39. </w:t>
      </w:r>
    </w:p>
    <w:p w14:paraId="4A6032B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11. </w:t>
      </w:r>
      <w:r w:rsidRPr="00013DF5">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6786509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12. </w:t>
      </w:r>
      <w:r w:rsidRPr="00013DF5">
        <w:rPr>
          <w:rFonts w:eastAsiaTheme="minorHAnsi"/>
          <w:lang w:val="en-US" w:eastAsia="en-US"/>
        </w:rPr>
        <w:tab/>
        <w:t xml:space="preserve">Corradini F, Leonesi M, Piangerelli M. State of the Art and Future Directions of Small Language Models: A Systematic Review. Big Data and Cognitive Computing. 2025;9(7):189. </w:t>
      </w:r>
    </w:p>
    <w:p w14:paraId="26CFE22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13. </w:t>
      </w:r>
      <w:r w:rsidRPr="00013DF5">
        <w:rPr>
          <w:rFonts w:eastAsiaTheme="minorHAnsi"/>
          <w:lang w:val="en-US" w:eastAsia="en-US"/>
        </w:rPr>
        <w:tab/>
        <w:t xml:space="preserve">Setel PW, Macfarlane SB, Szreter S, Mikkelsen L, Jha P, Stout S, et al. A scandal of invisibility: making everyone count by counting everyone. The Lancet. 2007;370(9598):1569–77. </w:t>
      </w:r>
    </w:p>
    <w:p w14:paraId="10244F8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14. </w:t>
      </w:r>
      <w:r w:rsidRPr="00013DF5">
        <w:rPr>
          <w:rFonts w:eastAsiaTheme="minorHAnsi"/>
          <w:lang w:val="en-US" w:eastAsia="en-US"/>
        </w:rPr>
        <w:tab/>
        <w:t xml:space="preserve">Byass P. The Imperfect World of Global Health Estimates. PLoS Med. 2010 Nov 30;7(11):e1001006. </w:t>
      </w:r>
    </w:p>
    <w:p w14:paraId="5C0AF76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15. </w:t>
      </w:r>
      <w:r w:rsidRPr="00013DF5">
        <w:rPr>
          <w:rFonts w:eastAsiaTheme="minorHAnsi"/>
          <w:lang w:val="en-US" w:eastAsia="en-US"/>
        </w:rPr>
        <w:tab/>
        <w:t xml:space="preserve">Fottrell E, Byass P. Verbal autopsy: methods in transition. Epidemiologic reviews. 2010;32(1):38–55. </w:t>
      </w:r>
    </w:p>
    <w:p w14:paraId="2BC3228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16. </w:t>
      </w:r>
      <w:r w:rsidRPr="00013DF5">
        <w:rPr>
          <w:rFonts w:eastAsiaTheme="minorHAnsi"/>
          <w:lang w:val="en-US" w:eastAsia="en-US"/>
        </w:rPr>
        <w:tab/>
        <w:t xml:space="preserve">Wang S, Zhu Y, Liu H, Zheng Z, Chen C, Li J. Knowledge Editing for Large Language Models: A Survey. ACM Comput Surv. 2024 Nov 11;57(3):59:1-59:37. </w:t>
      </w:r>
    </w:p>
    <w:p w14:paraId="78119B7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17. </w:t>
      </w:r>
      <w:r w:rsidRPr="00013DF5">
        <w:rPr>
          <w:rFonts w:eastAsiaTheme="minorHAnsi"/>
          <w:lang w:val="en-US" w:eastAsia="en-US"/>
        </w:rPr>
        <w:tab/>
        <w:t xml:space="preserve">Nalmpatian A, Heumann C, Alkaya L, Jackson W. Transfer learning for mortality risk: A case study on the United Kingdom. PLoS One. 2025;20(5):e0313378. </w:t>
      </w:r>
    </w:p>
    <w:p w14:paraId="56871EE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18. </w:t>
      </w:r>
      <w:r w:rsidRPr="00013DF5">
        <w:rPr>
          <w:rFonts w:eastAsiaTheme="minorHAnsi"/>
          <w:lang w:val="en-US" w:eastAsia="en-US"/>
        </w:rPr>
        <w:tab/>
        <w:t xml:space="preserve">Singh H, Mhasawade V, Chunara R. Generalizability challenges of mortality risk prediction models: A retrospective analysis on a multi-center database. PLOS Digital Health. 2022 Apr 5;1(4):e0000023. </w:t>
      </w:r>
    </w:p>
    <w:p w14:paraId="18B9F7AA"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19. </w:t>
      </w:r>
      <w:r w:rsidRPr="00013DF5">
        <w:rPr>
          <w:rFonts w:eastAsiaTheme="minorHAnsi"/>
          <w:lang w:val="en-US" w:eastAsia="en-US"/>
        </w:rPr>
        <w:tab/>
        <w:t xml:space="preserve">Jiang LY, Liu XC, Nejatian NP, Nasir-Moin M, Wang D, Abidin A, et al. Health system-scale language models are all-purpose prediction engines. Nature. 2023;619(7969):357–62. </w:t>
      </w:r>
    </w:p>
    <w:p w14:paraId="315EE38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20. </w:t>
      </w:r>
      <w:r w:rsidRPr="00013DF5">
        <w:rPr>
          <w:rFonts w:eastAsiaTheme="minorHAnsi"/>
          <w:lang w:val="en-US" w:eastAsia="en-US"/>
        </w:rPr>
        <w:tab/>
        <w:t>Zhang Z, Zhao J, Zhang Q, Gui T, Huang X. Unveiling Linguistic Regions in Large Language Models [Internet]. arXiv; 2024 [cited 2025 Oct 20]. Available from: http://arxiv.org/abs/2402.14700</w:t>
      </w:r>
    </w:p>
    <w:p w14:paraId="204AFF9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lastRenderedPageBreak/>
        <w:t xml:space="preserve">21. </w:t>
      </w:r>
      <w:r w:rsidRPr="00013DF5">
        <w:rPr>
          <w:rFonts w:eastAsiaTheme="minorHAnsi"/>
          <w:lang w:val="en-US" w:eastAsia="en-US"/>
        </w:rPr>
        <w:tab/>
        <w:t>Dunn J, Adams B, Madabushi HT. Pre-Trained Language Models Represent Some Geographic Populations Better Than Others [Internet]. arXiv; 2024 [cited 2025 Oct 20]. Available from: http://arxiv.org/abs/2403.11025</w:t>
      </w:r>
    </w:p>
    <w:p w14:paraId="783D20D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22. </w:t>
      </w:r>
      <w:r w:rsidRPr="00013DF5">
        <w:rPr>
          <w:rFonts w:eastAsiaTheme="minorHAnsi"/>
          <w:lang w:val="en-US" w:eastAsia="en-US"/>
        </w:rPr>
        <w:tab/>
        <w:t xml:space="preserve">Jeblee S, Gomes M, Jha P, Rudzicz F, Hirst G. Automatically determining cause of death from verbal autopsy narratives. BMC Med Inform Decis Mak. 2019 July 9;19(1):127. </w:t>
      </w:r>
    </w:p>
    <w:p w14:paraId="5C22E7F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23. </w:t>
      </w:r>
      <w:r w:rsidRPr="00013DF5">
        <w:rPr>
          <w:rFonts w:eastAsiaTheme="minorHAnsi"/>
          <w:lang w:val="en-US" w:eastAsia="en-US"/>
        </w:rPr>
        <w:tab/>
        <w:t xml:space="preserve">Blanco A, Pérez A, Casillas A, Cobos D. Extracting Cause of Death From Verbal Autopsy With Deep Learning Interpretable Methods. IEEE Journal of Biomedical and Health Informatics. 2021 Apr;25(4):1315–25. </w:t>
      </w:r>
    </w:p>
    <w:p w14:paraId="422B0B83"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24. </w:t>
      </w:r>
      <w:r w:rsidRPr="00013DF5">
        <w:rPr>
          <w:rFonts w:eastAsiaTheme="minorHAnsi"/>
          <w:lang w:val="en-US" w:eastAsia="en-US"/>
        </w:rPr>
        <w:tab/>
        <w:t xml:space="preserve">King C, Zamawe C, Banda M, Bar-Zeev N, Beard J, Bird J, et al. The quality and diagnostic value of open narratives in verbal autopsy: a mixed-methods analysis of partnered interviews from Malawi. BMC Med Res Methodol. 2016 Feb 1;16(1):13. </w:t>
      </w:r>
    </w:p>
    <w:p w14:paraId="08656D5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25. </w:t>
      </w:r>
      <w:r w:rsidRPr="00013DF5">
        <w:rPr>
          <w:rFonts w:eastAsiaTheme="minorHAnsi"/>
          <w:lang w:val="en-US" w:eastAsia="en-US"/>
        </w:rPr>
        <w:tab/>
        <w:t xml:space="preserve">Byass P, Hussain-Alkhateeb L, D’Ambruoso L, Clark S, Davies J, Fottrell E, et al. An integrated approach to processing WHO-2016 verbal autopsy data: the InterVA-5 model. BMC Medicine. 2019 May 30;17(1):102. </w:t>
      </w:r>
    </w:p>
    <w:p w14:paraId="361F964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26. </w:t>
      </w:r>
      <w:r w:rsidRPr="00013DF5">
        <w:rPr>
          <w:rFonts w:eastAsiaTheme="minorHAnsi"/>
          <w:lang w:val="en-US" w:eastAsia="en-US"/>
        </w:rPr>
        <w:tab/>
        <w:t xml:space="preserve">McCormick TH, Li ZR, Calvert C, Crampin AC, Kahn K, Clark SJ. Probabilistic Cause-of-death Assignment using Verbal Autopsies. J Am Stat Assoc. 2016;111(515):1036–49. </w:t>
      </w:r>
    </w:p>
    <w:p w14:paraId="74D4805F"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27. </w:t>
      </w:r>
      <w:r w:rsidRPr="00013DF5">
        <w:rPr>
          <w:rFonts w:eastAsiaTheme="minorHAnsi"/>
          <w:lang w:val="en-US" w:eastAsia="en-US"/>
        </w:rPr>
        <w:tab/>
        <w:t xml:space="preserve">Henderson T, Shepheard J, Sundararajan V. Quality of diagnosis and procedure coding in ICD-10 administrative data. Medical care. 2006;44(11):1011–9. </w:t>
      </w:r>
    </w:p>
    <w:p w14:paraId="174DBC4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28. </w:t>
      </w:r>
      <w:r w:rsidRPr="00013DF5">
        <w:rPr>
          <w:rFonts w:eastAsiaTheme="minorHAnsi"/>
          <w:lang w:val="en-US" w:eastAsia="en-US"/>
        </w:rPr>
        <w:tab/>
        <w:t xml:space="preserve">Mezzich JE. International surveys on the use of ICD-10 and related diagnostic systems. Psychopathology. 2002;35(2–3):72–5. </w:t>
      </w:r>
    </w:p>
    <w:p w14:paraId="1C3C4B01"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29. </w:t>
      </w:r>
      <w:r w:rsidRPr="00013DF5">
        <w:rPr>
          <w:rFonts w:eastAsiaTheme="minorHAnsi"/>
          <w:lang w:val="en-US" w:eastAsia="en-US"/>
        </w:rPr>
        <w:tab/>
        <w:t xml:space="preserve">Hirsch JA, Nicola G, McGinty G, Liu RW, Barr RM, Chittle MD, et al. ICD-10: history and context. American Journal of Neuroradiology. 2016;37(4):596–9. </w:t>
      </w:r>
    </w:p>
    <w:p w14:paraId="5016381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30. </w:t>
      </w:r>
      <w:r w:rsidRPr="00013DF5">
        <w:rPr>
          <w:rFonts w:eastAsiaTheme="minorHAnsi"/>
          <w:lang w:val="en-US" w:eastAsia="en-US"/>
        </w:rPr>
        <w:tab/>
        <w:t xml:space="preserve">Watzlaf VJ, Garvin JH, Moeini S, Anania-Firouzan P. The effectiveness of ICD-10-CM in capturing public health diseases. Perspectives in Health Information Management/AHIMA, American Health Information Management Association. 2007;4:6. </w:t>
      </w:r>
    </w:p>
    <w:p w14:paraId="7F726BD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31. </w:t>
      </w:r>
      <w:r w:rsidRPr="00013DF5">
        <w:rPr>
          <w:rFonts w:eastAsiaTheme="minorHAnsi"/>
          <w:lang w:val="en-US" w:eastAsia="en-US"/>
        </w:rPr>
        <w:tab/>
        <w:t xml:space="preserve">Hsu MC, Wang CC, Huang LY, Lin CY, Lin FJ, Toh S. Effect of ICD-9-CM to ICD-10-CM coding system transition on identification of common conditions: An interrupted time series analysis. Pharmacoepidemiology and Drug Safety. 2021;30(12):1653–74. </w:t>
      </w:r>
    </w:p>
    <w:p w14:paraId="63A04516"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32. </w:t>
      </w:r>
      <w:r w:rsidRPr="00013DF5">
        <w:rPr>
          <w:rFonts w:eastAsiaTheme="minorHAnsi"/>
          <w:lang w:val="en-US" w:eastAsia="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1687545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33. </w:t>
      </w:r>
      <w:r w:rsidRPr="00013DF5">
        <w:rPr>
          <w:rFonts w:eastAsiaTheme="minorHAnsi"/>
          <w:lang w:val="en-US" w:eastAsia="en-US"/>
        </w:rPr>
        <w:tab/>
        <w:t xml:space="preserve">Ramirez-Villalobos D, Stewart AL, Romero M, Gomez S, Flaxman AD, Hernandez B. Analysis of causes of death using verbal autopsies and vital registration in Hidalgo, Mexico. PLOS ONE. 2019 July 3;14(7):e0218438. </w:t>
      </w:r>
    </w:p>
    <w:p w14:paraId="60BBE81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34. </w:t>
      </w:r>
      <w:r w:rsidRPr="00013DF5">
        <w:rPr>
          <w:rFonts w:eastAsiaTheme="minorHAnsi"/>
          <w:lang w:val="en-US" w:eastAsia="en-US"/>
        </w:rPr>
        <w:tab/>
        <w:t>King G, Lu Y. Verbal autopsy methods with multiple causes of death. 2008 [cited 2025 Oct 23]; Available from: https://projecteuclid.org/journals/statistical-science/volume-23/issue-1/Verbal-Autopsy-Methods-with-Multiple-Causes-of-Death/10.1214/07-STS247.short</w:t>
      </w:r>
    </w:p>
    <w:p w14:paraId="23C3D409"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35. </w:t>
      </w:r>
      <w:r w:rsidRPr="00013DF5">
        <w:rPr>
          <w:rFonts w:eastAsiaTheme="minorHAnsi"/>
          <w:lang w:val="en-US" w:eastAsia="en-US"/>
        </w:rPr>
        <w:tab/>
        <w:t xml:space="preserve">Murray CJ, Lopez AD, Black R, Ahuja R, Ali SM, Baqui A, et al. Population Health Metrics Research Consortium gold standard verbal autopsy validation study: design, implementation, and development of analysis datasets. Population Health Metrics. 2011 Aug 4;9(1):27. </w:t>
      </w:r>
    </w:p>
    <w:p w14:paraId="2AAA25A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36. </w:t>
      </w:r>
      <w:r w:rsidRPr="00013DF5">
        <w:rPr>
          <w:rFonts w:eastAsiaTheme="minorHAnsi"/>
          <w:lang w:val="en-US" w:eastAsia="en-US"/>
        </w:rPr>
        <w:tab/>
        <w:t>Liu X, Chen T, Da L, Chen C, Lin Z, Wei H. Uncertainty Quantification and Confidence Calibration in Large Language Models: A Survey. In: Proceedings of the 31st ACM SIGKDD Conference on Knowledge Discovery and Data Mining V2 [Internet]. Toronto ON Canada: ACM; 2025 [cited 2025 Oct 23]. p. 6107–17. Available from: https://dl.acm.org/doi/10.1145/3711896.3736569</w:t>
      </w:r>
    </w:p>
    <w:p w14:paraId="5C733CFA"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37. </w:t>
      </w:r>
      <w:r w:rsidRPr="00013DF5">
        <w:rPr>
          <w:rFonts w:eastAsiaTheme="minorHAnsi"/>
          <w:lang w:val="en-US" w:eastAsia="en-US"/>
        </w:rPr>
        <w:tab/>
        <w:t>Mosbach M, Andriushchenko M, Klakow D. On the Stability of Fine-tuning BERT: Misconceptions, Explanations, and Strong Baselines [Internet]. arXiv; 2021 [cited 2025 Oct 23]. Available from: http://arxiv.org/abs/2006.04884</w:t>
      </w:r>
    </w:p>
    <w:p w14:paraId="4BF71D55"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38. </w:t>
      </w:r>
      <w:r w:rsidRPr="00013DF5">
        <w:rPr>
          <w:rFonts w:eastAsiaTheme="minorHAnsi"/>
          <w:lang w:val="en-US" w:eastAsia="en-US"/>
        </w:rPr>
        <w:tab/>
        <w:t>Dodge J, Ilharco G, Schwartz R, Farhadi A, Hajishirzi H, Smith N. Fine-Tuning Pretrained Language Models: Weight Initializations, Data Orders, and Early Stopping [Internet]. arXiv; 2020 [cited 2025 Oct 23]. Available from: http://arxiv.org/abs/2002.06305</w:t>
      </w:r>
    </w:p>
    <w:p w14:paraId="622D2FE7"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lastRenderedPageBreak/>
        <w:t xml:space="preserve">39. </w:t>
      </w:r>
      <w:r w:rsidRPr="00013DF5">
        <w:rPr>
          <w:rFonts w:eastAsiaTheme="minorHAnsi"/>
          <w:lang w:val="en-US" w:eastAsia="en-US"/>
        </w:rPr>
        <w:tab/>
        <w:t>Byrne MD. How many times should a stochastic model be run? An approach based on confidence intervals. In: Proceedings of the 12th International conference on cognitive modeling, Ottawa [Internet]. 2013 [cited 2025 Oct 23]. Available from: https://iccm-conference.neocities.org/2013/proceedings/papers/0083/paper0083.pdf</w:t>
      </w:r>
    </w:p>
    <w:p w14:paraId="7A938B94"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40. </w:t>
      </w:r>
      <w:r w:rsidRPr="00013DF5">
        <w:rPr>
          <w:rFonts w:eastAsiaTheme="minorHAnsi"/>
          <w:lang w:val="en-US" w:eastAsia="en-US"/>
        </w:rPr>
        <w:tab/>
        <w:t xml:space="preserve">Murray CJ, Lozano R, Flaxman AD, Vahdatpour A, Lopez AD. Robust metrics for assessing the performance of different verbal autopsy cause assignment methods in validation studies. Population Health Metrics. 2011 Aug 4;9(1):28. </w:t>
      </w:r>
    </w:p>
    <w:p w14:paraId="095EA4BB"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41. </w:t>
      </w:r>
      <w:r w:rsidRPr="00013DF5">
        <w:rPr>
          <w:rFonts w:eastAsiaTheme="minorHAnsi"/>
          <w:lang w:val="en-US" w:eastAsia="en-US"/>
        </w:rPr>
        <w:tab/>
        <w:t xml:space="preserve">Jha P, Kumar D, Dikshit R, Budukh A, Begum R, Sati P, et al. Automated versus physician assignment of cause of death for verbal autopsies: randomized trial of 9374 deaths in 117 villages in India. BMC Medicine. 2019 June 27;17(1):116. </w:t>
      </w:r>
    </w:p>
    <w:p w14:paraId="0EE24612"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42. </w:t>
      </w:r>
      <w:r w:rsidRPr="00013DF5">
        <w:rPr>
          <w:rFonts w:eastAsiaTheme="minorHAnsi"/>
          <w:lang w:val="en-US" w:eastAsia="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19A6D37E"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43. </w:t>
      </w:r>
      <w:r w:rsidRPr="00013DF5">
        <w:rPr>
          <w:rFonts w:eastAsiaTheme="minorHAnsi"/>
          <w:lang w:val="en-US" w:eastAsia="en-US"/>
        </w:rPr>
        <w:tab/>
        <w:t xml:space="preserve">Murtaza SS, Kolpak P, Bener A, Jha P. Automated verbal autopsy classification: using one-against-all ensemble method and Naïve Bayes classifier. Gates open research. 2019;2:63. </w:t>
      </w:r>
    </w:p>
    <w:p w14:paraId="300C5008" w14:textId="77777777" w:rsidR="00013DF5" w:rsidRPr="00013DF5" w:rsidRDefault="00013DF5" w:rsidP="00643D65">
      <w:pPr>
        <w:pStyle w:val="Bibliography"/>
        <w:spacing w:before="0" w:beforeAutospacing="0" w:after="0" w:afterAutospacing="0"/>
        <w:ind w:left="386" w:hanging="386"/>
        <w:rPr>
          <w:rFonts w:eastAsiaTheme="minorHAnsi"/>
          <w:lang w:val="en-US" w:eastAsia="en-US"/>
        </w:rPr>
      </w:pPr>
      <w:r w:rsidRPr="00013DF5">
        <w:rPr>
          <w:rFonts w:eastAsiaTheme="minorHAnsi"/>
          <w:lang w:val="en-US" w:eastAsia="en-US"/>
        </w:rPr>
        <w:t xml:space="preserve">44. </w:t>
      </w:r>
      <w:r w:rsidRPr="00013DF5">
        <w:rPr>
          <w:rFonts w:eastAsiaTheme="minorHAnsi"/>
          <w:lang w:val="en-US" w:eastAsia="en-US"/>
        </w:rPr>
        <w:tab/>
        <w:t xml:space="preserve">Miasnikof P, Giannakeas V, Gomes M, Aleksandrowicz L, Shestopaloff AY, Alam D, et al. Naive Bayes classifiers for verbal autopsies: comparison to physician-based classification for 21,000 child and adult deaths. BMC Med. 2015 Dec;13(1):286. </w:t>
      </w:r>
    </w:p>
    <w:p w14:paraId="3A361482" w14:textId="636712C7" w:rsidR="00B368BF" w:rsidRPr="00185B78" w:rsidRDefault="00B368BF" w:rsidP="00643D65">
      <w:pPr>
        <w:pStyle w:val="Bibliography"/>
        <w:spacing w:before="0" w:beforeAutospacing="0" w:after="0" w:afterAutospacing="0"/>
        <w:ind w:left="386" w:hanging="386"/>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CCA25" w14:textId="77777777" w:rsidR="00AE0ABF" w:rsidRDefault="00AE0ABF" w:rsidP="001C1F2E">
      <w:r>
        <w:separator/>
      </w:r>
    </w:p>
  </w:endnote>
  <w:endnote w:type="continuationSeparator" w:id="0">
    <w:p w14:paraId="6A76B2DF" w14:textId="77777777" w:rsidR="00AE0ABF" w:rsidRDefault="00AE0ABF"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508F3" w14:textId="77777777" w:rsidR="00AE0ABF" w:rsidRDefault="00AE0ABF" w:rsidP="001C1F2E">
      <w:r>
        <w:separator/>
      </w:r>
    </w:p>
  </w:footnote>
  <w:footnote w:type="continuationSeparator" w:id="0">
    <w:p w14:paraId="62D04CA0" w14:textId="77777777" w:rsidR="00AE0ABF" w:rsidRDefault="00AE0ABF"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381"/>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activeWritingStyle w:appName="MSWord" w:lang="en-CA"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3DF5"/>
    <w:rsid w:val="00016318"/>
    <w:rsid w:val="00024A36"/>
    <w:rsid w:val="00025757"/>
    <w:rsid w:val="00030766"/>
    <w:rsid w:val="00030A46"/>
    <w:rsid w:val="00030BF9"/>
    <w:rsid w:val="000323A2"/>
    <w:rsid w:val="000335DE"/>
    <w:rsid w:val="00034612"/>
    <w:rsid w:val="00034FDB"/>
    <w:rsid w:val="00040E50"/>
    <w:rsid w:val="00041939"/>
    <w:rsid w:val="000422F3"/>
    <w:rsid w:val="00055B4D"/>
    <w:rsid w:val="00056BF6"/>
    <w:rsid w:val="000579E2"/>
    <w:rsid w:val="000610B7"/>
    <w:rsid w:val="00064D91"/>
    <w:rsid w:val="000826F9"/>
    <w:rsid w:val="000844EC"/>
    <w:rsid w:val="00096D18"/>
    <w:rsid w:val="000A24CA"/>
    <w:rsid w:val="000A2ACC"/>
    <w:rsid w:val="000A39F0"/>
    <w:rsid w:val="000A63C3"/>
    <w:rsid w:val="000A6ECD"/>
    <w:rsid w:val="000B05C2"/>
    <w:rsid w:val="000B133F"/>
    <w:rsid w:val="000B47CB"/>
    <w:rsid w:val="000C50F9"/>
    <w:rsid w:val="000C637A"/>
    <w:rsid w:val="000D0126"/>
    <w:rsid w:val="000D026A"/>
    <w:rsid w:val="000D3307"/>
    <w:rsid w:val="000E4A9A"/>
    <w:rsid w:val="00100060"/>
    <w:rsid w:val="0010110E"/>
    <w:rsid w:val="00115195"/>
    <w:rsid w:val="00115E22"/>
    <w:rsid w:val="00117208"/>
    <w:rsid w:val="00117DFC"/>
    <w:rsid w:val="00120F76"/>
    <w:rsid w:val="0012527F"/>
    <w:rsid w:val="00127246"/>
    <w:rsid w:val="0013048C"/>
    <w:rsid w:val="0014006E"/>
    <w:rsid w:val="00141A8D"/>
    <w:rsid w:val="001422EA"/>
    <w:rsid w:val="0014313F"/>
    <w:rsid w:val="00146AB2"/>
    <w:rsid w:val="001528C6"/>
    <w:rsid w:val="001546CE"/>
    <w:rsid w:val="00154D1F"/>
    <w:rsid w:val="00160736"/>
    <w:rsid w:val="00161D84"/>
    <w:rsid w:val="001676A6"/>
    <w:rsid w:val="00180CEC"/>
    <w:rsid w:val="00181B35"/>
    <w:rsid w:val="00183B3A"/>
    <w:rsid w:val="00185B78"/>
    <w:rsid w:val="001875AA"/>
    <w:rsid w:val="00195892"/>
    <w:rsid w:val="00196AF1"/>
    <w:rsid w:val="001A139A"/>
    <w:rsid w:val="001A2350"/>
    <w:rsid w:val="001A25BD"/>
    <w:rsid w:val="001B4EA4"/>
    <w:rsid w:val="001B5B1D"/>
    <w:rsid w:val="001B6409"/>
    <w:rsid w:val="001B711C"/>
    <w:rsid w:val="001C0F6A"/>
    <w:rsid w:val="001C1F2E"/>
    <w:rsid w:val="001C7157"/>
    <w:rsid w:val="001C7241"/>
    <w:rsid w:val="001C7EB0"/>
    <w:rsid w:val="001D0A60"/>
    <w:rsid w:val="001D182D"/>
    <w:rsid w:val="001E186A"/>
    <w:rsid w:val="001E2E89"/>
    <w:rsid w:val="001E3B3E"/>
    <w:rsid w:val="001E5FA5"/>
    <w:rsid w:val="001F0030"/>
    <w:rsid w:val="001F317C"/>
    <w:rsid w:val="001F36B3"/>
    <w:rsid w:val="001F4ACA"/>
    <w:rsid w:val="00200C77"/>
    <w:rsid w:val="00204029"/>
    <w:rsid w:val="00207408"/>
    <w:rsid w:val="002108A6"/>
    <w:rsid w:val="002216C1"/>
    <w:rsid w:val="002261F2"/>
    <w:rsid w:val="0023224A"/>
    <w:rsid w:val="00235032"/>
    <w:rsid w:val="00236667"/>
    <w:rsid w:val="0024209E"/>
    <w:rsid w:val="00242290"/>
    <w:rsid w:val="0024278B"/>
    <w:rsid w:val="00243403"/>
    <w:rsid w:val="00243C47"/>
    <w:rsid w:val="002479D3"/>
    <w:rsid w:val="0025245A"/>
    <w:rsid w:val="00256CF3"/>
    <w:rsid w:val="00262278"/>
    <w:rsid w:val="0026347F"/>
    <w:rsid w:val="002637E1"/>
    <w:rsid w:val="00265C13"/>
    <w:rsid w:val="002733B3"/>
    <w:rsid w:val="00274DCB"/>
    <w:rsid w:val="00276571"/>
    <w:rsid w:val="00277608"/>
    <w:rsid w:val="0028692F"/>
    <w:rsid w:val="00295D03"/>
    <w:rsid w:val="00295DAF"/>
    <w:rsid w:val="002960BA"/>
    <w:rsid w:val="002A07DF"/>
    <w:rsid w:val="002A5760"/>
    <w:rsid w:val="002B2179"/>
    <w:rsid w:val="002B4F92"/>
    <w:rsid w:val="002B5B6B"/>
    <w:rsid w:val="002B65A1"/>
    <w:rsid w:val="002C01D4"/>
    <w:rsid w:val="002C57F0"/>
    <w:rsid w:val="002C5986"/>
    <w:rsid w:val="002C65D3"/>
    <w:rsid w:val="002C7048"/>
    <w:rsid w:val="002D291F"/>
    <w:rsid w:val="002D2F6D"/>
    <w:rsid w:val="002D5976"/>
    <w:rsid w:val="002D72FD"/>
    <w:rsid w:val="002D7EA0"/>
    <w:rsid w:val="002E081D"/>
    <w:rsid w:val="002E139B"/>
    <w:rsid w:val="002E356D"/>
    <w:rsid w:val="002E58D4"/>
    <w:rsid w:val="002E59C2"/>
    <w:rsid w:val="002E7DEE"/>
    <w:rsid w:val="002F35B9"/>
    <w:rsid w:val="002F4255"/>
    <w:rsid w:val="002F6544"/>
    <w:rsid w:val="002F7E09"/>
    <w:rsid w:val="003000B3"/>
    <w:rsid w:val="00300383"/>
    <w:rsid w:val="0031023D"/>
    <w:rsid w:val="00310CF4"/>
    <w:rsid w:val="0031382E"/>
    <w:rsid w:val="00315156"/>
    <w:rsid w:val="00320D1B"/>
    <w:rsid w:val="00326B7D"/>
    <w:rsid w:val="00330475"/>
    <w:rsid w:val="003313DA"/>
    <w:rsid w:val="00332129"/>
    <w:rsid w:val="003372B4"/>
    <w:rsid w:val="003375E1"/>
    <w:rsid w:val="00337757"/>
    <w:rsid w:val="003432B7"/>
    <w:rsid w:val="003442AE"/>
    <w:rsid w:val="003544EE"/>
    <w:rsid w:val="00355354"/>
    <w:rsid w:val="00364DFB"/>
    <w:rsid w:val="0036531C"/>
    <w:rsid w:val="00366994"/>
    <w:rsid w:val="003673A4"/>
    <w:rsid w:val="003676FC"/>
    <w:rsid w:val="003706D9"/>
    <w:rsid w:val="00373161"/>
    <w:rsid w:val="00374644"/>
    <w:rsid w:val="003752EB"/>
    <w:rsid w:val="0037600C"/>
    <w:rsid w:val="003803B5"/>
    <w:rsid w:val="00380AC4"/>
    <w:rsid w:val="00384075"/>
    <w:rsid w:val="00385FFD"/>
    <w:rsid w:val="00386C61"/>
    <w:rsid w:val="0039169C"/>
    <w:rsid w:val="003972D5"/>
    <w:rsid w:val="003A3D59"/>
    <w:rsid w:val="003A4043"/>
    <w:rsid w:val="003A4B2A"/>
    <w:rsid w:val="003A72CA"/>
    <w:rsid w:val="003C02BF"/>
    <w:rsid w:val="003C207F"/>
    <w:rsid w:val="003C66A1"/>
    <w:rsid w:val="003D19C9"/>
    <w:rsid w:val="003D5B65"/>
    <w:rsid w:val="003E2728"/>
    <w:rsid w:val="003E3E23"/>
    <w:rsid w:val="003E5984"/>
    <w:rsid w:val="003E63DE"/>
    <w:rsid w:val="003F3910"/>
    <w:rsid w:val="003F48A4"/>
    <w:rsid w:val="003F7815"/>
    <w:rsid w:val="003F797E"/>
    <w:rsid w:val="00401699"/>
    <w:rsid w:val="00404097"/>
    <w:rsid w:val="00405375"/>
    <w:rsid w:val="004063E9"/>
    <w:rsid w:val="00406DA9"/>
    <w:rsid w:val="00406FE8"/>
    <w:rsid w:val="00410EBA"/>
    <w:rsid w:val="004154A4"/>
    <w:rsid w:val="0041644B"/>
    <w:rsid w:val="00421D8A"/>
    <w:rsid w:val="00424F3A"/>
    <w:rsid w:val="00425CE6"/>
    <w:rsid w:val="00427AC6"/>
    <w:rsid w:val="00432EE0"/>
    <w:rsid w:val="00433E08"/>
    <w:rsid w:val="00434476"/>
    <w:rsid w:val="0043754F"/>
    <w:rsid w:val="00442AC1"/>
    <w:rsid w:val="00443238"/>
    <w:rsid w:val="00443820"/>
    <w:rsid w:val="00447206"/>
    <w:rsid w:val="00453034"/>
    <w:rsid w:val="00460FCE"/>
    <w:rsid w:val="00475715"/>
    <w:rsid w:val="0047788F"/>
    <w:rsid w:val="00487C6E"/>
    <w:rsid w:val="0049652E"/>
    <w:rsid w:val="004A1592"/>
    <w:rsid w:val="004A1E5D"/>
    <w:rsid w:val="004A5ABD"/>
    <w:rsid w:val="004B0D0A"/>
    <w:rsid w:val="004B6D1B"/>
    <w:rsid w:val="004B7127"/>
    <w:rsid w:val="004C12CF"/>
    <w:rsid w:val="004C3E3C"/>
    <w:rsid w:val="004D5542"/>
    <w:rsid w:val="004D5FE7"/>
    <w:rsid w:val="004D783A"/>
    <w:rsid w:val="004E18FD"/>
    <w:rsid w:val="004E287F"/>
    <w:rsid w:val="004E3108"/>
    <w:rsid w:val="004E783C"/>
    <w:rsid w:val="004F0BF3"/>
    <w:rsid w:val="004F25F5"/>
    <w:rsid w:val="004F3FCA"/>
    <w:rsid w:val="004F45C2"/>
    <w:rsid w:val="004F46C9"/>
    <w:rsid w:val="00500ACE"/>
    <w:rsid w:val="00500C7D"/>
    <w:rsid w:val="005017C2"/>
    <w:rsid w:val="00506825"/>
    <w:rsid w:val="00512FBF"/>
    <w:rsid w:val="00515B0F"/>
    <w:rsid w:val="00515FB1"/>
    <w:rsid w:val="00521786"/>
    <w:rsid w:val="0052401A"/>
    <w:rsid w:val="005244E7"/>
    <w:rsid w:val="005270DA"/>
    <w:rsid w:val="0053105C"/>
    <w:rsid w:val="0054073B"/>
    <w:rsid w:val="00541013"/>
    <w:rsid w:val="00541A4F"/>
    <w:rsid w:val="00543A87"/>
    <w:rsid w:val="00547219"/>
    <w:rsid w:val="00547E30"/>
    <w:rsid w:val="00550E0B"/>
    <w:rsid w:val="005546F3"/>
    <w:rsid w:val="0055476C"/>
    <w:rsid w:val="00555CCF"/>
    <w:rsid w:val="00557829"/>
    <w:rsid w:val="005614CF"/>
    <w:rsid w:val="00561712"/>
    <w:rsid w:val="00566294"/>
    <w:rsid w:val="005722BB"/>
    <w:rsid w:val="00573A0D"/>
    <w:rsid w:val="005814EE"/>
    <w:rsid w:val="005843E4"/>
    <w:rsid w:val="0058603D"/>
    <w:rsid w:val="00595913"/>
    <w:rsid w:val="0059591B"/>
    <w:rsid w:val="005A17CB"/>
    <w:rsid w:val="005B57A0"/>
    <w:rsid w:val="005B65C5"/>
    <w:rsid w:val="005C33D8"/>
    <w:rsid w:val="005C411E"/>
    <w:rsid w:val="005C502F"/>
    <w:rsid w:val="005D0886"/>
    <w:rsid w:val="005D4E84"/>
    <w:rsid w:val="005D64BB"/>
    <w:rsid w:val="005E2211"/>
    <w:rsid w:val="005E3AB9"/>
    <w:rsid w:val="005E646B"/>
    <w:rsid w:val="005F02FA"/>
    <w:rsid w:val="005F48C5"/>
    <w:rsid w:val="005F4A82"/>
    <w:rsid w:val="005F75A9"/>
    <w:rsid w:val="006020D8"/>
    <w:rsid w:val="00602A97"/>
    <w:rsid w:val="00602FF3"/>
    <w:rsid w:val="00603AA5"/>
    <w:rsid w:val="006069B7"/>
    <w:rsid w:val="006134BE"/>
    <w:rsid w:val="00615B89"/>
    <w:rsid w:val="0062271E"/>
    <w:rsid w:val="0062411D"/>
    <w:rsid w:val="006249A9"/>
    <w:rsid w:val="00626D19"/>
    <w:rsid w:val="00634CC7"/>
    <w:rsid w:val="00642A91"/>
    <w:rsid w:val="00643D65"/>
    <w:rsid w:val="00645617"/>
    <w:rsid w:val="00647F1F"/>
    <w:rsid w:val="00653076"/>
    <w:rsid w:val="00654122"/>
    <w:rsid w:val="0065737D"/>
    <w:rsid w:val="0066077A"/>
    <w:rsid w:val="006655BA"/>
    <w:rsid w:val="00676F13"/>
    <w:rsid w:val="00681560"/>
    <w:rsid w:val="006826ED"/>
    <w:rsid w:val="00682927"/>
    <w:rsid w:val="00683794"/>
    <w:rsid w:val="00683803"/>
    <w:rsid w:val="00687961"/>
    <w:rsid w:val="00687FE9"/>
    <w:rsid w:val="006915D0"/>
    <w:rsid w:val="006922B6"/>
    <w:rsid w:val="00692679"/>
    <w:rsid w:val="006936AB"/>
    <w:rsid w:val="006949DB"/>
    <w:rsid w:val="00694CA9"/>
    <w:rsid w:val="00696144"/>
    <w:rsid w:val="00696737"/>
    <w:rsid w:val="00696D22"/>
    <w:rsid w:val="00697781"/>
    <w:rsid w:val="006B0D88"/>
    <w:rsid w:val="006B2EC0"/>
    <w:rsid w:val="006C1D95"/>
    <w:rsid w:val="006C235E"/>
    <w:rsid w:val="006C312B"/>
    <w:rsid w:val="006C4FDC"/>
    <w:rsid w:val="006C7738"/>
    <w:rsid w:val="006D5797"/>
    <w:rsid w:val="006E0BFD"/>
    <w:rsid w:val="006E7BEC"/>
    <w:rsid w:val="006F09B9"/>
    <w:rsid w:val="006F363E"/>
    <w:rsid w:val="006F45C4"/>
    <w:rsid w:val="0070206C"/>
    <w:rsid w:val="00704427"/>
    <w:rsid w:val="00715C45"/>
    <w:rsid w:val="00720D3B"/>
    <w:rsid w:val="00721BEE"/>
    <w:rsid w:val="00722E23"/>
    <w:rsid w:val="007233E1"/>
    <w:rsid w:val="0073031D"/>
    <w:rsid w:val="0073035A"/>
    <w:rsid w:val="0073091E"/>
    <w:rsid w:val="00731862"/>
    <w:rsid w:val="00746DC8"/>
    <w:rsid w:val="00747318"/>
    <w:rsid w:val="007538CB"/>
    <w:rsid w:val="0076110C"/>
    <w:rsid w:val="007746B3"/>
    <w:rsid w:val="00775473"/>
    <w:rsid w:val="00782E44"/>
    <w:rsid w:val="00787D09"/>
    <w:rsid w:val="0079201F"/>
    <w:rsid w:val="00793E05"/>
    <w:rsid w:val="0079434A"/>
    <w:rsid w:val="00796095"/>
    <w:rsid w:val="0079658E"/>
    <w:rsid w:val="007A0532"/>
    <w:rsid w:val="007A0AEE"/>
    <w:rsid w:val="007A2484"/>
    <w:rsid w:val="007B11A3"/>
    <w:rsid w:val="007B23E6"/>
    <w:rsid w:val="007B3F37"/>
    <w:rsid w:val="007B553B"/>
    <w:rsid w:val="007B668F"/>
    <w:rsid w:val="007B7E9B"/>
    <w:rsid w:val="007C2695"/>
    <w:rsid w:val="007C43B6"/>
    <w:rsid w:val="007C6B76"/>
    <w:rsid w:val="007D0094"/>
    <w:rsid w:val="007D07DE"/>
    <w:rsid w:val="007D189E"/>
    <w:rsid w:val="007D19CF"/>
    <w:rsid w:val="007D2212"/>
    <w:rsid w:val="007D28A5"/>
    <w:rsid w:val="007D62F9"/>
    <w:rsid w:val="007D68F1"/>
    <w:rsid w:val="007D76CE"/>
    <w:rsid w:val="007E0EEE"/>
    <w:rsid w:val="007E1A3F"/>
    <w:rsid w:val="007E28AE"/>
    <w:rsid w:val="007E568E"/>
    <w:rsid w:val="007E637A"/>
    <w:rsid w:val="007F3D4B"/>
    <w:rsid w:val="007F4A23"/>
    <w:rsid w:val="008006E1"/>
    <w:rsid w:val="00806F26"/>
    <w:rsid w:val="00807194"/>
    <w:rsid w:val="00807D35"/>
    <w:rsid w:val="00807F81"/>
    <w:rsid w:val="00810287"/>
    <w:rsid w:val="008250E5"/>
    <w:rsid w:val="008264CF"/>
    <w:rsid w:val="008277F2"/>
    <w:rsid w:val="00833F54"/>
    <w:rsid w:val="00834E2F"/>
    <w:rsid w:val="00834F17"/>
    <w:rsid w:val="00835A22"/>
    <w:rsid w:val="00837FEA"/>
    <w:rsid w:val="00840679"/>
    <w:rsid w:val="00847E0C"/>
    <w:rsid w:val="0085333B"/>
    <w:rsid w:val="008533CA"/>
    <w:rsid w:val="00853BDC"/>
    <w:rsid w:val="00854DE7"/>
    <w:rsid w:val="0085516E"/>
    <w:rsid w:val="00860CD6"/>
    <w:rsid w:val="00865756"/>
    <w:rsid w:val="0086763A"/>
    <w:rsid w:val="00871493"/>
    <w:rsid w:val="0087184F"/>
    <w:rsid w:val="008748EC"/>
    <w:rsid w:val="00876997"/>
    <w:rsid w:val="00880F38"/>
    <w:rsid w:val="00883AC5"/>
    <w:rsid w:val="00883C90"/>
    <w:rsid w:val="008872A8"/>
    <w:rsid w:val="008932D5"/>
    <w:rsid w:val="00895F5D"/>
    <w:rsid w:val="008A1B03"/>
    <w:rsid w:val="008A5EA8"/>
    <w:rsid w:val="008A723C"/>
    <w:rsid w:val="008B2967"/>
    <w:rsid w:val="008B4313"/>
    <w:rsid w:val="008B68E5"/>
    <w:rsid w:val="008C0727"/>
    <w:rsid w:val="008C0CCF"/>
    <w:rsid w:val="008C2E64"/>
    <w:rsid w:val="008C4D63"/>
    <w:rsid w:val="008D3FD7"/>
    <w:rsid w:val="008D7528"/>
    <w:rsid w:val="008D794F"/>
    <w:rsid w:val="008E6461"/>
    <w:rsid w:val="008E78FD"/>
    <w:rsid w:val="008F1CC6"/>
    <w:rsid w:val="008F4DC8"/>
    <w:rsid w:val="008F4E58"/>
    <w:rsid w:val="008F580D"/>
    <w:rsid w:val="008F61B4"/>
    <w:rsid w:val="009004D4"/>
    <w:rsid w:val="0090748D"/>
    <w:rsid w:val="00910039"/>
    <w:rsid w:val="00912FF8"/>
    <w:rsid w:val="00914F9C"/>
    <w:rsid w:val="00915589"/>
    <w:rsid w:val="00916C25"/>
    <w:rsid w:val="00936E1A"/>
    <w:rsid w:val="00937481"/>
    <w:rsid w:val="009454FD"/>
    <w:rsid w:val="00950AE6"/>
    <w:rsid w:val="00957532"/>
    <w:rsid w:val="00960FEB"/>
    <w:rsid w:val="009623FB"/>
    <w:rsid w:val="00963E51"/>
    <w:rsid w:val="00965180"/>
    <w:rsid w:val="009709E4"/>
    <w:rsid w:val="0097107A"/>
    <w:rsid w:val="0097241F"/>
    <w:rsid w:val="00973679"/>
    <w:rsid w:val="00975215"/>
    <w:rsid w:val="00985F6D"/>
    <w:rsid w:val="00986D2F"/>
    <w:rsid w:val="009878D9"/>
    <w:rsid w:val="00987E79"/>
    <w:rsid w:val="00992F1E"/>
    <w:rsid w:val="009A4AA2"/>
    <w:rsid w:val="009A6BF4"/>
    <w:rsid w:val="009A76B7"/>
    <w:rsid w:val="009B4CFB"/>
    <w:rsid w:val="009B51D1"/>
    <w:rsid w:val="009B621C"/>
    <w:rsid w:val="009B79FC"/>
    <w:rsid w:val="009C0CE6"/>
    <w:rsid w:val="009C5D38"/>
    <w:rsid w:val="009C71A9"/>
    <w:rsid w:val="009C7B9E"/>
    <w:rsid w:val="009D0E28"/>
    <w:rsid w:val="009D215D"/>
    <w:rsid w:val="009D60FC"/>
    <w:rsid w:val="009D6E3B"/>
    <w:rsid w:val="009E28CD"/>
    <w:rsid w:val="009E399E"/>
    <w:rsid w:val="009E5EBD"/>
    <w:rsid w:val="009E5FD4"/>
    <w:rsid w:val="009F289E"/>
    <w:rsid w:val="009F662F"/>
    <w:rsid w:val="00A03350"/>
    <w:rsid w:val="00A04B43"/>
    <w:rsid w:val="00A0749E"/>
    <w:rsid w:val="00A10A03"/>
    <w:rsid w:val="00A10EA3"/>
    <w:rsid w:val="00A13824"/>
    <w:rsid w:val="00A14E2F"/>
    <w:rsid w:val="00A20CE7"/>
    <w:rsid w:val="00A21E2C"/>
    <w:rsid w:val="00A267B7"/>
    <w:rsid w:val="00A32762"/>
    <w:rsid w:val="00A3287E"/>
    <w:rsid w:val="00A33293"/>
    <w:rsid w:val="00A3403B"/>
    <w:rsid w:val="00A3681F"/>
    <w:rsid w:val="00A377D3"/>
    <w:rsid w:val="00A55102"/>
    <w:rsid w:val="00A6015C"/>
    <w:rsid w:val="00A65776"/>
    <w:rsid w:val="00A66A29"/>
    <w:rsid w:val="00A715E0"/>
    <w:rsid w:val="00A728CF"/>
    <w:rsid w:val="00A76E12"/>
    <w:rsid w:val="00A9246E"/>
    <w:rsid w:val="00A94C41"/>
    <w:rsid w:val="00A95D7C"/>
    <w:rsid w:val="00AA0AAC"/>
    <w:rsid w:val="00AA1543"/>
    <w:rsid w:val="00AA2304"/>
    <w:rsid w:val="00AA2D9C"/>
    <w:rsid w:val="00AA4AFA"/>
    <w:rsid w:val="00AA5C10"/>
    <w:rsid w:val="00AA66F0"/>
    <w:rsid w:val="00AA74CD"/>
    <w:rsid w:val="00AB033F"/>
    <w:rsid w:val="00AB22DD"/>
    <w:rsid w:val="00AB5818"/>
    <w:rsid w:val="00AC0CB3"/>
    <w:rsid w:val="00AC3FAD"/>
    <w:rsid w:val="00AC47EC"/>
    <w:rsid w:val="00AC4EA4"/>
    <w:rsid w:val="00AC6287"/>
    <w:rsid w:val="00AC7FA5"/>
    <w:rsid w:val="00AD570E"/>
    <w:rsid w:val="00AD72DF"/>
    <w:rsid w:val="00AD7E7A"/>
    <w:rsid w:val="00AE0643"/>
    <w:rsid w:val="00AE0ABF"/>
    <w:rsid w:val="00AE40A4"/>
    <w:rsid w:val="00AE49A6"/>
    <w:rsid w:val="00AE63B7"/>
    <w:rsid w:val="00AF2EC6"/>
    <w:rsid w:val="00AF6C80"/>
    <w:rsid w:val="00B032F6"/>
    <w:rsid w:val="00B03FFB"/>
    <w:rsid w:val="00B0785F"/>
    <w:rsid w:val="00B10E52"/>
    <w:rsid w:val="00B127EF"/>
    <w:rsid w:val="00B140AE"/>
    <w:rsid w:val="00B14C15"/>
    <w:rsid w:val="00B22905"/>
    <w:rsid w:val="00B274DF"/>
    <w:rsid w:val="00B27855"/>
    <w:rsid w:val="00B325FE"/>
    <w:rsid w:val="00B368BF"/>
    <w:rsid w:val="00B36B40"/>
    <w:rsid w:val="00B43D82"/>
    <w:rsid w:val="00B44192"/>
    <w:rsid w:val="00B5181D"/>
    <w:rsid w:val="00B52396"/>
    <w:rsid w:val="00B57C15"/>
    <w:rsid w:val="00B865AB"/>
    <w:rsid w:val="00B87EDD"/>
    <w:rsid w:val="00B901AA"/>
    <w:rsid w:val="00B926BC"/>
    <w:rsid w:val="00B96C30"/>
    <w:rsid w:val="00B9797D"/>
    <w:rsid w:val="00B979AF"/>
    <w:rsid w:val="00BA4E67"/>
    <w:rsid w:val="00BA691C"/>
    <w:rsid w:val="00BB28E8"/>
    <w:rsid w:val="00BB4615"/>
    <w:rsid w:val="00BB5C2A"/>
    <w:rsid w:val="00BC2AE0"/>
    <w:rsid w:val="00BC4E9D"/>
    <w:rsid w:val="00BC6FEB"/>
    <w:rsid w:val="00BD2DD0"/>
    <w:rsid w:val="00BD2EE8"/>
    <w:rsid w:val="00BD660E"/>
    <w:rsid w:val="00BE0BA3"/>
    <w:rsid w:val="00BE1876"/>
    <w:rsid w:val="00BE4D1F"/>
    <w:rsid w:val="00BF5D4A"/>
    <w:rsid w:val="00C00F5C"/>
    <w:rsid w:val="00C044C5"/>
    <w:rsid w:val="00C076A5"/>
    <w:rsid w:val="00C20F58"/>
    <w:rsid w:val="00C21625"/>
    <w:rsid w:val="00C22587"/>
    <w:rsid w:val="00C22766"/>
    <w:rsid w:val="00C233FC"/>
    <w:rsid w:val="00C31DBB"/>
    <w:rsid w:val="00C41A05"/>
    <w:rsid w:val="00C421FB"/>
    <w:rsid w:val="00C427F5"/>
    <w:rsid w:val="00C42976"/>
    <w:rsid w:val="00C43FED"/>
    <w:rsid w:val="00C45B43"/>
    <w:rsid w:val="00C45C1B"/>
    <w:rsid w:val="00C45C9B"/>
    <w:rsid w:val="00C47162"/>
    <w:rsid w:val="00C62A0C"/>
    <w:rsid w:val="00C633EB"/>
    <w:rsid w:val="00C63B75"/>
    <w:rsid w:val="00C64F7D"/>
    <w:rsid w:val="00C669B2"/>
    <w:rsid w:val="00C67F4E"/>
    <w:rsid w:val="00C731CF"/>
    <w:rsid w:val="00C821E4"/>
    <w:rsid w:val="00C83C81"/>
    <w:rsid w:val="00C85E56"/>
    <w:rsid w:val="00C86462"/>
    <w:rsid w:val="00C878B5"/>
    <w:rsid w:val="00C87A9C"/>
    <w:rsid w:val="00C92A93"/>
    <w:rsid w:val="00C95463"/>
    <w:rsid w:val="00CA667A"/>
    <w:rsid w:val="00CA73CE"/>
    <w:rsid w:val="00CB084E"/>
    <w:rsid w:val="00CB2A0B"/>
    <w:rsid w:val="00CB3D5F"/>
    <w:rsid w:val="00CB4016"/>
    <w:rsid w:val="00CB77CF"/>
    <w:rsid w:val="00CC0582"/>
    <w:rsid w:val="00CC28E1"/>
    <w:rsid w:val="00CC3165"/>
    <w:rsid w:val="00CC3F5F"/>
    <w:rsid w:val="00CD0326"/>
    <w:rsid w:val="00CD1420"/>
    <w:rsid w:val="00CD6186"/>
    <w:rsid w:val="00CD7D24"/>
    <w:rsid w:val="00CE0E05"/>
    <w:rsid w:val="00CE4366"/>
    <w:rsid w:val="00CF4B59"/>
    <w:rsid w:val="00D15D41"/>
    <w:rsid w:val="00D22138"/>
    <w:rsid w:val="00D22570"/>
    <w:rsid w:val="00D22F2B"/>
    <w:rsid w:val="00D2373E"/>
    <w:rsid w:val="00D3182C"/>
    <w:rsid w:val="00D32DAE"/>
    <w:rsid w:val="00D338AF"/>
    <w:rsid w:val="00D43254"/>
    <w:rsid w:val="00D43871"/>
    <w:rsid w:val="00D47FDA"/>
    <w:rsid w:val="00D61460"/>
    <w:rsid w:val="00D6201F"/>
    <w:rsid w:val="00D620FB"/>
    <w:rsid w:val="00D72E83"/>
    <w:rsid w:val="00D74583"/>
    <w:rsid w:val="00D75388"/>
    <w:rsid w:val="00D90297"/>
    <w:rsid w:val="00D91AB7"/>
    <w:rsid w:val="00D94127"/>
    <w:rsid w:val="00D9412F"/>
    <w:rsid w:val="00D97CF4"/>
    <w:rsid w:val="00DA3301"/>
    <w:rsid w:val="00DB0BDD"/>
    <w:rsid w:val="00DB7C7E"/>
    <w:rsid w:val="00DC304C"/>
    <w:rsid w:val="00DC7425"/>
    <w:rsid w:val="00DD4152"/>
    <w:rsid w:val="00DD5651"/>
    <w:rsid w:val="00DD5997"/>
    <w:rsid w:val="00DD667D"/>
    <w:rsid w:val="00DD73AA"/>
    <w:rsid w:val="00DF09CC"/>
    <w:rsid w:val="00DF307D"/>
    <w:rsid w:val="00DF5BBC"/>
    <w:rsid w:val="00E04075"/>
    <w:rsid w:val="00E12A8E"/>
    <w:rsid w:val="00E13F4F"/>
    <w:rsid w:val="00E14125"/>
    <w:rsid w:val="00E14E68"/>
    <w:rsid w:val="00E16A35"/>
    <w:rsid w:val="00E20400"/>
    <w:rsid w:val="00E225E8"/>
    <w:rsid w:val="00E24D2F"/>
    <w:rsid w:val="00E2643B"/>
    <w:rsid w:val="00E30087"/>
    <w:rsid w:val="00E31DC3"/>
    <w:rsid w:val="00E35A0C"/>
    <w:rsid w:val="00E3741A"/>
    <w:rsid w:val="00E404DF"/>
    <w:rsid w:val="00E40F5C"/>
    <w:rsid w:val="00E421F6"/>
    <w:rsid w:val="00E51E65"/>
    <w:rsid w:val="00E55501"/>
    <w:rsid w:val="00E639BC"/>
    <w:rsid w:val="00E64516"/>
    <w:rsid w:val="00E704CB"/>
    <w:rsid w:val="00E75E61"/>
    <w:rsid w:val="00E76656"/>
    <w:rsid w:val="00E80DA5"/>
    <w:rsid w:val="00E81B3B"/>
    <w:rsid w:val="00E81E92"/>
    <w:rsid w:val="00E870AA"/>
    <w:rsid w:val="00E87A39"/>
    <w:rsid w:val="00E91538"/>
    <w:rsid w:val="00E94494"/>
    <w:rsid w:val="00E94CA3"/>
    <w:rsid w:val="00E979D6"/>
    <w:rsid w:val="00EA0629"/>
    <w:rsid w:val="00EA1130"/>
    <w:rsid w:val="00EA309B"/>
    <w:rsid w:val="00EA5946"/>
    <w:rsid w:val="00EA5A0C"/>
    <w:rsid w:val="00EA5D9C"/>
    <w:rsid w:val="00EB2104"/>
    <w:rsid w:val="00EB4757"/>
    <w:rsid w:val="00EB4DA9"/>
    <w:rsid w:val="00EB74BD"/>
    <w:rsid w:val="00EC0F0F"/>
    <w:rsid w:val="00EC3A85"/>
    <w:rsid w:val="00EC3B46"/>
    <w:rsid w:val="00EC47D1"/>
    <w:rsid w:val="00EC4CD5"/>
    <w:rsid w:val="00EC7311"/>
    <w:rsid w:val="00ED2BF9"/>
    <w:rsid w:val="00ED38D7"/>
    <w:rsid w:val="00EE119C"/>
    <w:rsid w:val="00EE1B13"/>
    <w:rsid w:val="00EF3230"/>
    <w:rsid w:val="00EF5644"/>
    <w:rsid w:val="00EF6BE9"/>
    <w:rsid w:val="00EF77AC"/>
    <w:rsid w:val="00EF77FA"/>
    <w:rsid w:val="00F0586C"/>
    <w:rsid w:val="00F0662B"/>
    <w:rsid w:val="00F07C44"/>
    <w:rsid w:val="00F1283F"/>
    <w:rsid w:val="00F132D5"/>
    <w:rsid w:val="00F14A2F"/>
    <w:rsid w:val="00F34287"/>
    <w:rsid w:val="00F40C44"/>
    <w:rsid w:val="00F418CB"/>
    <w:rsid w:val="00F546A2"/>
    <w:rsid w:val="00F577E7"/>
    <w:rsid w:val="00F603D0"/>
    <w:rsid w:val="00F63556"/>
    <w:rsid w:val="00F654E8"/>
    <w:rsid w:val="00F66C12"/>
    <w:rsid w:val="00F731B2"/>
    <w:rsid w:val="00F8502A"/>
    <w:rsid w:val="00F8591D"/>
    <w:rsid w:val="00F92DB5"/>
    <w:rsid w:val="00F93543"/>
    <w:rsid w:val="00F954AD"/>
    <w:rsid w:val="00F97E1E"/>
    <w:rsid w:val="00FA1D63"/>
    <w:rsid w:val="00FA24B6"/>
    <w:rsid w:val="00FA4146"/>
    <w:rsid w:val="00FB0BAC"/>
    <w:rsid w:val="00FB1F18"/>
    <w:rsid w:val="00FB4CDE"/>
    <w:rsid w:val="00FB4FE9"/>
    <w:rsid w:val="00FC00FF"/>
    <w:rsid w:val="00FC0DF7"/>
    <w:rsid w:val="00FC1B35"/>
    <w:rsid w:val="00FC58FF"/>
    <w:rsid w:val="00FC6DBD"/>
    <w:rsid w:val="00FC7B6E"/>
    <w:rsid w:val="00FC7BC7"/>
    <w:rsid w:val="00FD02FA"/>
    <w:rsid w:val="00FD12EC"/>
    <w:rsid w:val="00FD503E"/>
    <w:rsid w:val="00FE02EC"/>
    <w:rsid w:val="00FE0715"/>
    <w:rsid w:val="00FE1AFA"/>
    <w:rsid w:val="00FE43C2"/>
    <w:rsid w:val="00FF0071"/>
    <w:rsid w:val="00FF03EB"/>
    <w:rsid w:val="00FF2A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15182</Words>
  <Characters>86540</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3</cp:revision>
  <cp:lastPrinted>2025-11-02T03:08:00Z</cp:lastPrinted>
  <dcterms:created xsi:type="dcterms:W3CDTF">2025-11-02T03:08:00Z</dcterms:created>
  <dcterms:modified xsi:type="dcterms:W3CDTF">2025-11-02T03:09:00Z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id="ZjwHtySR"/&gt;&lt;style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