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0484" w:rsidRDefault="00000000">
      <w:pPr>
        <w:pStyle w:val="Title"/>
      </w:pPr>
      <w:r>
        <w:t>Computer Assisted Verbal Autopsy: Comparing Large Language Models to Physicians for Assigning Causes to 6939 Deaths in Sierra Leone from 2019-2022</w:t>
      </w:r>
    </w:p>
    <w:p w:rsidR="00260484" w:rsidRDefault="00260484">
      <w:pPr>
        <w:pStyle w:val="Author"/>
      </w:pPr>
    </w:p>
    <w:p w:rsidR="00260484" w:rsidRDefault="00260484">
      <w:pPr>
        <w:pStyle w:val="Author"/>
      </w:pPr>
    </w:p>
    <w:p w:rsidR="00260484" w:rsidRDefault="00260484">
      <w:pPr>
        <w:pStyle w:val="Author"/>
      </w:pPr>
    </w:p>
    <w:p w:rsidR="00260484" w:rsidRDefault="00260484">
      <w:pPr>
        <w:pStyle w:val="Author"/>
      </w:pPr>
    </w:p>
    <w:p w:rsidR="00260484" w:rsidRDefault="00260484">
      <w:pPr>
        <w:pStyle w:val="Author"/>
      </w:pPr>
    </w:p>
    <w:p w:rsidR="00260484" w:rsidRDefault="00260484">
      <w:pPr>
        <w:pStyle w:val="Author"/>
      </w:pPr>
    </w:p>
    <w:p w:rsidR="00260484" w:rsidRDefault="00260484">
      <w:pPr>
        <w:pStyle w:val="Author"/>
      </w:pPr>
    </w:p>
    <w:p w:rsidR="00260484" w:rsidRDefault="00260484">
      <w:pPr>
        <w:pStyle w:val="Author"/>
      </w:pPr>
    </w:p>
    <w:p w:rsidR="00260484" w:rsidRDefault="00260484">
      <w:pPr>
        <w:pStyle w:val="Author"/>
      </w:pPr>
    </w:p>
    <w:p w:rsidR="00260484" w:rsidRDefault="00260484">
      <w:pPr>
        <w:pStyle w:val="Author"/>
      </w:pPr>
    </w:p>
    <w:p w:rsidR="00260484" w:rsidRDefault="00260484">
      <w:pPr>
        <w:pStyle w:val="Author"/>
      </w:pPr>
    </w:p>
    <w:p w:rsidR="00260484" w:rsidRDefault="00000000">
      <w:pPr>
        <w:pStyle w:val="Heading1"/>
      </w:pPr>
      <w:bookmarkStart w:id="0" w:name="background"/>
      <w:r>
        <w:t>Background</w:t>
      </w:r>
    </w:p>
    <w:p w:rsidR="00260484" w:rsidRDefault="00000000">
      <w:pPr>
        <w:pStyle w:val="FirstParagraph"/>
      </w:pPr>
      <w:r>
        <w:t xml:space="preserve">Every year, 41 million people died prematurely from noncommunicable diseases, accounting for 74% of all deaths globally </w:t>
      </w:r>
      <w:r>
        <w:fldChar w:fldCharType="begin"/>
      </w:r>
      <w:r w:rsidR="00F14B32">
        <w:instrText xml:space="preserve"> ADDIN ZOTERO_ITEM CSL_CITATION {"citationID":"00000001","properties":{"unsorted":false,"formattedCitation":"[1]","plainCitation":"[1]","noteIndex":0},"citationItems":[{"id":2528,"uris":["http://zotero.org/users/6749620/items/7F253XBY"],"itemData":{"id":2528,"type":"webpage","abstract":"Noncommunicable diseases (NCDs), also known as chronic diseases, kill 40 million people each year.","language":"en","title":"Non communicable diseases: Key Facts","URL":"https://www.who.int/news-room/fact-sheets/detail/noncommunicable-diseases","author":[{"literal":"World Health Organization"}],"accessed":{"date-parts":[["2024",1,4]]},"issued":{"date-parts":[["2019"]]},"citation-key":"worldhealthorganizationNonCommunicableDiseases2019"},"prefix":""}],"schema":"https://github.com/citation-style-language/schema/raw/master/csl-citation.json"} </w:instrText>
      </w:r>
      <w:r>
        <w:fldChar w:fldCharType="separate"/>
      </w:r>
      <w:r w:rsidR="00F14B32">
        <w:rPr>
          <w:noProof/>
        </w:rPr>
        <w:t>[1]</w:t>
      </w:r>
      <w:r>
        <w:fldChar w:fldCharType="end"/>
      </w:r>
      <w:r>
        <w:t xml:space="preserve">. While most of these deaths are preventable, effective intervention requires evidence-based resource allocation that targets high-risk populations </w:t>
      </w:r>
      <w:r>
        <w:fldChar w:fldCharType="begin"/>
      </w:r>
      <w:r w:rsidR="00F14B32">
        <w:instrText xml:space="preserve"> ADDIN ZOTERO_ITEM CSL_CITATION {"citationID":"00000002","properties":{"unsorted":false,"formattedCitation":"[2]","plainCitation":"[2]","noteIndex":0},"citationItems":[{"id":2530,"uris":["http://zotero.org/users/6749620/items/AYQLNKZ9"],"itemData":{"id":2530,"type":"article-journal","abstract":"Noncommunicable diseases (NCD) now account for more than one-half of the global burden of disease. Cardiovascular diseases account for about one-half of NCD deaths, and the majority of cardiovascular disease deaths occur in low- and middle-income countries. The GBD (Global Burden of Disease) study measures and benchmarks health loss from death or disability from more than 300 diseases in over 100 countries. According to GBD analyses, the rise of NCD is in part due to increased life expectancy due to reduced premature mortality from communicable, child, and maternal illnesses, but preventable risk factors also contribute and present targets for NCD control efforts. In addition to traditional NCD risk factors, like tobacco smoking, high blood pressure, and unhealthful diet, nontraditional risk factors like air pollution and unhealthful alcohol consumption also play a role. The GBD study continues to grow by gathering more data from country partners than ever before, and by measuring health at the national and subnational levels and in smaller time increments. The GBD study will continue to provide the data to set priorities for and measure progress in the global effort to control the rising burden of NCD.","collection-title":"Has Recognition of Global Chronic Disease Reached a Tipping Point?","container-title":"Global Heart","DOI":"10.1016/j.gheart.2016.10.024","ISSN":"2211-8160","issue":"4","journalAbbreviation":"Global Heart","page":"393-397","source":"ScienceDirect","title":"The Global Burden of Disease Study and the Preventable Burden of NCD","volume":"11","author":[{"family":"Benziger","given":"Catherine P."},{"family":"Roth","given":"Gregory A."},{"family":"Moran","given":"Andrew E."}],"issued":{"date-parts":[["2016",12,1]]},"citation-key":"benzigerGlobalBurdenDisease2016"},"prefix":""}],"schema":"https://github.com/citation-style-language/schema/raw/master/csl-citation.json"} </w:instrText>
      </w:r>
      <w:r>
        <w:fldChar w:fldCharType="separate"/>
      </w:r>
      <w:r w:rsidR="00F14B32">
        <w:rPr>
          <w:noProof/>
        </w:rPr>
        <w:t>[2]</w:t>
      </w:r>
      <w:r>
        <w:fldChar w:fldCharType="end"/>
      </w:r>
      <w:r>
        <w:t xml:space="preserve">. Reliable mortality counts and accurate Cause of Death (COD) data are essential for guiding public health policy and reducing premature mortality </w:t>
      </w:r>
      <w:r>
        <w:fldChar w:fldCharType="begin"/>
      </w:r>
      <w:r w:rsidR="00F14B32">
        <w:instrText xml:space="preserve"> ADDIN ZOTERO_ITEM CSL_CITATION {"citationID":"00000003","properties":{"unsorted":false,"formattedCitation":"[3\\uc0\\u8211{}6]","plainCitation":"[3–6]","noteIndex":0},"citationItems":[{"id":2507,"uris":["http://zotero.org/users/6749620/items/8VXYAXCP"],"itemData":{"id":2507,"type":"article-journal","abstract":"Each year 3.6 million infants are estimated to die in the first 4 weeks of life (neonatal period)—but the majority continue to die at home, uncounted. This article reviews progress for newborn health globally, with a focus on the countries in which most deaths occur—what data do we have to guide accelerated efforts? All regions are advancing, but the level of decrease in neonatal mortality differs by region, country, and within countries. Progress also differs by the main causes of neonatal death. Three major causes of neonatal deaths (infections, complications of preterm birth, and intrapartum-related neonatal deaths or “birth asphyxia”) account for more than 80% of all neonatal deaths globally. The most rapid reductions have been made in reducing neonatal tetanus, and there has been apparent progress towards reducing neonatal infections. Limited, if any, reduction has been made in reducing global deaths from preterm birth and for intrapartum-related neonatal deaths. High-impact, feasible interventions to address these 3 causes are summarized in this article, along with estimates of potential for lives saved. A major gap is reaching mothers and babies at birth and in the early postnatal period. There are promising community-based service delivery models that have been tested mainly in research studies in Asia that are now being adapted and evaluated at scale and also being tested through a network of African implementation research trials. To meet Millennium Development Goal 4, more can and must be done to address neonatal deaths. A critical step is improving the quantity, quality and use of data to select and implement the most effective interventions and strengthen existing programs, especially at district level.","collection-title":"Global Perinatal Health","container-title":"Seminars in Perinatology","DOI":"10.1053/j.semperi.2010.09.011","ISSN":"0146-0005","issue":"6","journalAbbreviation":"Seminars in Perinatology","page":"371-386","source":"ScienceDirect","title":"3.6 Million Neonatal Deaths—What Is Progressing and What Is Not?","volume":"34","author":[{"family":"Lawn","given":"Joy E."},{"family":"Kerber","given":"Kate"},{"family":"Enweronu-Laryea","given":"Christabel"},{"family":"Cousens","given":"Simon"}],"issued":{"date-parts":[["2010",12,1]]},"citation-key":"lawnMillionNeonatalDeaths2010"},"prefix":""},{"id":2509,"uris":["http://zotero.org/users/6749620/items/D76BN6HD"],"itemData":{"id":2509,"type":"article-journal","container-title":"Cochrane Database of Systematic Reviews","DOI":"10.1002/14651858.CD007754.pub3","ISSN":"1465-1858","issue":"3","language":"en","note":"publisher: John Wiley &amp; Sons, Ltd","source":"www.cochranelibrary.com","title":"Community</w:instrText>
      </w:r>
      <w:r w:rsidR="00F14B32">
        <w:rPr>
          <w:rFonts w:ascii="Cambria Math" w:hAnsi="Cambria Math" w:cs="Cambria Math"/>
        </w:rPr>
        <w:instrText>‐</w:instrText>
      </w:r>
      <w:r w:rsidR="00F14B32">
        <w:instrText xml:space="preserve">based intervention packages for reducing maternal and neonatal morbidity and mortality and improving neonatal outcomes","URL":"https://www.cochranelibrary.com/cdsr/doi/10.1002/14651858.CD007754.pub3/full","author":[{"family":"Lassi","given":"Zohra S."},{"family":"Bhutta","given":"Zulfiqar A."}],"accessed":{"date-parts":[["2023",12,18]]},"issued":{"date-parts":[["2015"]]},"citation-key":"lassiCommunityBasedIntervention2015"},"prefix":""},{"id":2510,"uris":["http://zotero.org/users/6749620/items/PC2529UF"],"itemData":{"id":2510,"type":"article-journal","abstract":"Excess mortality in persons with severe mental disorders (SMD) is a major public health challenge that warrants action. The number and scope of truly tested interventions in this area remain limited, and strategies for implementation and scaling up of programmes with a strong evidence base are scarce. Furthermore, the majority of available interventions focus on a single or an otherwise limited number of risk factors. Here we present a multilevel model highlighting risk factors for excess mortality in persons with SMD at the individual, health system and socio-environmental levels. Informed by that model, we describe a comprehensive framework that may be useful for designing, implementing and evaluating interventions and programmes to reduce excess mortality in persons with SMD. This framework includes individual-focused, health system-focused, and community level and policy-focused interventions. Incorporating lessons learned from the multilevel model of risk and the comprehensive intervention framework, we identify priorities for clinical practice, policy and research agendas.","container-title":"World Psychiatry","DOI":"10.1002/wps.20384","ISSN":"2051-5545","issue":"1","language":"en","license":"© 2017 World Psychiatric Association","note":"_eprint: https://onlinelibrary.wiley.com/doi/pdf/10.1002/wps.20384","page":"30-40","source":"Wiley Online Library","title":"Excess mortality in persons with severe mental disorders: a multilevel intervention framework and priorities for clinical practice, policy and research agendas","title-short":"Excess mortality in persons with severe mental disorders","volume":"16","author":[{"family":"Liu","given":"Nancy H."},{"family":"Daumit","given":"Gail L."},{"family":"Dua","given":"Tarun"},{"family":"Aquila","given":"Ralph"},{"family":"Charlson","given":"Fiona"},{"family":"Cuijpers","given":"Pim"},{"family":"Druss","given":"Benjamin"},{"family":"Dudek","given":"Kenn"},{"family":"Freeman","given":"Melvyn"},{"family":"Fujii","given":"Chiyo"},{"family":"Gaebel","given":"Wolfgang"},{"family":"Hegerl","given":"Ulrich"},{"family":"Levav","given":"Itzhak"},{"family":"Munk Laursen","given":"Thomas"},{"family":"Ma","given":"Hong"},{"family":"Maj","given":"Mario"},{"family":"Elena Medina-Mora","given":"Maria"},{"family":"Nordentoft","given":"Merete"},{"family":"Prabhakaran","given":"Dorairaj"},{"family":"Pratt","given":"Karen"},{"family":"Prince","given":"Martin"},{"family":"Rangaswamy","given":"Thara"},{"family":"Shiers","given":"David"},{"family":"Susser","given":"Ezra"},{"family":"Thornicroft","given":"Graham"},{"family":"Wahlbeck","given":"Kristian"},{"family":"Fekadu Wassie","given":"Abe"},{"family":"Whiteford","given":"Harvey"},{"family":"Saxena","given":"Shekhar"}],"issued":{"date-parts":[["2017"]]},"citation-key":"liuExcessMortalityPersons2017"},"prefix":""},{"id":2516,"uris":["http://zotero.org/users/6749620/items/J6A63Q8Z"],"itemData":{"id":2516,"type":"article-journal","abstract":"Community-acquired pneumonia (CAP) is one of the major contemporary acute life-threatening conditions. Short-term mortality reaches 14% (7% if nursing-home residents and bedridden patients are excluded) and long-term mortality reaches 50% within 5 yrs.\nCAP and acute myocardial infarction (AMI) have a lot in common with regard to acuity, prognosis, need for risk stratification and early intervention, and secondary prevention measures. The obvious success in the treatment of AMI is due to an effective organisation of pre-hospital care and evidence-based interventions in the hospital within defined timescales.\nLess evidence is available about effective strategies to lower short- and long-term mortality in patients with CAP. Nevertheless, it is estimated that </w:instrText>
      </w:r>
      <w:r w:rsidR="00F14B32">
        <w:rPr>
          <w:rFonts w:ascii="Cambria Math" w:hAnsi="Cambria Math" w:cs="Cambria Math"/>
        </w:rPr>
        <w:instrText>∼</w:instrText>
      </w:r>
      <w:r w:rsidR="00F14B32">
        <w:instrText xml:space="preserve">30% of hospitalised patients with CAP could be subject to a management approach in parallel to that of acute coronary syndrome (ACS).\nManagement of patients with severe CAP should be intensified using all elements that have been established in the care for patients with ACS and stroke. One of the main challenges of future research will be to define whether and which additional patients at risk of mortality truly profit from timely and structured interventions. In the meantime, patients at increased risk of death according to clinical prediction tools should also be subject to an aggressive management approach.","container-title":"European Respiratory Journal","DOI":"10.1183/09031936.00199810","ISSN":"0903-1936, 1399-3003","issue":"2","language":"en","license":"©ERS 2011","note":"publisher: European Respiratory Society\nsection: Perspective\nPMID: 21349916","page":"253-260","source":"erj.ersjournals.com","title":"Community-acquired pneumonia as an emergency: time for an aggressive intervention to lower mortality","title-short":"Community-acquired pneumonia as an emergency","volume":"38","author":[{"family":"Ewig","given":"S."},{"family":"Torres","given":"A."}],"issued":{"date-parts":[["2011",8,1]]},"citation-key":"ewigCommunityacquiredPneumoniaEmergency2011"},"prefix":""}],"schema":"https://github.com/citation-style-language/schema/raw/master/csl-citation.json"} </w:instrText>
      </w:r>
      <w:r>
        <w:fldChar w:fldCharType="separate"/>
      </w:r>
      <w:r w:rsidR="00F14B32" w:rsidRPr="00F14B32">
        <w:rPr>
          <w:rFonts w:ascii="Aptos" w:cs="Times New Roman"/>
        </w:rPr>
        <w:t>[3–6]</w:t>
      </w:r>
      <w:r>
        <w:fldChar w:fldCharType="end"/>
      </w:r>
      <w:r>
        <w:t xml:space="preserve">. However, civil registration and vital statistics systems remain incomplete in many low-income countries. Fewer than half of all deaths are registered, and among these, only 8% have an assigned COD </w:t>
      </w:r>
      <w:r>
        <w:fldChar w:fldCharType="begin"/>
      </w:r>
      <w:r w:rsidR="00F14B32">
        <w:instrText xml:space="preserve"> ADDIN ZOTERO_ITEM CSL_CITATION {"citationID":"00000004","properties":{"unsorted":false,"formattedCitation":"[7]","plainCitation":"[7]","noteIndex":0},"citationItems":[{"id":2488,"uris":["http://zotero.org/users/6749620/items/4FJWSNWD"],"itemData":{"id":2488,"type":"report","source":"Google Scholar","title":"SCORE for health data technical package: global report on health data systems and capacity, 2020","title-short":"SCORE for health data technical package","URL":"https://www.who.int/publications/i/item/9789240018709","author":[{"literal":"World Health Organization"}],"accessed":{"date-parts":[["2023",12,12]]},"issued":{"date-parts":[["2021"]]},"citation-key":"worldhealthorganizationSCOREHealthData2021"},"prefix":""}],"schema":"https://github.com/citation-style-language/schema/raw/master/csl-citation.json"} </w:instrText>
      </w:r>
      <w:r>
        <w:fldChar w:fldCharType="separate"/>
      </w:r>
      <w:r w:rsidR="00F14B32">
        <w:rPr>
          <w:noProof/>
        </w:rPr>
        <w:t>[7]</w:t>
      </w:r>
      <w:r>
        <w:fldChar w:fldCharType="end"/>
      </w:r>
      <w:r>
        <w:t xml:space="preserve">. To address this gap, Verbal Autopsy (VA) has been deployed as a scalable method for collecting mortality data and assigning likely CODs, particularly for deaths that occur outside of healthcare facilities, which account for more than half of all deaths </w:t>
      </w:r>
      <w:r>
        <w:fldChar w:fldCharType="begin"/>
      </w:r>
      <w:r w:rsidR="00F14B32">
        <w:instrText xml:space="preserve"> ADDIN ZOTERO_ITEM CSL_CITATION {"citationID":"00000005","properties":{"unsorted":false,"formattedCitation":"[8\\uc0\\u8211{}11]","plainCitation":"[8–11]","noteIndex":0},"citationItems":[{"id":2497,"uris":["http://zotero.org/users/6749620/items/74BDJWML"],"itemData":{"id":2497,"type":"article-journal","abstract":"Background: Reliable and representative cause of death (COD) statistics are essential to inform public health policy, respond to emerging health needs, and document progress towards Sustainable Development Goals. However, less than one-third of deaths worldwide are assigned a cause. Civil registration and vital statistics (CRVS) systems in low- and lower-middle-income countries are failing to provide timely, complete and accurate vital statistics, and it will still be some time before they can provide physician-certified COD for every death. Proposals: Verbal autopsy (VA) is a method to ascertain the probable COD and, although imperfect, it is the best alternative in the absence of medical certification. There is extensive experience with VA in research settings but only a few examples of its use on a large scale. Data collection using electronic questionnaires on mobile devices and computer algorithms to analyse responses and estimate probable COD have increased the potential for VA to be routinely applied in CRVS systems. However, a number of CRVS and health system integration issues should be considered in planning, piloting and implementing a system-wide intervention such as VA. These include addressing the multiplicity of stakeholders and sub-systems involved, integration with existing CRVS work processes and information flows, linking VA results to civil registration records, information technology requirements and data quality assurance. Conclusions: Integrating VA within CRVS systems is not simply a technical undertaking. It will have profound system-wide effects that should be carefully considered when planning for an effective implementation. This paper identifies and discusses the major system-level issues and emerging practices, provides a planning checklist of system-level considerations and proposes an overview for how VA can be integrated into routine CRVS systems.","container-title":"Global Health Action","DOI":"10.1080/16549716.2017.1272882","ISSN":"1654-9716","issue":"1","note":"publisher: Taylor &amp; Francis\n_eprint: https://doi.org/10.1080/16549716.2017.1272882\nPMID: 28137194","page":"1272882","source":"Taylor and Francis+NEJM","title":"Integrating community-based verbal autopsy into civil registration and vital statistics (CRVS): system-level considerations","title-short":"Integrating community-based verbal autopsy into civil registration and vital statistics (CRVS)","volume":"10","author":[{"family":"Savigny","given":"Don","non-dropping-particle":"de"},{"family":"Riley","given":"Ian"},{"family":"Chandramohan","given":"Daniel"},{"family":"Odhiambo","given":"Frank"},{"family":"Nichols","given":"Erin"},{"family":"Notzon","given":"Sam"},{"family":"AbouZahr","given":"Carla"},{"family":"Mitra","given":"Raj"},{"family":"Cobos Muñoz","given":"Daniel"},{"family":"Firth","given":"Sonja"},{"family":"Maire","given":"Nicolas"},{"family":"Sankoh","given":"Osman"},{"family":"Bronson","given":"Gay"},{"family":"Setel","given":"Philip"},{"family":"Byass","given":"Peter"},{"family":"Jakob","given":"Robert"},{"family":"Boerma","given":"Ties"},{"family":"Lopez","given":"Alan D."}],"issued":{"date-parts":[["2017",1,1]]},"citation-key":"desavignyIntegratingCommunitybasedVerbal2017"},"prefix":""},{"id":2500,"uris":["http://zotero.org/users/6749620/items/99DJCIT5"],"itemData":{"id":2500,"type":"article-journal","abstract":"Introduction Estimates suggest that one in two deaths go unrecorded globally every year in terms of medical causes, with the majority occurring in low and middle-income countries (LMICs). This can be related to low investment in civil registration and vital statistics (CRVS) systems. Verbal autopsy (VA) is a method that enables identification of cause of death where no other routine systems are in place and where many people die at home. Considering the utility of VA as a pragmatic, interim solution to the lack of functional CRVS, this review aimed to examine the use of VA to inform health policy and systems improvements.\nMethods A literature review was conducted including papers published between 2010 and 2017 according to a systematic search strategy. Inclusion of papers and data extraction were assessed by three reviewers. Thereafter, thematic analysis and narrative synthesis were conducted in which evidence was critically examined and key themes were identified.\nResults Twenty-six papers applying VA to inform health policy and systems developments were selected, including studies in 15 LMICs in Africa, Asia, the Middle East and South America. The majority of studies applied VA in surveillance sites or programmes actively engaging with decision makers and governments in different ways and to different degrees. In the papers reviewed, the value of continuous collection of cause of death data, supplemented by social and community-based investigations and underpinned by electronic data innovations, to establish a robust and reliable evidence base for health policies and programmes was clearly recognised.\nConclusion VA has considerable potential to inform policy, planning and measurement of progress towards goals and targets. Working collaboratively at sub-national, national and international levels facilitates data collection, aggregation and dissemination linked to routine information systems. When used in partnerships between researchers and authorities, VA can help to close critical information gaps and guide policy development, implementation, evaluation and investment in health systems.","container-title":"BMJ Global Health","DOI":"10.1136/bmjgh-2017-000639","ISSN":"2059-7908","issue":"2","language":"en","license":"© Article author(s) (or their employer(s) unless otherwise stated in the text of the article) 2018. All rights reserved. No commercial use is permitted unless otherwise expressly granted..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BMJ Specialist Journals\nsection: Research\nPMID: 29736271","page":"e000639","source":"gh.bmj.com","title":"Verbal autopsy in health policy and systems: a literature review","title-short":"Verbal autopsy in health policy and systems","volume":"3","author":[{"family":"Thomas","given":"Lisa-Marie"},{"family":"D’Ambruoso","given":"Lucia"},{"family":"Balabanova","given":"Dina"}],"issued":{"date-parts":[["2018",5,1]]},"citation-key":"thomasVerbalAutopsyHealth2018"},"prefix":""},{"id":2504,"uris":["http://zotero.org/users/6749620/items/D75T3X7H"],"itemData":{"id":2504,"type":"article-journal","abstract":"Objective To systematically review the reliability of hospital data on cause of death and encourage periodic reviews of these data using a standard method. Methods We searched Google Scholar, Pubmed and Biblioteca Virtual de la Salud for articles in English, Spanish and Portuguese that reported validation studies of data on cause of death. We analysed the results of 199 studies that had used medical record reviews to validate the cause of death reported on death certificates or by the vital registration system. Findings The screened studies had been published between 1983 and 2013 and their results had been reported in English (n = 124), Portuguese (n = 25) or Spanish (n = 50). Only 29 of the studies met our inclusion criteria. Of these, 13 had examined cause of death patterns at the population level – with a view to correcting cause-specific mortality fractions – while the other 16 had been undertaken to identify discrepancies in the diagnosis for specific diseases before and after medical record review. Most of the selected studies reported substantial misdiagnosis of causes of death in hospitals. There was wide variation in study methodologies. Many studies did not describe the methods used in sufficient detail to be able to assess the reproducibility or comparability of their results. Conclusion The assumption that causes of death are being accurately reported in hospitals is unfounded. To improve the reliability and usefulness of reported causes of death, national governments should do periodic medical record reviews to validate the quality of their hospital cause of death data, using a standard.","container-title":"Bulletin of the World Health Organization","DOI":"10.2471/BLT.14.137935","ISSN":"0042-9686, 0042-9686","journalAbbreviation":"Bull World Health Organ","language":"en","note":"publisher: World Health Organization","page":"807-816","source":"SciELO","title":"Systematic review of statistics on causes of deaths in hospitals: strengthening the evidence for policy-makers","title-short":"Systematic review of statistics on causes of deaths in hospitals","volume":"92","author":[{"family":"Rampatige","given":"Rasika"},{"family":"Mikkelsen","given":"Lene"},{"family":"Hernandez","given":"Bernardo"},{"family":"Riley","given":"Ian"},{"family":"Lopez","given":"Alan D."}],"issued":{"date-parts":[["2014",9,16]]},"citation-key":"rampatigeSystematicReviewStatistics2014"},"prefix":""},{"id":2520,"uris":["http://zotero.org/users/6749620/items/WWWDITLM"],"itemData":{"id":2520,"type":"article-journal","abstract":"Introduction The majority of low-income and middle-income countries (LMICs) have incomplete death registration systems and so the proportion of deaths that occur at home (ie, home death percentage) is generally unknown. However, home death percentage is important to estimate population-level causes of death from integration of data of deaths at home (verbal autopsies) and in hospitals (medical certification), and to monitor completeness of death notification and verbal autopsy data collection systems. This study proposes a method to estimate home death percentage using data readily available at the national and subnational level.\nMethods Data on place of death from 152 country-years in 49 countries from 2005 to 2019, predominantly from vital registration systems, were used to model home death percentage standardised for population age and cause distribution. A national-level model was developed using Bayesian model averaging to estimate national, regional and global home death percentage. A subnational-level model was also developed and assessed in populations where alternative data on home death percentage were available.\nResults Globally, it is estimated that 53.4% (95% uncertainty interval (UI) 50.8%–55.9%) of deaths occur at home, slightly higher (59.7%, 95% UI 56.5%–62.7%) in LMICs, substantially higher in low-income countries (79.5%, 95% UI 77.3%–81.5%) and much lower (27.3%, 95% UI 25.2%–29.6%) in high-income countries. Countries with the highest home death percentage are mostly found in South, East and Southeast Asia and sub-Saharan Africa (above 90% in Ethiopia, Chad and South Sudan). As expected, the national model has smaller error than the subnational model.\nConclusion The study demonstrates substantial diversity in the location of deaths in LMICs and fills a significant gap in knowledge about where people die, given its importance for health systems and policies. The high proportion of deaths in LMICs that occur at home reinforces the need for routine verbal autopsy to determine the causes of death.","container-title":"BMJ Global Health","DOI":"10.1136/bmjgh-2021-006766","ISSN":"2059-7908","issue":"9","language":"en","license":"© Author(s) (or their employer(s)) 2021.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http://creativecommons.org/licenses/by-nc/4.0/.","note":"publisher: BMJ Specialist Journals\nsection: Original research\nPMID: 34479953","page":"e006766","source":"gh.bmj.com","title":"Who dies where? Estimating the percentage of deaths that occur at home","title-short":"Who dies where?","volume":"6","author":[{"family":"Adair","given":"Tim"}],"issued":{"date-parts":[["2021",9,1]]},"citation-key":"adairWhoDiesWhere2021"},"prefix":""}],"schema":"https://github.com/citation-style-language/schema/raw/master/csl-citation.json"} </w:instrText>
      </w:r>
      <w:r>
        <w:fldChar w:fldCharType="separate"/>
      </w:r>
      <w:r w:rsidR="00F14B32" w:rsidRPr="00F14B32">
        <w:rPr>
          <w:rFonts w:ascii="Aptos" w:cs="Times New Roman"/>
        </w:rPr>
        <w:t>[8–11]</w:t>
      </w:r>
      <w:r>
        <w:fldChar w:fldCharType="end"/>
      </w:r>
      <w:r>
        <w:t>.</w:t>
      </w:r>
    </w:p>
    <w:p w:rsidR="00260484" w:rsidRDefault="00000000">
      <w:pPr>
        <w:pStyle w:val="BodyText"/>
      </w:pPr>
      <w:r>
        <w:t xml:space="preserve">VA involves two major components: survey and COD assignment </w:t>
      </w:r>
      <w:r>
        <w:fldChar w:fldCharType="begin"/>
      </w:r>
      <w:r w:rsidR="00F14B32">
        <w:instrText xml:space="preserve"> ADDIN ZOTERO_ITEM CSL_CITATION {"citationID":"00000006","properties":{"unsorted":false,"formattedCitation":"[12\\uc0\\u8211{}14]","plainCitation":"[12–14]","noteIndex":0},"citationItems":[{"id":2489,"uris":["http://zotero.org/users/6749620/items/89YFAUUB"],"itemData":{"id":2489,"type":"report","abstract":"Publications of the World Health Organization","language":"en","title":"Verbal autopsy standards: 2022 WHO verbal autopsy instrument","title-short":"Verbal autopsy standards","URL":"https://www.who.int/publications/m/item/training-curriculum-for-the-training-of-verbal-autopsy-master-trainers-and-supervisors","author":[{"literal":"World Health Organization"}],"accessed":{"date-parts":[["2023",12,12]]},"issued":{"date-parts":[["2023"]]},"citation-key":"worldhealthorganizationVerbalAutopsyStandards2023"},"prefix":""},{"id":2550,"uris":["http://zotero.org/users/6749620/items/MEQX2BIQ"],"itemData":{"id":2550,"type":"article-journal","abstract":"Over the past 70 years, significant advances have been made in determining the causes of death in populations not served by official medical certification of cause at the time of death using a technique known as Verbal Autopsy (VA). VA involves an interview of the family or caregivers of the deceased after a suitable bereavement interval about the circumstances, signs and symptoms of the deceased in the period leading to death. The VA interview data are then interpreted by physicians or, more recently, computer algorithms, to assign a probable cause of death. VA was originally developed and applied in field research settings. This paper traces the evolution of VA methods with special emphasis on the World Health Organization’s (WHO)’s efforts to standardize VA instruments and methods for expanded use in routine health information and vital statistics systems in low- and middle-income countries (LMICs). These advances in VA methods are culminating this year with the release of the 2022 WHO Standard Verbal Autopsy (VA) Toolkit. This paper highlights the many contributions the late Professor Peter Byass made to the current VA standards and methods, most notably, the development of InterVA, the most commonly used automated computer algorithm for interpreting data collected in the WHO standard instruments, and the capacity building in low- and middle-income countries (LMICs) that he promoted. This paper also provides an overview of the methods used to improve the current WHO VA standards, a catalogue of the changes and improvements in the instruments, and a mapping of current applications of the WHO VA standard approach in LMICs. It also provides access to tools and guidance needed for VA implementation in Civil Registration and Vital Statistics Systems at scale.","container-title":"Global Health Action","DOI":"10.1080/16549716.2021.1982486","ISSN":"1654-9716","issue":"sup1","note":"publisher: Taylor &amp; Francis\n_eprint: https://doi.org/10.1080/16549716.2021.1982486\nPMID: 35377290","page":"1982486","source":"Taylor and Francis+NEJM","title":"Estimating causes of death where there is no medical certification: evolution and state of the art of verbal autopsy","title-short":"Estimating causes of death where there is no medical certification","volume":"14","author":[{"family":"Chandramohan","given":"Daniel"},{"family":"Fottrell","given":"Edward"},{"family":"Leitao","given":"Jordana"},{"family":"Nichols","given":"Erin"},{"family":"Clark","given":"Samuel J."},{"family":"Alsokhn","given":"Carine"},{"family":"Cobos Munoz","given":"Daniel"},{"family":"AbouZahr","given":"Carla"},{"family":"Di Pasquale","given":"Aurelio"},{"family":"Mswia","given":"Robert"},{"family":"Choi","given":"Eungang"},{"family":"Baiden","given":"Frank"},{"family":"Thomas","given":"Jason"},{"family":"Lyatuu","given":"Isaac"},{"family":"Li","given":"Zehang"},{"family":"Larbi-Debrah","given":"Patrick"},{"family":"Chu","given":"Yue"},{"family":"Cheburet","given":"Samuel"},{"family":"Sankoh","given":"Osman"},{"family":"Mohamed Badr","given":"Azza"},{"family":"Fat","given":"Doris Ma"},{"family":"Setel","given":"Philip"},{"family":"Jakob","given":"Robert"},{"family":"Savigny","given":"Don","non-dropping-particle":"de"}],"issued":{"date-parts":[["2021",10,26]]},"citation-key":"chandramohanEstimatingCausesDeath2021"},"prefix":""},{"id":2639,"uris":["http://zotero.org/users/6749620/items/AWZLGNR4"],"itemData":{"id":2639,"type":"book","publisher":"World Health Organization","source":"Google Scholar","title":"Verbal autopsy standards: ascertaining and attributing cause of death","title-short":"Verbal autopsy standards","URL":"https://apps.who.int/iris/bitstream/handle/10665/43764/9789241547215_eng.pdf","author":[{"literal":"World Health Organization"}],"accessed":{"date-parts":[["2024",1,23]]},"issued":{"date-parts":[["2007"]]},"citation-key":"worldhealthorganizationVerbalAutopsyStandards2007"},"prefix":""}],"schema":"https://github.com/citation-style-language/schema/raw/master/csl-citation.json"} </w:instrText>
      </w:r>
      <w:r>
        <w:fldChar w:fldCharType="separate"/>
      </w:r>
      <w:r w:rsidR="00F14B32" w:rsidRPr="00F14B32">
        <w:rPr>
          <w:rFonts w:ascii="Aptos" w:cs="Times New Roman"/>
        </w:rPr>
        <w:t>[12–14]</w:t>
      </w:r>
      <w:r>
        <w:fldChar w:fldCharType="end"/>
      </w:r>
      <w:r>
        <w:t xml:space="preserve">. In the survey component, trained interviewers use structured questionnaires and open narrative prompts to gather data from relatives or close contacts of the deceased. In the COD assignment component, physicians review these data to determine the most likely COD. However, reliance on physician assignment has been criticized for limited reproducibility and subjectivity </w:t>
      </w:r>
      <w:r>
        <w:fldChar w:fldCharType="begin"/>
      </w:r>
      <w:r w:rsidR="00F14B32">
        <w:instrText xml:space="preserve"> ADDIN ZOTERO_ITEM CSL_CITATION {"citationID":"00000007","properties":{"unsorted":false,"formattedCitation":"[15\\uc0\\u8211{}19]","plainCitation":"[15–19]","noteIndex":0},"citationItems":[{"id":2597,"uris":["http://zotero.org/users/6749620/items/6SK7HCRL"],"itemData":{"id":2597,"type":"article-journal","abstract":"Progress toward the United Nations 2030 Sustainable Development Goals requires improved information on mortality and causes of death. However, causes of many of the fifty million annual deaths in low- and middle-income countries remain unknown, as most of the deaths occur at home without medical attention. In 2001 India began the Million Death Study in 1.3 million nationally representative households. Nonmedical staff conduct verbal autopsies, which are structured interviews including a half-page narrative in local language of the family’s story of the symptoms and events leading to death. Two physicians independently assess each death to arrive at an underlying cause of death. The study has thus far yielded information that substantially altered previous estimates of cause-specific mortality and risk factors in India. Similar robust studies are feasible at low cost in other low- and middle-income countries, particularly if they adopt electronic data management and ensure high quality of fieldwork and physician coding. Nationwide mortality studies enable the quantification of avoidable premature mortality and key risk factors for disease, and provide a practicable method to monitor progress toward the Sustainable Development Goals.","container-title":"Health Affairs","DOI":"10.1377/hlthaff.2017.0635","ISSN":"0278-2715","issue":"11","note":"publisher: Health Affairs","page":"1887-1895","source":"healthaffairs.org (Atypon)","title":"Nationwide Mortality Studies To Quantify Causes Of Death: Relevant Lessons From India’s Million Death Study","title-short":"Nationwide Mortality Studies To Quantify Causes Of Death","volume":"36","author":[{"family":"Gomes","given":"Mireille"},{"family":"Begum","given":"Rehana"},{"family":"Sati","given":"Prabha"},{"family":"Dikshit","given":"Rajesh"},{"family":"Gupta","given":"Prakash C."},{"family":"Kumar","given":"Rajesh"},{"family":"Sheth","given":"Jay"},{"family":"Habib","given":"Asad"},{"family":"Jha","given":"Prabhat"}],"issued":{"date-parts":[["2017",11]]},"citation-key":"gomesNationwideMortalityStudies2017"},"prefix":""},{"id":2595,"uris":["http://zotero.org/users/6749620/items/HA5GEG9G"],"itemData":{"id":2595,"type":"article-journal","abstract":"Background Over 75% of the annual estimated 9.5 million deaths in India occur in the home, and the large majority of these do not have a certified cause. India and other developing countries urgently need reliable quantification of the causes of death. They also need better epidemiological evidence about the relevance of physical (such as blood pressure and obesity), behavioral (such as smoking, alcohol, HIV-1 risk taking, and immunization history), and biological (such as blood lipids and gene polymorphisms) measurements to the development of disease in individuals or disease rates in populations. We report here on the rationale, design, and implementation of the world's largest prospective study of the causes and correlates of mortality. Methods and Findings We will monitor nearly 14 million people in 2.4 million nationally representative Indian households (6.3 million people in 1.1 million households in the 1998–2003 sample frame and 7.6 million people in 1.3 million households in the 2004–2014 sample frame) for vital status and, if dead, the causes of death through a well-validated verbal autopsy (VA) instrument. About 300,000 deaths from 1998–2003 and some 700,000 deaths from 2004–2014 are expected; of these about 850,000 will be coded by two physicians to provide causes of death by gender, age, socioeconomic status, and geographical region. Pilot studies will evaluate the addition of physical and biological measurements, specifically dried blood spots. Preliminary results from over 35,000 deaths suggest that VA can ascertain the leading causes of death, reduce the misclassification of causes, and derive the probable underlying cause of death when it has not been reported. VA yields broad classification of the underlying causes in about 90% of deaths before age 70. In old age, however, the proportion of classifiable deaths is lower. By tracking underlying demographic denominators, the study permits quantification of absolute mortality rates. Household case-control, proportional mortality, and nested case-control methods permit quantification of risk factors. Conclusions This study will reliably document not only the underlying cause of child and adult deaths but also key risk factors (behavioral, physical, environmental, and eventually, genetic). It offers a globally replicable model for reliably estimating cause-specific mortality using VA and strengthens India's flagship mortality monitoring system. Despite the misclassification that is still expected, the new cause-of-death data will be substantially better than that available previously.","container-title":"PLOS Medicine","DOI":"10.1371/journal.pmed.0030018","ISSN":"1549-1676","issue":"2","journalAbbreviation":"PLOS Medicine","language":"en","note":"publisher: Public Library of Science","page":"e18","source":"PLoS Journals","title":"Prospective Study of One Million Deaths in India: Rationale, Design, and Validation Results","title-short":"Prospective Study of One Million Deaths in India","volume":"3","author":[{"family":"Jha","given":"Prabhat"},{"family":"Gajalakshmi","given":"Vendhan"},{"family":"Gupta","given":"Prakash C."},{"family":"Kumar","given":"Rajesh"},{"family":"Mony","given":"Prem"},{"family":"Dhingra","given":"Neeraj"},{"family":"Peto","given":"Richard"},{"family":"Collaborators","given":"RGI-CGHR Prospective Study"}],"issued":{"date-parts":[["2005",12,20]]},"citation-key":"jhaProspectiveStudyOne2005"},"prefix":""},{"id":2641,"uris":["http://zotero.org/users/6749620/items/KVHNNXR8"],"itemData":{"id":2641,"type":"article-journal","abstract":"In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J."}],"issued":{"date-parts":[["2016"]]},"citation-key":"mccormickProbabilisticCauseofdeathAssignment2016b"},"prefix":""},{"id":2522,"uris":["http://zotero.org/users/6749620/items/EENU37GZ"],"itemData":{"id":2522,"type":"article-journal","container-title":"PloS one","issue":"3","note":"tex.ids= morrisFactorsAssociatedPhysician2010a\npublisher: Public Library of Science San Francisco, USA","page":"e9583","source":"Google Scholar","title":"Factors associated with physician agreement on verbal autopsy of over 27000 childhood deaths in India","volume":"5","author":[{"family":"Morris","given":"Shaun K."},{"family":"Bassani","given":"Diego G."},{"family":"Kumar","given":"Rajesh"},{"family":"Awasthi","given":"Shally"},{"family":"Paul","given":"Vinod K."},{"family":"Jha","given":"Prabhat"}],"issued":{"date-parts":[["2010"]]},"citation-key":"morrisFactorsAssociatedPhysician2010"},"prefix":""},{"id":2637,"uris":["http://zotero.org/users/6749620/items/RKA3T55R"],"itemData":{"id":2637,"type":"article-journal","container-title":"Bulletin of the World Health Organization","issue":"3","note":"publisher: SciELO Public Health","page":"239–245","source":"Google Scholar","title":"Verbal autopsy: current practices and challenges","title-short":"Verbal autopsy","volume":"84","author":[{"family":"Soleman","given":"Nadia"},{"family":"Chandramohan","given":"Daniel"},{"family":"Shibuya","given":"Kenji"}],"issued":{"date-parts":[["2006"]]},"citation-key":"solemanVerbalAutopsyCurrent2006"},"prefix":""}],"schema":"https://github.com/citation-style-language/schema/raw/master/csl-citation.json"} </w:instrText>
      </w:r>
      <w:r>
        <w:fldChar w:fldCharType="separate"/>
      </w:r>
      <w:r w:rsidR="00F14B32" w:rsidRPr="00F14B32">
        <w:rPr>
          <w:rFonts w:ascii="Aptos" w:cs="Times New Roman"/>
        </w:rPr>
        <w:t>[15–19]</w:t>
      </w:r>
      <w:r>
        <w:fldChar w:fldCharType="end"/>
      </w:r>
      <w:r>
        <w:t xml:space="preserve">. To overcome these limitations, automated Computer Coded Verbal Autopsy (CCVA) methods such as InterVA </w:t>
      </w:r>
      <w:r>
        <w:fldChar w:fldCharType="begin"/>
      </w:r>
      <w:r w:rsidR="00F14B32">
        <w:instrText xml:space="preserve"> ADDIN ZOTERO_ITEM CSL_CITATION {"citationID":"00000008","properties":{"unsorted":false,"formattedCitation":"[20]","plainCitation":"[20]","noteIndex":0},"citationItems":[{"id":2581,"uris":["http://zotero.org/users/6749620/items/U3A2VM9I"],"itemData":{"id":2581,"type":"article-journal","abstract":"Verbal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schema":"https://github.com/citation-style-language/schema/raw/master/csl-citation.json"} </w:instrText>
      </w:r>
      <w:r>
        <w:fldChar w:fldCharType="separate"/>
      </w:r>
      <w:r w:rsidR="00F14B32">
        <w:rPr>
          <w:noProof/>
        </w:rPr>
        <w:t>[20]</w:t>
      </w:r>
      <w:r>
        <w:fldChar w:fldCharType="end"/>
      </w:r>
      <w:r>
        <w:t xml:space="preserve"> and InSilicoVA </w:t>
      </w:r>
      <w:r>
        <w:fldChar w:fldCharType="begin"/>
      </w:r>
      <w:r w:rsidR="00F14B32">
        <w:instrText xml:space="preserve"> ADDIN ZOTERO_ITEM CSL_CITATION {"citationID":"00000009","properties":{"unsorted":false,"formattedCitation":"[17]","plainCitation":"[17]","noteIndex":0},"citationItems":[{"id":2641,"uris":["http://zotero.org/users/6749620/items/KVHNNXR8"],"itemData":{"id":2641,"type":"article-journal","abstract":"In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fldChar w:fldCharType="separate"/>
      </w:r>
      <w:r w:rsidR="00F14B32">
        <w:rPr>
          <w:noProof/>
        </w:rPr>
        <w:t>[17]</w:t>
      </w:r>
      <w:r>
        <w:fldChar w:fldCharType="end"/>
      </w:r>
      <w:r>
        <w:t xml:space="preserve"> have been developed. These models offer scalable and reproducible alternatives and have </w:t>
      </w:r>
      <w:r>
        <w:lastRenderedPageBreak/>
        <w:t xml:space="preserve">demonstrated comparable performance to physicians at the population level. However, their performance at the individual level remains limited </w:t>
      </w:r>
      <w:r>
        <w:fldChar w:fldCharType="begin"/>
      </w:r>
      <w:r w:rsidR="00F14B32">
        <w:instrText xml:space="preserve"> ADDIN ZOTERO_ITEM CSL_CITATION {"citationID":"00000010","properties":{"unsorted":false,"formattedCitation":"[21\\uc0\\u8211{}25]","plainCitation":"[21–25]","noteIndex":0},"citationItems":[{"id":2532,"uris":["http://zotero.org/users/6749620/items/SU7YDIGK"],"itemData":{"id":2532,"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J."}],"issued":{"date-parts":[["2019",6,27]]},"citation-key":"jhaAutomatedPhysicianAssignment2019"},"prefix":""},{"id":2536,"uris":["http://zotero.org/users/6749620/items/9MB658MJ"],"itemData":{"id":2536,"type":"article-journal","abstract":"Computer-coded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id":2542,"uris":["http://zotero.org/users/6749620/items/5GHPUY8C"],"itemData":{"id":2542,"type":"article-journal","abstract":"Physician-coded verbal autopsy (PCVA) is the most widely used method to determine causes of death (CODs) in countries where medical certification of death is uncommon. Computer-coded verbal autopsy (CCVA) methods have been proposed as a faster and cheaper alternative to PCVA, though they have not been widely compared to PCVA or to each other.","container-title":"BMC Medicine","DOI":"10.1186/1741-7015-12-20","ISSN":"1741-7015","issue":"1","journalAbbreviation":"BMC Medicine","page":"20","source":"BioMed Central","title":"Performance of four computer-coded verbal autopsy methods for cause of death assignment compared with physician coding on 24,000 deaths in low- and middle-income countries","volume":"12","author":[{"family":"Desai","given":"Nikita"},{"family":"Aleksandrowicz","given":"Lukasz"},{"family":"Miasnikof","given":"Pierre"},{"family":"Lu","given":"Ying"},{"family":"Leitao","given":"Jordana"},{"family":"Byass","given":"Peter"},{"family":"Tollman","given":"Stephen"},{"family":"Mee","given":"Paul"},{"family":"Alam","given":"Dewan"},{"family":"Rathi","given":"Suresh Kumar"},{"family":"Singh","given":"Abhishek"},{"family":"Kumar","given":"Rajesh"},{"family":"Ram","given":"Faujdar"},{"family":"Jha","given":"Prabhat"}],"issued":{"date-parts":[["2014",2,4]]},"citation-key":"desaiPerformanceFourComputercoded2014"},"prefix":""},{"id":2546,"uris":["http://zotero.org/users/6749620/items/X7EX7RNQ"],"itemData":{"id":2546,"type":"article-journal","abstract":"Objectives To systematically review current practices, strengths and limitations of existing VA approaches to increase understanding of health system stakeholders and researchers. Methods The review was conducted and reported based on the Preferred Reporting Items for Systematic Reviews and Meta-Analysis (PRISMA) guidelines, in which articles were systematically obtained from the PubMed and SCOPUS online databases. The search was limited to English language journal articles published between 2010 and 2020. The review identified 5602 articles and after thorough scrutiny, 25 articles related to VA approaches were included. Results (1) InterVA and Tariff are widely used VA models; (2) Bayes rule is the most common and successful algorithm; (3) the lack of standardised datasets and metrics to evaluate models creates bias in determining VA model performance; (4) performance of the models trained using in-hospital data cannot be replicated in community death; (5) the performance of models among physicians and computer-coded algorithms differs with variation in settings. Conclusion The physician-certified verbal autopsy (PCVA) approaches are more effective in determining community CoD while computerised coding of verbal autopsy (CCVA) models perform well when the underlying CoD are reliably established using hospital data where data are trained in a similar environment to the target population. Our study recommends the use of hybrid models that combine strengths from various models and using an open standards dataset that includes death from different settings.","container-title":"Tropical Medicine &amp; International Health","DOI":"10.1111/tmi.13678","ISSN":"1365-3156","issue":"12","language":"en","license":"© 2021 John Wiley &amp; Sons Ltd","note":"_eprint: https://onlinelibrary.wiley.com/doi/pdf/10.1111/tmi.13678","page":"1560-1567","source":"Wiley Online Library","title":"Verbal autopsy models in determining causes of death","volume":"26","author":[{"family":"Tunga","given":"Mahadia"},{"family":"Lungo","given":"Juma"},{"family":"Chambua","given":"James"},{"family":"Kateule","given":"Ruthbetha"}],"issued":{"date-parts":[["2021"]]},"citation-key":"tungaVerbalAutopsyModels2021"},"prefix":""},{"id":2643,"uris":["http://zotero.org/users/6749620/items/64APSK52"],"itemData":{"id":2643,"type":"article-journal","abstract":"Developing countries generally lack complete vital registration systems that can produce cause of death information for health planning in their populations. As an alternative, verbal autopsy (VA) - the process of interviewing family members or caregivers on the circumstances leading to death - is often used by Demographic Surveillance Systems to generate cause of death data. Physician review (PR) is the most common method of interpreting VA, but this method is a time- and resource-intensive process and is liable to produce inconsistent results. The aim of this paper is to explore how a computer-based probabilistic model, InterVA, performs in comparison with PR in interpreting VA data in the Nairobi Urban Health and Demographic Surveillance System (NUHDSS).","container-title":"Population Health Metrics","DOI":"10.1186/1478-7954-8-21","ISSN":"1478-7954","issue":"1","journalAbbreviation":"Popul Health Metrics","language":"en","page":"21","source":"Springer Link","title":"Verbal autopsy interpretation: a comparative analysis of the InterVA model versus physician review in determining causes of death in the Nairobi DSS","title-short":"Verbal autopsy interpretation","volume":"8","author":[{"family":"Oti","given":"Samuel O."},{"family":"Kyobutungi","given":"Catherine"}],"issued":{"date-parts":[["2010",6,29]]},"citation-key":"otiVerbalAutopsyInterpretation2010"},"prefix":""}],"schema":"https://github.com/citation-style-language/schema/raw/master/csl-citation.json"} </w:instrText>
      </w:r>
      <w:r>
        <w:fldChar w:fldCharType="separate"/>
      </w:r>
      <w:r w:rsidR="00F14B32" w:rsidRPr="00F14B32">
        <w:rPr>
          <w:rFonts w:ascii="Aptos" w:cs="Times New Roman"/>
        </w:rPr>
        <w:t>[21–25]</w:t>
      </w:r>
      <w:r>
        <w:fldChar w:fldCharType="end"/>
      </w:r>
      <w:r>
        <w:t xml:space="preserve">, while their reliance on structured questionnaire data often omits open narrative text, which can contain additional contextual and chronological information that may improve diagnostic accuracy </w:t>
      </w:r>
      <w:r>
        <w:fldChar w:fldCharType="begin"/>
      </w:r>
      <w:r w:rsidR="00F14B32">
        <w:instrText xml:space="preserve"> ADDIN ZOTERO_ITEM CSL_CITATION {"citationID":"00000011","properties":{"unsorted":false,"formattedCitation":"[26\\uc0\\u8211{}28]","plainCitation":"[26–28]","noteIndex":0},"citationItems":[{"id":2539,"uris":["http://zotero.org/users/6749620/items/T3TI6D5R"],"itemData":{"id":2539,"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2555,"uris":["http://zotero.org/users/6749620/items/RY3R9T7M"],"itemData":{"id":2555,"type":"article-journal","abstract":"The international standard to ascertain the cause of death is medical certification. However, in many low and middle-income countries, the majority of deaths occur outside of health facilities. In these cases, Verbal Autopsy (VA), the narrative provided by a family member or friend together with a questionnaire is designed by the World Health Organization as the main information source. Until now technology allowed us to automatically analyze the responses of the VA questionnaire with the narrative captured by the interviewer excluded. Our work addresses this gap by developing a set of models for automatic Cause of Death (CoD) ascertainment in VAs with a focus on the textual information. Empirical results show that the open response conveys valuable information towards the ascertainment of the Cause of Death, and the combination of the closed-ended questions and the open response lead to the best results. Model interpretation capabilities position the Deep Learning models as the most encouraging choice.","container-title":"IEEE Journal of Biomedical and Health Informatics","DOI":"10.1109/JBHI.2020.3005769","ISSN":"2168-2208","issue":"4","note":"event-title: IEEE Journal of Biomedical and Health Informatics","page":"1315-1325","source":"IEEE Xplore","title":"Extracting Cause of Death From Verbal Autopsy With Deep Learning Interpretable Methods","volume":"25","author":[{"family":"Blanco","given":"Alberto"},{"family":"Pérez","given":"Alicia"},{"family":"Casillas","given":"Arantza"},{"family":"Cobos","given":"Daniel"}],"issued":{"date-parts":[["2021",4]]},"citation-key":"blancoExtractingCauseDeath2021"},"prefix":""},{"id":2557,"uris":["http://zotero.org/users/6749620/items/IMY94F34"],"itemData":{"id":2557,"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fldChar w:fldCharType="separate"/>
      </w:r>
      <w:r w:rsidR="00F14B32" w:rsidRPr="00F14B32">
        <w:rPr>
          <w:rFonts w:ascii="Aptos" w:cs="Times New Roman"/>
        </w:rPr>
        <w:t>[26–28]</w:t>
      </w:r>
      <w:r>
        <w:fldChar w:fldCharType="end"/>
      </w:r>
      <w:r>
        <w:t>.</w:t>
      </w:r>
    </w:p>
    <w:p w:rsidR="00260484" w:rsidRDefault="00000000">
      <w:pPr>
        <w:pStyle w:val="BodyText"/>
      </w:pPr>
      <w:r>
        <w:t xml:space="preserve">Recent advances in large language models (LLMs), trained on vast textual datasets using deep learning methods, have significantly improved natural language processing (NLP) capabilities. These include tasks such as question answering, code generation, and medical reasoning based on free text </w:t>
      </w:r>
      <w:r>
        <w:fldChar w:fldCharType="begin"/>
      </w:r>
      <w:r w:rsidR="00F14B32">
        <w:instrText xml:space="preserve"> ADDIN ZOTERO_ITEM CSL_CITATION {"citationID":"00000012","properties":{"unsorted":false,"formattedCitation":"[29\\uc0\\u8211{}32]","plainCitation":"[29–32]","noteIndex":0},"citationItems":[{"id":2566,"uris":["http://zotero.org/users/6749620/items/EEPG7RH8"],"itemData":{"id":2566,"type":"article","abstract":"Large language models (LLMs) are gaining increasing popularity in both academia and industry, owing to their unprecedented performance in various applications. As LLMs continue to play a vital role in both research and daily use, their evaluation becomes increasingly critical, not only at the task level, but also at the society level for better understanding of their potential risks. Over the past years, significant efforts have been made to examine LLMs from various perspectives. This paper presents a comprehensive review of these evaluation methods for LLMs, focusing on three key dimensions: what to evaluate, where to evaluate, and how to evaluate. Firstly, we provide an overview from the perspective of evaluation tasks, encompassing general natural language processing tasks, reasoning, medical usage, ethics, educations, natural and social sciences, agent applications, and other areas. Secondly, we answer the `where' and `how' questions by diving into the evaluation methods and benchmarks, which serve as crucial components in assessing performance of LLMs. Then, we summarize the success and failure cases of LLMs in different tasks. Finally, we shed light on several future challenges that lie ahead in LLMs evaluation. Our aim is to offer invaluable insights to researchers in the realm of LLMs evaluation, thereby aiding the development of more proficient LLMs. Our key point is that evaluation should be treated as an essential discipline to better assist the development of LLMs. We consistently maintain the related open-source materials at: https://github.com/MLGroupJLU/LLM-eval-survey.","DOI":"10.48550/arXiv.2307.03109","note":"arXiv:2307.03109 [cs]","number":"arXiv:2307.03109","publisher":"arXiv","source":"arXiv.org","title":"A Survey on Evaluation of Large Language Models","URL":"http://arxiv.org/abs/2307.03109","author":[{"family":"Chang","given":"Yupeng"},{"family":"Wang","given":"Xu"},{"family":"Wang","given":"Jindong"},{"family":"Wu","given":"Yuan"},{"family":"Yang","given":"Linyi"},{"family":"Zhu","given":"Kaijie"},{"family":"Chen","given":"Hao"},{"family":"Yi","given":"Xiaoyuan"},{"family":"Wang","given":"Cunxiang"},{"family":"Wang","given":"Yidong"},{"family":"Ye","given":"Wei"},{"family":"Zhang","given":"Yue"},{"family":"Chang","given":"Yi"},{"family":"Yu","given":"Philip S."},{"family":"Yang","given":"Qiang"},{"family":"Xie","given":"Xing"}],"accessed":{"date-parts":[["2024",1,6]]},"issued":{"date-parts":[["2023",12,28]]},"citation-key":"changSurveyEvaluationLarge2023"},"prefix":""},{"id":2576,"uris":["http://zotero.org/users/6749620/items/H4LWE5DP"],"itemData":{"id":2576,"type":"article-journal","abstract":"Purpose This paper aims to provide an overview of key definitions related to ChatGPT, a public tool developed by OpenAI, and its underlying technology, Generative Pretrained Transformer (GPT). Design/methodology/approach This paper includes an interview with ChatGPT on its potential impact on academia and libraries. The interview discusses the benefits of ChatGPT such as improving search and discovery, reference and information services; cataloging and metadata generation; and content creation, as well as the ethical considerations that need to be taken into account, such as privacy and bias. Findings ChatGPT has considerable power to advance academia and librarianship in both anxiety-provoking and exciting new ways. However, it is important to consider how to use this technology responsibly and ethically, and to uncover how we, as professionals, can work alongside this technology to improve our work, rather than to abuse it or allow it to abuse us in the race to create new scholarly knowledge and educate future professionals. Originality/value This paper discusses the history and technology of GPT, including its generative pretrained transformer model, its ability to perform a wide range of language-based tasks and how ChatGPT uses this technology to function as a sophisticated chatbot.","container-title":"Library Hi Tech News","DOI":"10.1108/LHTN-01-2023-0009","ISSN":"0741-9058","issue":"3","note":"publisher: Emerald Publishing Limited","page":"26-29","source":"Emerald Insight","title":"Chatting about ChatGPT: how may AI and GPT impact academia and libraries?","title-short":"Chatting about ChatGPT","volume":"40","author":[{"family":"Lund","given":"Brady D."},{"family":"Wang","given":"Ting"}],"issued":{"date-parts":[["2023",1,1]]},"citation-key":"lundChattingChatGPTHow2023"},"prefix":""},{"id":2573,"uris":["http://zotero.org/users/6749620/items/PET796P5"],"itemData":{"id":2573,"type":"paper-conference","abstract":"In software development through integrated development environments (IDEs), code completion is one of the most widely used features. Nevertheless, majority of integrated development environments only support completion of methods and APIs, or arguments. In this paper, we introduce IntelliCode Compose – a general-purpose multilingual code completion tool which is capable of predicting sequences of code tokens of arbitrary types, generating up to entire lines of syntactically correct code. It leverages state-of-the-art generative transformer model trained on 1.2 billion lines of source code in Python, C#, JavaScript and TypeScript programming languages. IntelliCode Compose is deployed as a cloud-based web service. It makes use of client-side tree-based caching, efficient parallel implementation of the beam search decoder, and compute graph optimizations to meet edit-time completion suggestion requirements in the Visual Studio Code IDE and Azure Notebook. Our best model yields an average edit similarity of 86.7% and a perplexity of 1.82 for Python programming language.","collection-title":"ESEC/FSE 2020","container-title":"Proceedings of the 28th ACM Joint Meeting on European Software Engineering Conference and Symposium on the Foundations of Software Engineering","DOI":"10.1145/3368089.3417058","event-place":"New York, NY, USA","ISBN":"978-1-4503-7043-1","page":"1433–1443","publisher":"Association for Computing Machinery","publisher-place":"New York, NY, USA","source":"ACM Digital Library","title":"IntelliCode compose: code generation using transformer","title-short":"IntelliCode compose","URL":"https://doi.org/10.1145/3368089.3417058","author":[{"family":"Svyatkovskiy","given":"Alexey"},{"family":"Deng","given":"Shao Kun"},{"family":"Fu","given":"Shengyu"},{"family":"Sundaresan","given":"Neel"}],"accessed":{"date-parts":[["2024",1,6]]},"issued":{"date-parts":[["2020",11,8]]},"citation-key":"svyatkovskiyIntelliCodeComposeCode2020"},"prefix":""},{"id":2571,"uris":["http://zotero.org/users/6749620/items/X8J6D5RZ"],"itemData":{"id":2571,"type":"article-journal","abstract":"For years, experts have speculated about the future role of artificial intelligence (AI) in health care. Some AI tools can outperform physicians on specific tasks in radiology, dermatology, and other fields, which raised concerns that AI might render certain specialists obsolete. Some feared AI might expose patients and clinicians to novel risks. Others wondered whether physicians could use AI in good conscience if they do not understand how it works, or whether clinicians who fail to adopt it might be accused of providing substandard care.These concerns have faded somewhat as high-profile AI platforms like IBM Watson failed to deliver on their promise. Moreover, lacking anything resembling general intelligence, AI bested humans only at narrowly defined tasks. However, AI-related fears reemerged with the rise of language learning models (LLMs), exemplified by Open AI’s GPT (now in its fourth version). This technology has left clinicians wondering how they might use LLMs and what risks the technology poses to patients and clinicians.","container-title":"JAMA","DOI":"10.1001/jama.2023.5321","ISSN":"0098-7484","issue":"16","journalAbbreviation":"JAMA","page":"1349-1350","source":"Silverchair","title":"AI-Generated Medical Advice—GPT and Beyond","volume":"329","author":[{"family":"Haupt","given":"Claudia E."},{"family":"Marks","given":"Mason"}],"issued":{"date-parts":[["2023",4,25]]},"citation-key":"hauptAIGeneratedMedicalAdvice2023"},"prefix":""}],"schema":"https://github.com/citation-style-language/schema/raw/master/csl-citation.json"} </w:instrText>
      </w:r>
      <w:r>
        <w:fldChar w:fldCharType="separate"/>
      </w:r>
      <w:r w:rsidR="00F14B32" w:rsidRPr="00F14B32">
        <w:rPr>
          <w:rFonts w:ascii="Aptos" w:cs="Times New Roman"/>
        </w:rPr>
        <w:t>[29–32]</w:t>
      </w:r>
      <w:r>
        <w:fldChar w:fldCharType="end"/>
      </w:r>
      <w:r>
        <w:t xml:space="preserve">. ChatGPT, developed by OpenAI and released in 2022, is a widely accessible LLM capable of generating human-like responses to natural language queries. Earlier versions (GPT-1 to GPT-3) scaled from 117 million to 175 billion parameters and were trained on data ranging from 5 GB to 45 TB </w:t>
      </w:r>
      <w:r>
        <w:fldChar w:fldCharType="begin"/>
      </w:r>
      <w:r w:rsidR="00F14B32">
        <w:instrText xml:space="preserve"> ADDIN ZOTERO_ITEM CSL_CITATION {"citationID":"00000013","properties":{"unsorted":false,"formattedCitation":"[33]","plainCitation":"[33]","noteIndex":0},"citationItems":[{"id":2560,"uris":["http://zotero.org/users/6749620/items/35FCQSMW"],"itemData":{"id":2560,"type":"article-journal","abstract":"&lt;p&gt;ChatGPT, an artificial intelligence generated content (AIGC) model developed by OpenAI, has attracted worldwide attention for its capability of dealing with challenging language understanding and generation tasks in the form of conversations. This paper briefly provides an overview on the history, status quo and potential future development of ChatGPT, helping to provide an entry point to think about ChatGPT. Specifically, from the limited open-accessed resources, we conclude the core techniques of ChatGPT, mainly including large-scale language models, in-context learning, reinforcement learning from human feedback and the key technical steps for developing ChatGPT. We further analyze the pros and cons of ChatGPT and we rethink the duality of ChatGPT in various fields. Although it has been widely acknowledged that ChatGPT brings plenty of opportunities for various fields, mankind should still treat and use ChatGPT properly to avoid the potential threat, e.g., academic integrity and safety challenge. Finally, we discuss several open problems as the potential development of ChatGPT.&lt;/p&gt;","container-title":"IEEE/CAA Journal of Automatica Sinica","DOI":"10.1109/JAS.2023.123618","ISSN":"2329-9266","issue":"5","journalAbbreviation":"IEEE/CAA JAS","language":"en","license":"http://creativecommons.org/licenses/by/3.0/","note":"publisher: IEEE/CAA Journal of Automatica Sinica","page":"1122-1136","source":"www.ieee-jas.net","title":"A Brief Overview of ChatGPT: The History, Status Quo and Potential Future Development","title-short":"A Brief Overview of ChatGPT","volume":"10","author":[{"family":"Wu","given":"Tianyu"},{"family":"He","given":"Shizhu"},{"family":"Liu","given":"Jingping"},{"family":"Sun","given":"Siqi"},{"family":"Liu","given":"Kang"},{"family":"Han","given":"Qing-Long"},{"family":"Tang","given":"Yang"}],"issued":{"date-parts":[["2023"]]},"citation-key":"wuBriefOverviewChatGPT2023"},"prefix":""}],"schema":"https://github.com/citation-style-language/schema/raw/master/csl-citation.json"} </w:instrText>
      </w:r>
      <w:r>
        <w:fldChar w:fldCharType="separate"/>
      </w:r>
      <w:r w:rsidR="00F14B32">
        <w:rPr>
          <w:noProof/>
        </w:rPr>
        <w:t>[33]</w:t>
      </w:r>
      <w:r>
        <w:fldChar w:fldCharType="end"/>
      </w:r>
      <w:r>
        <w:t xml:space="preserve">. In 2023, ChatGPT-4 was introduced, achieving human-level performance on a range of academic and professional benchmarks </w:t>
      </w:r>
      <w:r>
        <w:fldChar w:fldCharType="begin"/>
      </w:r>
      <w:r w:rsidR="00F14B32">
        <w:instrText xml:space="preserve"> ADDIN ZOTERO_ITEM CSL_CITATION {"citationID":"00000014","properties":{"unsorted":false,"formattedCitation":"[34]","plainCitation":"[34]","noteIndex":0},"citationItems":[{"id":2583,"uris":["http://zotero.org/users/6749620/items/SYRTRJCY"],"itemData":{"id":2583,"type":"article","abstract":"We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GPT-4.","DOI":"10.48550/arXiv.2303.08774","note":"tex.ids= openaiGPT4TechnicalReport2023\narXiv: 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2024",1,6]]},"issued":{"date-parts":[["2023",12,18]]},"citation-key":"openaiGPT4TechnicalReport2023"},"prefix":""}],"schema":"https://github.com/citation-style-language/schema/raw/master/csl-citation.json"} </w:instrText>
      </w:r>
      <w:r>
        <w:fldChar w:fldCharType="separate"/>
      </w:r>
      <w:r w:rsidR="00F14B32">
        <w:rPr>
          <w:noProof/>
        </w:rPr>
        <w:t>[34]</w:t>
      </w:r>
      <w:r>
        <w:fldChar w:fldCharType="end"/>
      </w:r>
      <w:r>
        <w:t>. Given the underutilization of narrative free text in VA analysis and the capabilities of LLMs in processing such data, we conducted a study using VA records from Sierra Leone (2019–2022) to compare four models, GPT-3.5, GPT-4, InterVA-5, and InSilicoVA, against physician-assigned CODs. This work aims to evaluate the potential of LLMs in enhancing COD assignment from narrative data in low-resource settings.</w:t>
      </w:r>
    </w:p>
    <w:p w:rsidR="00260484" w:rsidRDefault="00000000">
      <w:pPr>
        <w:pStyle w:val="Heading1"/>
      </w:pPr>
      <w:bookmarkStart w:id="1" w:name="methods"/>
      <w:bookmarkEnd w:id="0"/>
      <w:r>
        <w:t>Methods</w:t>
      </w:r>
    </w:p>
    <w:p w:rsidR="00260484" w:rsidRDefault="00000000">
      <w:pPr>
        <w:pStyle w:val="FirstParagraph"/>
      </w:pPr>
      <w:r>
        <w:t xml:space="preserve">This study outlines the methodology used to compare cause of death (COD) assignments from four models, GPT-3.5, GPT-4, InterVA-5, and InSilicoVA, with physician-determined CODs, as summarized in Figure </w:t>
      </w:r>
      <w:hyperlink w:anchor="fig-methods-brief">
        <w:r>
          <w:rPr>
            <w:rStyle w:val="Hyperlink"/>
          </w:rPr>
          <w:t>1</w:t>
        </w:r>
      </w:hyperlink>
      <w:r>
        <w:t xml:space="preserve">. The dataset was first filtered to include only records with physician agreement, as described in Section </w:t>
      </w:r>
      <w:hyperlink w:anchor="methods-data">
        <w:r>
          <w:rPr>
            <w:rStyle w:val="Hyperlink"/>
          </w:rPr>
          <w:t>2.1</w:t>
        </w:r>
      </w:hyperlink>
      <w:r>
        <w:t xml:space="preserve">. Section </w:t>
      </w:r>
      <w:hyperlink w:anchor="methods-models">
        <w:r>
          <w:rPr>
            <w:rStyle w:val="Hyperlink"/>
          </w:rPr>
          <w:t>2.2</w:t>
        </w:r>
      </w:hyperlink>
      <w:r>
        <w:t xml:space="preserve"> details the input formats and output structures of the four models. Section </w:t>
      </w:r>
      <w:hyperlink w:anchor="methods-eval">
        <w:r>
          <w:rPr>
            <w:rStyle w:val="Hyperlink"/>
          </w:rPr>
          <w:t>2.3</w:t>
        </w:r>
      </w:hyperlink>
      <w:r>
        <w:t xml:space="preserve"> presents the evaluation framework, which compares model outputs to physician-assigned CODs using both population-level and individual-level performance metrics. Additional details are provided in Appendix </w:t>
      </w:r>
      <w:hyperlink w:anchor="app-methods">
        <w:r>
          <w:rPr>
            <w:rStyle w:val="Hyperlink"/>
          </w:rPr>
          <w:t>6</w:t>
        </w:r>
      </w:hyperlink>
      <w:r>
        <w:t>.</w:t>
      </w:r>
    </w:p>
    <w:tbl>
      <w:tblPr>
        <w:tblStyle w:val="Table"/>
        <w:tblW w:w="0" w:type="auto"/>
        <w:jc w:val="center"/>
        <w:tblLook w:val="0600" w:firstRow="0" w:lastRow="0" w:firstColumn="0" w:lastColumn="0" w:noHBand="1" w:noVBand="1"/>
      </w:tblPr>
      <w:tblGrid>
        <w:gridCol w:w="222"/>
      </w:tblGrid>
      <w:tr w:rsidR="00260484">
        <w:trPr>
          <w:jc w:val="center"/>
        </w:trPr>
        <w:tc>
          <w:tcPr>
            <w:tcW w:w="0" w:type="auto"/>
          </w:tcPr>
          <w:p w:rsidR="00260484" w:rsidRDefault="00260484">
            <w:pPr>
              <w:pStyle w:val="Compact"/>
              <w:jc w:val="center"/>
            </w:pPr>
            <w:bookmarkStart w:id="2" w:name="fig-methods-brief"/>
          </w:p>
        </w:tc>
      </w:tr>
    </w:tbl>
    <w:p w:rsidR="00260484" w:rsidRDefault="00000000">
      <w:pPr>
        <w:pStyle w:val="ImageCaption"/>
      </w:pPr>
      <w:r>
        <w:t>Study methods.</w:t>
      </w:r>
    </w:p>
    <w:p w:rsidR="00260484" w:rsidRDefault="00000000">
      <w:pPr>
        <w:pStyle w:val="Heading2"/>
      </w:pPr>
      <w:bookmarkStart w:id="3" w:name="methods-data"/>
      <w:bookmarkEnd w:id="2"/>
      <w:r>
        <w:t>Verbal Autopsy (VA) Data</w:t>
      </w:r>
    </w:p>
    <w:p w:rsidR="00260484" w:rsidRDefault="00000000">
      <w:pPr>
        <w:pStyle w:val="FirstParagraph"/>
      </w:pPr>
      <w:r>
        <w:t xml:space="preserve">A total of 11,920 verbal autopsy (VA) records were obtained from the HEAL-SL study </w:t>
      </w:r>
      <w:r>
        <w:fldChar w:fldCharType="begin"/>
      </w:r>
      <w:r w:rsidR="00F14B32">
        <w:instrText xml:space="preserve"> ADDIN ZOTERO_ITEM CSL_CITATION {"citationID":"00000015","properties":{"unsorted":false,"formattedCitation":"[35, 36]","plainCitation":"[35, 36]","noteIndex":0},"citationItems":[{"id":2580,"uris":["http://zotero.org/users/6749620/items/LB3E3IVG"],"itemData":{"id":2580,"type":"webpage","title":"Healthy Sierra Leone","URL":"https://healsl.org/","author":[{"literal":"Njala University"}],"accessed":{"date-parts":[["2024",1,7]]},"issued":{"date-parts":[["2023"]]},"citation-key":"njalauniversityHealthySierraLeone2023"},"prefix":""},{"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schema":"https://github.com/citation-style-language/schema/raw/master/csl-citation.json"} </w:instrText>
      </w:r>
      <w:r>
        <w:fldChar w:fldCharType="separate"/>
      </w:r>
      <w:r w:rsidR="00F14B32">
        <w:rPr>
          <w:noProof/>
        </w:rPr>
        <w:t>[35, 36]</w:t>
      </w:r>
      <w:r>
        <w:fldChar w:fldCharType="end"/>
      </w:r>
      <w:r>
        <w:t xml:space="preserve">, which employed dual-coded Electronic Verbal Autopsy (EVA). Each record was independently reviewed by two randomly selected physicians, who assigned COD codes based on the International Classification of Diseases, 10th Revision (ICD-10) </w:t>
      </w:r>
      <w:r>
        <w:fldChar w:fldCharType="begin"/>
      </w:r>
      <w:r w:rsidR="00F14B32">
        <w:instrText xml:space="preserve"> ADDIN ZOTERO_ITEM CSL_CITATION {"citationID":"00000016","properties":{"unsorted":false,"formattedCitation":"[37]","plainCitation":"[37]","noteIndex":0},"citationItems":[{"id":2594,"uris":["http://zotero.org/users/6749620/items/QEF8EMZ7"],"itemData":{"id":2594,"type":"report","note":"5th ed., Vol. 2","title":"ICD-10: International statistical classification of diseases and related health problems (10th revision)","author":[{"literal":"World Health Organization"}],"issued":{"date-parts":[["2011"]]},"citation-key":"worldhealthorganizationICD10InternationalStatistical2011"},"prefix":""}],"schema":"https://github.com/citation-style-language/schema/raw/master/csl-citation.json"} </w:instrText>
      </w:r>
      <w:r>
        <w:fldChar w:fldCharType="separate"/>
      </w:r>
      <w:r w:rsidR="00F14B32">
        <w:rPr>
          <w:noProof/>
        </w:rPr>
        <w:t>[37]</w:t>
      </w:r>
      <w:r>
        <w:fldChar w:fldCharType="end"/>
      </w:r>
      <w:r>
        <w:t xml:space="preserve">. Agreement between physician-assigned CODs was evaluated using Central Medical Evaluation Agreement 10 (CMEA-10) codes, which group related ICD-10 codes into broader, clinically similar categories </w:t>
      </w:r>
      <w:r>
        <w:fldChar w:fldCharType="begin"/>
      </w:r>
      <w:r w:rsidR="00F14B32">
        <w:instrText xml:space="preserve"> ADDIN ZOTERO_ITEM CSL_CITATION {"citationID":"00000017","properties":{"unsorted":false,"formattedCitation":"[38]","plainCitation":"[38]","noteIndex":0},"citationItems":[{"id":2593,"uris":["http://zotero.org/users/6749620/items/LHVJ27QL"],"itemData":{"id":2593,"type":"article-journal","abstract":"Verbal autopsy (VA) has been proposed to determine the cause of death (COD) distributions in settings where most deaths occur without medical attention or certification. We develop performance criteria for VA-based COD systems and apply these to the Registrar General of India’s ongoing, nationally-representative Indian Million Death Study (MDS).","container-title":"BMC Medicine","DOI":"10.1186/1741-7015-12-21","ISSN":"1741-7015","issue":"1","journalAbbreviation":"BMC Medicine","page":"21","source":"BioMed Central","title":"Performance criteria for verbal autopsy-based systems to estimate national causes of death: development and application to the Indian Million Death Study","title-short":"Performance criteria for verbal autopsy-based systems to estimate national causes of death","volume":"12","author":[{"family":"Aleksandrowicz","given":"Lukasz"},{"family":"Malhotra","given":"Varun"},{"family":"Dikshit","given":"Rajesh"},{"family":"Gupta","given":"Prakash C."},{"family":"Kumar","given":"Rajesh"},{"family":"Sheth","given":"Jay"},{"family":"Rathi","given":"Suresh Kumar"},{"family":"Suraweera","given":"Wilson"},{"family":"Miasnikof","given":"Pierre"},{"family":"Jotkar","given":"Raju"},{"family":"Sinha","given":"Dhirendra"},{"family":"Awasthi","given":"Shally"},{"family":"Bhatia","given":"Prakash"},{"family":"Jha","given":"Prabhat"}],"issued":{"date-parts":[["2014",2,4]]},"citation-key":"aleksandrowiczPerformanceCriteriaVerbal2014"},"prefix":""}],"schema":"https://github.com/citation-style-language/schema/raw/master/csl-citation.json"} </w:instrText>
      </w:r>
      <w:r>
        <w:fldChar w:fldCharType="separate"/>
      </w:r>
      <w:r w:rsidR="00F14B32">
        <w:rPr>
          <w:noProof/>
        </w:rPr>
        <w:t>[38]</w:t>
      </w:r>
      <w:r>
        <w:fldChar w:fldCharType="end"/>
      </w:r>
      <w:r>
        <w:t xml:space="preserve"> (see Additional File 2). If both codes fell within the </w:t>
      </w:r>
      <w:r>
        <w:lastRenderedPageBreak/>
        <w:t>same CMEA-10 group, the record was considered in agreement. Disagreements entered a reconciliation phase, where each physician was shown both the assigned codes and the reasoning from the other physician. Physicians could then (1) retain their original code, (2) adopt the other physician’s code, or (3) assign a new code. Records that remained unresolved proceeded to adjudication, where a senior physician reviewed all reasoning and assignments and issued a final COD.</w:t>
      </w:r>
    </w:p>
    <w:p w:rsidR="00260484" w:rsidRDefault="00000000">
      <w:pPr>
        <w:pStyle w:val="BodyText"/>
      </w:pPr>
      <w:r>
        <w:t xml:space="preserve">To ensure comparability with physician coding, only records with physician agreement were used in this study, as such cases provide higher confidence in the COD assignment </w:t>
      </w:r>
      <w:r>
        <w:fldChar w:fldCharType="begin"/>
      </w:r>
      <w:r w:rsidR="00F14B32">
        <w:instrText xml:space="preserve"> ADDIN ZOTERO_ITEM CSL_CITATION {"citationID":"00000018","properties":{"unsorted":false,"formattedCitation":"[18, 39, 40]","plainCitation":"[18, 39, 40]","noteIndex":0},"citationItems":[{"id":2616,"uris":["http://zotero.org/users/6749620/items/6I5UBQYW"],"itemData":{"id":2616,"type":"article-journal","abstract":"The traditional approach of diagnosis by individual physicians has a high rate of misdiagnosis. Pooling multiple physicians’ diagnoses (collective intelligence) is a promising approach to reducing misdiagnoses, but its accuracy in clinical cases is unknown to date.To assess how the diagnostic accuracy of groups of physicians and trainees compares with the diagnostic accuracy of individual physicians.Cross-sectional study using data from the Human Diagnosis Project (Human Dx), a multicountry data set of ranked differential diagnoses by individual physicians, graduate trainees, and medical students (users) solving user-submitted, structured clinical cases. From May 7, 2014, to October 5, 2016, groups of 2 to 9 randomly selected physicians solved individual cases. Data analysis was performed from March 16, 2017, to July 30, 2018.The primary outcome was diagnostic accuracy, assessed as a correct diagnosis in the top 3 ranked diagnoses for an individual; for groups, the top 3 diagnoses were a collective differential generated using a weighted combination of user diagnoses with a variety of approaches. A version of the McNemar test was used to account for clustering across repeated solvers to compare diagnostic accuracy.Of the 2069 users solving 1572 cases from the Human Dx data set, 1228 (59.4%) were residents or fellows, 431 (20.8%) were attending physicians, and 410 (19.8%) were medical students. Collective intelligence was associated with increasing diagnostic accuracy, from 62.5% (95% CI, 60.1%-64.9%) for individual physicians up to 85.6% (95% CI, 83.9%-87.4%) for groups of 9 (23.0% difference; 95% CI, 14.9%-31.2%; P</w:instrText>
      </w:r>
      <w:r w:rsidR="00F14B32">
        <w:rPr>
          <w:rFonts w:ascii="Arial" w:hAnsi="Arial" w:cs="Arial"/>
        </w:rPr>
        <w:instrText> </w:instrText>
      </w:r>
      <w:r w:rsidR="00F14B32">
        <w:instrText>&amp;lt;</w:instrText>
      </w:r>
      <w:r w:rsidR="00F14B32">
        <w:rPr>
          <w:rFonts w:ascii="Arial" w:hAnsi="Arial" w:cs="Arial"/>
        </w:rPr>
        <w:instrText> </w:instrText>
      </w:r>
      <w:r w:rsidR="00F14B32">
        <w:instrText>.001). The range of improvement varied by the specifications used for combining groups’ diagnoses, but groups consistently outperformed individuals regardless of approach. Absolute improvement in accuracy from individuals to groups of 9 varied by presenting symptom from an increase of 17.3% (95% CI, 6.4%-28.2%; P</w:instrText>
      </w:r>
      <w:r w:rsidR="00F14B32">
        <w:rPr>
          <w:rFonts w:ascii="Arial" w:hAnsi="Arial" w:cs="Arial"/>
        </w:rPr>
        <w:instrText> </w:instrText>
      </w:r>
      <w:r w:rsidR="00F14B32">
        <w:instrText>=</w:instrText>
      </w:r>
      <w:r w:rsidR="00F14B32">
        <w:rPr>
          <w:rFonts w:ascii="Arial" w:hAnsi="Arial" w:cs="Arial"/>
        </w:rPr>
        <w:instrText> </w:instrText>
      </w:r>
      <w:r w:rsidR="00F14B32">
        <w:instrText>.002) for abdominal pain to 29.8% (95% CI, 3.7%-55.8%; P</w:instrText>
      </w:r>
      <w:r w:rsidR="00F14B32">
        <w:rPr>
          <w:rFonts w:ascii="Arial" w:hAnsi="Arial" w:cs="Arial"/>
        </w:rPr>
        <w:instrText> </w:instrText>
      </w:r>
      <w:r w:rsidR="00F14B32">
        <w:instrText>=</w:instrText>
      </w:r>
      <w:r w:rsidR="00F14B32">
        <w:rPr>
          <w:rFonts w:ascii="Arial" w:hAnsi="Arial" w:cs="Arial"/>
        </w:rPr>
        <w:instrText> </w:instrText>
      </w:r>
      <w:r w:rsidR="00F14B32">
        <w:instrText>.02) for fever. Groups from 2 users (77.7% accuracy; 95% CI, 70.1%-84.6%) to 9 users (85.5% accuracy; 95% CI, 75.1%-95.9%) outperformed individual specialists in their subspecialty (66.3% accuracy; 95% CI, 59.1%-73.5%; P</w:instrText>
      </w:r>
      <w:r w:rsidR="00F14B32">
        <w:rPr>
          <w:rFonts w:ascii="Arial" w:hAnsi="Arial" w:cs="Arial"/>
        </w:rPr>
        <w:instrText> </w:instrText>
      </w:r>
      <w:r w:rsidR="00F14B32">
        <w:instrText>&amp;lt;</w:instrText>
      </w:r>
      <w:r w:rsidR="00F14B32">
        <w:rPr>
          <w:rFonts w:ascii="Arial" w:hAnsi="Arial" w:cs="Arial"/>
        </w:rPr>
        <w:instrText> </w:instrText>
      </w:r>
      <w:r w:rsidR="00F14B32">
        <w:instrText xml:space="preserve">.001 vs groups of 2 and 9).A collective intelligence approach was associated with higher diagnostic accuracy compared with individuals, including individual specialists whose expertise matched the case diagnosis, across a range of medical cases. Given the few proven strategies to address misdiagnosis, this technique merits further study in clinical settings.","container-title":"JAMA Network Open","DOI":"10.1001/jamanetworkopen.2019.0096","ISSN":"2574-3805","issue":"3","journalAbbreviation":"JAMA Network Open","page":"e190096","source":"Silverchair","title":"Comparative Accuracy of Diagnosis by Collective Intelligence of Multiple Physicians vs Individual Physicians","volume":"2","author":[{"family":"Barnett","given":"Michael L."},{"family":"Boddupalli","given":"Dhruv"},{"family":"Nundy","given":"Shantanu"},{"family":"Bates","given":"David W."}],"issued":{"date-parts":[["2019",3,1]]},"citation-key":"barnettComparativeAccuracyDiagnosis2019"},"prefix":""},{"id":2522,"uris":["http://zotero.org/users/6749620/items/EENU37GZ"],"itemData":{"id":2522,"type":"article-journal","container-title":"PloS one","issue":"3","note":"tex.ids= morrisFactorsAssociatedPhysician2010a\npublisher: Public Library of Science San Francisco, USA","page":"e9583","source":"Google Scholar","title":"Factors associated with physician agreement on verbal autopsy of over 27000 childhood deaths in India","volume":"5","author":[{"family":"Morris","given":"Shaun K."},{"family":"Bassani","given":"Diego G."},{"family":"Kumar","given":"Rajesh"},{"family":"Awasthi","given":"Shally"},{"family":"Paul","given":"Vinod K."},{"family":"Jha","given":"Prabhat"}],"issued":{"date-parts":[["2010"]]},"citation-key":"morrisFactorsAssociatedPhysician2010"},"prefix":""},{"id":2614,"uris":["http://zotero.org/users/6749620/items/5GNDAK2F"],"itemData":{"id":2614,"type":"article-journal","abstract":"Introduction Worldwide, injuries account for 9.8% of all deaths. The majority of these deaths occur in low- and middle-income countries where vital registration systems are often inadequate. Verbal autopsy (VA) is a tool used to ascertain cause of death in such settings. Validation studies for VA using hospital diagnosed causes of death as comparisons have shown that injury deaths can be reliably diagnosed by VA. However, no study has assessed the factors that may affect physicians' abilities to code specific causes of injury death using VA. Method/Principal Findings This study used data from over 11 500 verbal autopsies of injury deaths from the Million Death Study (MDS) in which 6.3 million people in India were monitored from 2001–2003 for vital events. Deaths that occurred in the MDS were coded by two independent physicians. This study focused on whether physician agreement on the classification of injury deaths was affected by characteristics of the deceased and respondent. Agreement was analyzed using three primary methods: 1) kappa statistic; 2) sensitivity and specificity analysis using the final VA diagnosed category of injury death as gold standard; and 3) multivariate logistic regression using a conceptual hierarchical model. The overall agreement for all injury deaths was 77.9% with a kappa of 0.74 (99% CI 0.74–0.75). Deaths in the injury categories of “transport”, “falls”, “drowning” and “other unintentional injury” occurring outside the home were associated with greater physician agreement than those occurring at home. In contrast, self-inflicted injury deaths that occurred outside the home were associated with lower physician agreement. Conclusions/Significance With few exceptions, most characteristics of the deceased and the respondent did not influence physician agreement on the classification of injury deaths. Physician training and continued adaptation of the VA tool should focus on the reasons these factors influenced physician agreement.","container-title":"PLOS ONE","DOI":"10.1371/journal.pone.0030336","ISSN":"1932-6203","issue":"1","journalAbbreviation":"PLOS ONE","language":"en","note":"publisher: Public Library of Science","page":"e30336","source":"PLoS Journals","title":"Factors Associated with Physician Agreement on Verbal Autopsy of over 11500 Injury Deaths in India","volume":"7","author":[{"family":"Hsiao","given":"Marvin"},{"family":"Morris","given":"Shaun K."},{"family":"Bassani","given":"Diego G."},{"family":"Montgomery","given":"Ann L."},{"family":"Thakur","given":"J. S."},{"family":"Jha","given":"Prabhat"}],"issued":{"date-parts":[["2012",1,17]]},"citation-key":"hsiaoFactorsAssociatedPhysician2012"},"prefix":""}],"schema":"https://github.com/citation-style-language/schema/raw/master/csl-citation.json"} </w:instrText>
      </w:r>
      <w:r>
        <w:fldChar w:fldCharType="separate"/>
      </w:r>
      <w:r w:rsidR="00F14B32">
        <w:rPr>
          <w:noProof/>
        </w:rPr>
        <w:t>[18, 39, 40]</w:t>
      </w:r>
      <w:r>
        <w:fldChar w:fldCharType="end"/>
      </w:r>
      <w:r>
        <w:t xml:space="preserve">. From the original dataset, 6,942 records met this criterion. All ICD-10 codes were then standardized to CGHR-10 categories (see Additional File 1), which group causes into 19, 10, and 7 categories for adults (12–69 years), children (28 days to 11 years), and neonates (under 28 days), respectively. After excluding three records without a valid CGHR-10 category, a total of 6,939 physician-agreed records (3,826 adult, 2,636 child, and 477 neonatal) were used for model comparison and performance evaluation. Further details on data preprocessing are provided in Appendix </w:t>
      </w:r>
      <w:hyperlink w:anchor="app-methods-data">
        <w:r>
          <w:rPr>
            <w:rStyle w:val="Hyperlink"/>
          </w:rPr>
          <w:t>6.1</w:t>
        </w:r>
      </w:hyperlink>
      <w:r>
        <w:t xml:space="preserve">, with COD and age group distributions summarized in Tables </w:t>
      </w:r>
      <w:hyperlink w:anchor="tab-data-cod">
        <w:r>
          <w:rPr>
            <w:rStyle w:val="Hyperlink"/>
          </w:rPr>
          <w:t>[tab-data-cod]</w:t>
        </w:r>
      </w:hyperlink>
      <w:r>
        <w:t xml:space="preserve"> and </w:t>
      </w:r>
      <w:hyperlink w:anchor="tab-data-age">
        <w:r>
          <w:rPr>
            <w:rStyle w:val="Hyperlink"/>
          </w:rPr>
          <w:t>[tab-data-age]</w:t>
        </w:r>
      </w:hyperlink>
      <w:r>
        <w:t>.</w:t>
      </w:r>
    </w:p>
    <w:p w:rsidR="00260484" w:rsidRDefault="00000000">
      <w:pPr>
        <w:pStyle w:val="Heading2"/>
      </w:pPr>
      <w:bookmarkStart w:id="4" w:name="methods-models"/>
      <w:bookmarkEnd w:id="3"/>
      <w:r>
        <w:t>Modelling</w:t>
      </w:r>
    </w:p>
    <w:p w:rsidR="00260484" w:rsidRDefault="00000000">
      <w:pPr>
        <w:pStyle w:val="FirstParagraph"/>
      </w:pPr>
      <w:r>
        <w:t xml:space="preserve">Four computational models were used to assign causes of death (CODs) for each of the 6,939 physician-agreed verbal autopsy (VA) records: GPT-3.5, GPT-4, InterVA-5, and InSilicoVA. InterVA-5 and InSilicoVA are widely used statistical models within the OpenVA framework for COD assignment in VAs </w:t>
      </w:r>
      <w:r>
        <w:fldChar w:fldCharType="begin"/>
      </w:r>
      <w:r w:rsidR="00F14B32">
        <w:instrText xml:space="preserve"> ADDIN ZOTERO_ITEM CSL_CITATION {"citationID":"00000019","properties":{"unsorted":false,"formattedCitation":"[13, 21, 22, 24, 25, 41\\uc0\\u8211{}43]","plainCitation":"[13, 21, 22, 24, 25, 41–43]","noteIndex":0},"citationItems":[{"id":2640,"uris":["http://zotero.org/users/6749620/items/S3QHNWMV"],"itemData":{"id":2640,"type":"article-journal","abstract":"Monitoring progress with disease and injury reduction in many populations will require widespread use of verbal autopsy (VA). Multiple methods have been developed for assigning cause of death from a VA but their application is restricted by uncertainty about their reliability.","container-title":"BMC Medicine","DOI":"10.1186/1741-7015-12-5","ISSN":"1741-7015","issue":"1","journalAbbreviation":"BMC Med","language":"en","page":"5","source":"Springer Link","title":"Using verbal autopsy to measure causes of death: the comparative performance of existing methods","title-short":"Using verbal autopsy to measure causes of death","volume":"12","author":[{"family":"Murray","given":"Christopher JL"},{"family":"Lozano","given":"Rafael"},{"family":"Flaxman","given":"Abraham D."},{"family":"Serina","given":"Peter"},{"family":"Phillips","given":"David"},{"family":"Stewart","given":"Andrea"},{"family":"James","given":"Spencer L."},{"family":"Vahdatpour","given":"Alireza"},{"family":"Atkinson","given":"Charles"},{"family":"Freeman","given":"Michael K."},{"family":"Ohno","given":"Summer Lockett"},{"family":"Black","given":"Robert"},{"family":"Ali","given":"Said Mohammed"},{"family":"Baqui","given":"Abdullah H."},{"family":"Dandona","given":"Lalit"},{"family":"Dantzer","given":"Emily"},{"family":"Darmstadt","given":"Gary L."},{"family":"Das","given":"Vinita"},{"family":"Dhingra","given":"Usha"},{"family":"Dutta","given":"Arup"},{"family":"Fawzi","given":"Wafaie"},{"family":"Gómez","given":"Sara"},{"family":"Hernández","given":"Bernardo"},{"family":"Joshi","given":"Rohina"},{"family":"Kalter","given":"Henry D."},{"family":"Kumar","given":"Aarti"},{"family":"Kumar","given":"Vishwajeet"},{"family":"Lucero","given":"Marilla"},{"family":"Mehta","given":"Saurabh"},{"family":"Neal","given":"Bruce"},{"family":"Praveen","given":"Devarsetty"},{"family":"Premji","given":"Zul"},{"family":"Ramírez-Villalobos","given":"Dolores"},{"family":"Remolador","given":"Hazel"},{"family":"Riley","given":"Ian"},{"family":"Romero","given":"Minerva"},{"family":"Said","given":"Mwanaidi"},{"family":"Sanvictores","given":"Diozele"},{"family":"Sazawal","given":"Sunil"},{"family":"Tallo","given":"Veronica"},{"family":"Lopez","given":"Alan D."}],"issued":{"date-parts":[["2014",1,9]]},"citation-key":"murrayUsingVerbalAutopsy2014"},"prefix":""},{"id":2643,"uris":["http://zotero.org/users/6749620/items/64APSK52"],"itemData":{"id":2643,"type":"article-journal","abstract":"Developing countries generally lack complete vital registration systems that can produce cause of death information for health planning in their populations. As an alternative, verbal autopsy (VA) - the process of interviewing family members or caregivers on the circumstances leading to death - is often used by Demographic Surveillance Systems to generate cause of death data. Physician review (PR) is the most common method of interpreting VA, but this method is a time- and resource-intensive process and is liable to produce inconsistent results. The aim of this paper is to explore how a computer-based probabilistic model, InterVA, performs in comparison with PR in interpreting VA data in the Nairobi Urban Health and Demographic Surveillance System (NUHDSS).","container-title":"Population Health Metrics","DOI":"10.1186/1478-7954-8-21","ISSN":"1478-7954","issue":"1","journalAbbreviation":"Popul Health Metrics","language":"en","page":"21","source":"Springer Link","title":"Verbal autopsy interpretation: a comparative analysis of the InterVA model versus physician review in determining causes of death in the Nairobi DSS","title-short":"Verbal autopsy interpretation","volume":"8","author":[{"family":"Oti","given":"Samuel O."},{"family":"Kyobutungi","given":"Catherine"}],"issued":{"date-parts":[["2010",6,29]]},"citation-key":"otiVerbalAutopsyInterpretation2010"},"prefix":""},{"id":2644,"uris":["http://zotero.org/users/6749620/items/WD8YH84I"],"itemData":{"id":2644,"type":"article-journal","abstract":"Background\nPhysician-coded verbal autopsy (PCVA) is the most widely used method to determine causes of death (COD) in countries where medical certification of death is low. Computer-coded verbal autopsy (CCVA), an alternative method to PCVA for assigning the COD is considered to be efficient and cost-effective. However, the performance of CCVA as compared to PCVA is yet to be established in the Indian context.\n\nMethods\nWe evaluated the performance of PCVA and three CCVA methods i.e., InterVA 5, InSilico, and Tariff 2.0 on verbal autopsies done using the WHO 2016 VA tool on 2,120 reference standard cases developed from five tertiary care hospitals of Delhi. PCVA methodology involved dual independent review with adjudication, where required. Metrics to assess performance were Cause Specific Mortality Fraction (CSMF), sensitivity, positive predictive value (PPV), CSMF Accuracy, and Kappa statistic.\n\nResults\nIn terms of the measures of the overall performance of COD assignment methods, for CSMF Accuracy, the PCVA method achieved the highest score of 0.79, followed by 0.67 for Tariff_2.0, 0.66 for Inter-VA and 0.62 for InSilicoVA. The PCVA method also achieved the highest agreement (57%) and Kappa scores (0.54). The PCVA method showed the highest sensitivity for 15 out of 20 causes of death.\n\nConclusion\nOur study found that the PCVA method had the best performance out of all the four COD assignment methods that were tested in our study sample. In order to improve the performance of CCVA methods, multicentric studies with larger sample sizes need to be conducted using the WHO VA tool.","container-title":"Frontiers in Big Data","DOI":"10.3389/fdata.2023.1197471","ISSN":"2624-909X","journalAbbreviation":"Front Big Data","note":"PMID: 37693847\nPMCID: PMC10483407","page":"1197471","source":"PubMed Central","title":"Evaluation of methods for assigning causes of death from verbal autopsies in India","volume":"6","author":[{"family":"Benara","given":"Sudhir K."},{"family":"Sharma","given":"Saurabh"},{"family":"Juneja","given":"Atul"},{"family":"Nair","given":"Saritha"},{"family":"Gulati","given":"B. K."},{"family":"Singh","given":"Kh. Jitenkumar"},{"family":"Singh","given":"Lucky"},{"family":"Yadav","given":"Ved Prakash"},{"family":"Rao","given":"Chalapati"},{"family":"Rao","given":"M. Vishnu Vardhana"}],"issued":{"date-parts":[["2023",8,24]]},"citation-key":"benaraEvaluationMethodsAssigning2023"},"prefix":""},{"id":2550,"uris":["http://zotero.org/users/6749620/items/MEQX2BIQ"],"itemData":{"id":2550,"type":"article-journal","abstract":"Over the past 70 years, significant advances have been made in determining the causes of death in populations not served by official medical certification of cause at the time of death using a technique known as Verbal Autopsy (VA). VA involves an interview of the family or caregivers of the deceased after a suitable bereavement interval about the circumstances, signs and symptoms of the deceased in the period leading to death. The VA interview data are then interpreted by physicians or, more recently, computer algorithms, to assign a probable cause of death. VA was originally developed and applied in field research settings. This paper traces the evolution of VA methods with special emphasis on the World Health Organization’s (WHO)’s efforts to standardize VA instruments and methods for expanded use in routine health information and vital statistics systems in low- and middle-income countries (LMICs). These advances in VA methods are culminating this year with the release of the 2022 WHO Standard Verbal Autopsy (VA) Toolkit. This paper highlights the many contributions the late Professor Peter Byass made to the current VA standards and methods, most notably, the development of InterVA, the most commonly used automated computer algorithm for interpreting data collected in the WHO standard instruments, and the capacity building in low- and middle-income countries (LMICs) that he promoted. This paper also provides an overview of the methods used to improve the current WHO VA standards, a catalogue of the changes and improvements in the instruments, and a mapping of current applications of the WHO VA standard approach in LMICs. It also provides access to tools and guidance needed for VA implementation in Civil Registration and Vital Statistics Systems at scale.","container-title":"Global Health Action","DOI":"10.1080/16549716.2021.1982486","ISSN":"1654-9716","issue":"sup1","note":"publisher: Taylor &amp; Francis\n_eprint: https://doi.org/10.1080/16549716.2021.1982486\nPMID: 35377290","page":"1982486","source":"Taylor and Francis+NEJM","title":"Estimating causes of death where there is no medical certification: evolution and state of the art of verbal autopsy","title-short":"Estimating causes of death where there is no medical certification","volume":"14","author":[{"family":"Chandramohan","given":"Daniel"},{"family":"Fottrell","given":"Edward"},{"family":"Leitao","given":"Jordana"},{"family":"Nichols","given":"Erin"},{"family":"Clark","given":"Samuel J."},{"family":"Alsokhn","given":"Carine"},{"family":"Cobos Munoz","given":"Daniel"},{"family":"AbouZahr","given":"Carla"},{"family":"Di Pasquale","given":"Aurelio"},{"family":"Mswia","given":"Robert"},{"family":"Choi","given":"Eungang"},{"family":"Baiden","given":"Frank"},{"family":"Thomas","given":"Jason"},{"family":"Lyatuu","given":"Isaac"},{"family":"Li","given":"Zehang"},{"family":"Larbi-Debrah","given":"Patrick"},{"family":"Chu","given":"Yue"},{"family":"Cheburet","given":"Samuel"},{"family":"Sankoh","given":"Osman"},{"family":"Mohamed Badr","given":"Azza"},{"family":"Fat","given":"Doris Ma"},{"family":"Setel","given":"Philip"},{"family":"Jakob","given":"Robert"},{"family":"Savigny","given":"Don","non-dropping-particle":"de"}],"issued":{"date-parts":[["2021",10,26]]},"citation-key":"chandramohanEstimatingCausesDeath2021"},"prefix":""},{"id":2546,"uris":["http://zotero.org/users/6749620/items/X7EX7RNQ"],"itemData":{"id":2546,"type":"article-journal","abstract":"Objectives To systematically review current practices, strengths and limitations of existing VA approaches to increase understanding of health system stakeholders and researchers. Methods The review was conducted and reported based on the Preferred Reporting Items for Systematic Reviews and Meta-Analysis (PRISMA) guidelines, in which articles were systematically obtained from the PubMed and SCOPUS online databases. The search was limited to English language journal articles published between 2010 and 2020. The review identified 5602 articles and after thorough scrutiny, 25 articles related to VA approaches were included. Results (1) InterVA and Tariff are widely used VA models; (2) Bayes rule is the most common and successful algorithm; (3) the lack of standardised datasets and metrics to evaluate models creates bias in determining VA model performance; (4) performance of the models trained using in-hospital data cannot be replicated in community death; (5) the performance of models among physicians and computer-coded algorithms differs with variation in settings. Conclusion The physician-certified verbal autopsy (PCVA) approaches are more effective in determining community CoD while computerised coding of verbal autopsy (CCVA) models perform well when the underlying CoD are reliably established using hospital data where data are trained in a similar environment to the target population. Our study recommends the use of hybrid models that combine strengths from various models and using an open standards dataset that includes death from different settings.","container-title":"Tropical Medicine &amp; International Health","DOI":"10.1111/tmi.13678","ISSN":"1365-3156","issue":"12","language":"en","license":"© 2021 John Wiley &amp; Sons Ltd","note":"_eprint: https://onlinelibrary.wiley.com/doi/pdf/10.1111/tmi.13678","page":"1560-1567","source":"Wiley Online Library","title":"Verbal autopsy models in determining causes of death","volume":"26","author":[{"family":"Tunga","given":"Mahadia"},{"family":"Lungo","given":"Juma"},{"family":"Chambua","given":"James"},{"family":"Kateule","given":"Ruthbetha"}],"issued":{"date-parts":[["2021"]]},"citation-key":"tungaVerbalAutopsyModels2021"},"prefix":""},{"id":2536,"uris":["http://zotero.org/users/6749620/items/9MB658MJ"],"itemData":{"id":2536,"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id":2532,"uris":["http://zotero.org/users/6749620/items/SU7YDIGK"],"itemData":{"id":2532,"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J."}],"issued":{"date-parts":[["2019",6,27]]},"citation-key":"jhaAutomatedPhysicianAssignment2019"},"prefix":""},{"id":2598,"uris":["http://zotero.org/users/6749620/items/9K6D3V3X"],"itemData":{"id":2598,"type":"article-journal","abstract":"Verbal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fldChar w:fldCharType="separate"/>
      </w:r>
      <w:r w:rsidR="00F14B32" w:rsidRPr="00F14B32">
        <w:rPr>
          <w:rFonts w:ascii="Aptos" w:cs="Times New Roman"/>
        </w:rPr>
        <w:t>[13, 21, 22, 24, 25, 41–43]</w:t>
      </w:r>
      <w:r>
        <w:fldChar w:fldCharType="end"/>
      </w:r>
      <w:r>
        <w:t xml:space="preserve">. InterVA-5 applies a Bayesian probabilistic approach, using a standardized set of symptoms and expert-derived conditional probabilities to assign the most likely COD based on maximum probability </w:t>
      </w:r>
      <w:r>
        <w:fldChar w:fldCharType="begin"/>
      </w:r>
      <w:r w:rsidR="00F14B32">
        <w:instrText xml:space="preserve"> ADDIN ZOTERO_ITEM CSL_CITATION {"citationID":"00000020","properties":{"unsorted":false,"formattedCitation":"[20, 44, 45]","plainCitation":"[20, 44, 45]","noteIndex":0},"citationItems":[{"id":2581,"uris":["http://zotero.org/users/6749620/items/U3A2VM9I"],"itemData":{"id":2581,"type":"article-journal","abstract":"Verbal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id":2631,"uris":["http://zotero.org/users/6749620/items/7DZG2DMM"],"itemData":{"id":2631,"type":"article-journal","abstract":"Background : Verbal autopsy (VA) is the only available approach for determining the cause of many deaths, where routine certification is not in place. Therefore, it is important to use standards and methods for VA that maximise efficiency, consistency and comparability. The World Health Organization (WHO) has led the development of the 2012 WHO VA instrument as a new standard, intended both as a research tool and for routine registration of deaths. Objective : A new public-domain probabilistic model for interpreting VA data, InterVA-4, is described, which builds on previous versions and is aligned with the 2012 WHO VA instrument. Design : The new model has been designed to use the VA input indicators defined in the 2012 WHO VA instrument and to deliver causes of death compatible with the International Classification of Diseases version 10 (ICD-10) categorised into 62 groups as defined in the 2012 WHO VA instrument. In addition, known shortcomings of previous InterVA models have been addressed in this revision, as well as integrating other work on maternal and perinatal deaths. Results : The InterVA-4 model is presented here to facilitate its widespread use and to enable further field evaluation to take place. Results from a demonstration dataset from Agincourt, South Africa, show continuity of interpretation between InterVA-3 and InterVA-4, as well as differences reflecting specific issues addressed in the design and development of InterVA-4. Conclusions : InterVA-4 is made freely available as a new standard model for interpreting VA data into causes of death. It can be used for determining cause of death both in research settings and for routine registration. Further validation opportunities will be explored. These developments in cause of death registration are likely to substantially increase the global coverage of cause-specific mortality data. To access the supplementary material to this article ‘The InterVA-4 User Guide’ please see Supplementary files under Article Tools online.","container-title":"Global Health Action","DOI":"10.3402/gha.v5i0.19281","ISSN":"1654-9716","issue":"1","note":"publisher: Taylor &amp; Francis\n_eprint: https://doi.org/10.3402/gha.v5i0.19281\nPMID: 28140847","page":"19281","source":"Taylor and Francis+NEJM","title":"Strengthening standardised interpretation of verbal autopsy data: the new InterVA-4 tool","title-short":"Strengthening standardised interpretation of verbal autopsy data","volume":"5","author":[{"family":"Byass","given":"Peter"},{"family":"Chandramohan","given":"Daniel"},{"family":"Clark","given":"Samuel J."},{"family":"D'Ambruoso","given":"Lucia"},{"family":"Fottrell","given":"Edward"},{"family":"Graham","given":"Wendy J."},{"family":"Herbst","given":"Abraham J."},{"family":"Hodgson","given":"Abraham"},{"family":"Hounton","given":"Sennen"},{"family":"Kahn","given":"Kathleen"},{"family":"Krishnan","given":"Anand"},{"family":"Leitao","given":"Jordana"},{"family":"Odhiambo","given":"Frank"},{"family":"Sankoh","given":"Osman A."},{"family":"Tollman","given":"Stephen M."}],"issued":{"date-parts":[["2012",12,1]]},"citation-key":"byassStrengtheningStandardisedInterpretation2012"},"prefix":""},{"id":2629,"uris":["http://zotero.org/users/6749620/items/XPGAXQ8A"],"itemData":{"id":2629,"type":"article-journal","container-title":"Biometrika","issue":"3-4","note":"publisher: Oxford University Press","page":"296–315","source":"Google Scholar","title":"An essay towards solving a problem in the doctrine of chances","volume":"45","author":[{"literal":"BAYES"}],"issued":{"date-parts":[["1958"]]},"citation-key":"bayesEssaySolvingProblem1958"},"prefix":""}],"schema":"https://github.com/citation-style-language/schema/raw/master/csl-citation.json"} </w:instrText>
      </w:r>
      <w:r>
        <w:fldChar w:fldCharType="separate"/>
      </w:r>
      <w:r w:rsidR="00F14B32">
        <w:rPr>
          <w:noProof/>
        </w:rPr>
        <w:t>[20, 44, 45]</w:t>
      </w:r>
      <w:r>
        <w:fldChar w:fldCharType="end"/>
      </w:r>
      <w:r>
        <w:t xml:space="preserve">. InSilicoVA extends this approach by incorporating a hierarchical Bayesian framework and Markov Chain Monte Carlo (MCMC) methods </w:t>
      </w:r>
      <w:r>
        <w:fldChar w:fldCharType="begin"/>
      </w:r>
      <w:r w:rsidR="00F14B32">
        <w:instrText xml:space="preserve"> ADDIN ZOTERO_ITEM CSL_CITATION {"citationID":"00000021","properties":{"unsorted":false,"formattedCitation":"[46\\uc0\\u8211{}48]","plainCitation":"[46–48]","noteIndex":0},"citationItems":[{"id":2628,"uris":["http://zotero.org/users/6749620/items/ZY9LCWF4"],"itemData":{"id":2628,"type":"article-journal","container-title":"Journal of the Royal Statistical Society: Series D (The Statistician)","DOI":"10.1111/1467-9884.00117","ISSN":"0039-0526, 1467-9884","issue":"1","journalAbbreviation":"J Royal Statistical Soc D","language":"en","page":"69-100","source":"DOI.org (Crossref)","title":"Markov chain Monte Carlo method and its application","volume":"47","author":[{"family":"Brooks","given":"Stephen"}],"issued":{"date-parts":[["1998",3]]},"citation-key":"brooksMarkovChainMonte1998"},"prefix":""},{"id":2626,"uris":["http://zotero.org/users/6749620/items/FZ7J4956"],"itemData":{"id":2626,"type":"article-journal","container-title":"Handbook of econometrics","note":"publisher: Elsevier","page":"3569–3649","source":"Google Scholar","title":"Markov chain Monte Carlo methods: computation and inference","title-short":"Markov chain Monte Carlo methods","volume":"5","author":[{"family":"Chib","given":"Siddhartha"}],"issued":{"date-parts":[["2001"]]},"citation-key":"chibMarkovChainMonte2001"},"prefix":""},{"id":2625,"uris":["http://zotero.org/users/6749620/items/YHEZNWGL"],"itemData":{"id":2625,"type":"article-journal","container-title":"Journal of the American Statistical Association","DOI":"10.1198/016214501753208780","ISSN":"0162-1459, 1537-274X","issue":"455","journalAbbreviation":"Journal of the American Statistical Association","language":"en","page":"1122-1132","source":"DOI.org (Crossref)","title":"Markov Chain Monte Carlo Methods for Computing Bayes Factors: A Comparative Review","title-short":"Markov Chain Monte Carlo Methods for Computing Bayes Factors","volume":"96","author":[{"family":"Han","given":"Cong"},{"family":"Carlin","given":"Bradley P"}],"issued":{"date-parts":[["2001",9]]},"citation-key":"hanMarkovChainMonte2001"},"prefix":""}],"schema":"https://github.com/citation-style-language/schema/raw/master/csl-citation.json"} </w:instrText>
      </w:r>
      <w:r>
        <w:fldChar w:fldCharType="separate"/>
      </w:r>
      <w:r w:rsidR="00F14B32" w:rsidRPr="00F14B32">
        <w:rPr>
          <w:rFonts w:ascii="Aptos" w:cs="Times New Roman"/>
        </w:rPr>
        <w:t>[46–48]</w:t>
      </w:r>
      <w:r>
        <w:fldChar w:fldCharType="end"/>
      </w:r>
      <w:r>
        <w:t xml:space="preserve">, allowing for quantification of uncertainty, individual-level probability estimates, and the integration of additional data sources </w:t>
      </w:r>
      <w:r>
        <w:fldChar w:fldCharType="begin"/>
      </w:r>
      <w:r w:rsidR="00F14B32">
        <w:instrText xml:space="preserve"> ADDIN ZOTERO_ITEM CSL_CITATION {"citationID":"00000022","properties":{"unsorted":false,"formattedCitation":"[17]","plainCitation":"[17]","noteIndex":0},"citationItems":[{"id":2641,"uris":["http://zotero.org/users/6749620/items/KVHNNXR8"],"itemData":{"id":2641,"type":"article-journal","abstract":"In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fldChar w:fldCharType="separate"/>
      </w:r>
      <w:r w:rsidR="00F14B32">
        <w:rPr>
          <w:noProof/>
        </w:rPr>
        <w:t>[17]</w:t>
      </w:r>
      <w:r>
        <w:fldChar w:fldCharType="end"/>
      </w:r>
      <w:r>
        <w:t xml:space="preserve">.GPT-3.5 </w:t>
      </w:r>
      <w:r>
        <w:fldChar w:fldCharType="begin"/>
      </w:r>
      <w:r w:rsidR="00F14B32">
        <w:instrText xml:space="preserve"> ADDIN ZOTERO_ITEM CSL_CITATION {"citationID":"00000023","properties":{"unsorted":false,"formattedCitation":"[49]","plainCitation":"[49]","noteIndex":0},"citationItems":[{"id":2601,"uris":["http://zotero.org/users/6749620/items/LYXMXVNJ"],"itemData":{"id":2601,"type":"article","abstract":"Recent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general.","DOI":"10.48550/arXiv.2005.14165","note":"arXiv:2005.14165 [cs]\nversion: 4","number":"arXiv:2005.14165","publisher":"arXiv","source":"arXiv.org","title":"Language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2024",1,10]]},"issued":{"date-parts":[["2020",7,22]]},"citation-key":"brownLanguageModelsAre2020"},"prefix":""}],"schema":"https://github.com/citation-style-language/schema/raw/master/csl-citation.json"} </w:instrText>
      </w:r>
      <w:r>
        <w:fldChar w:fldCharType="separate"/>
      </w:r>
      <w:r w:rsidR="00F14B32">
        <w:rPr>
          <w:noProof/>
        </w:rPr>
        <w:t>[49]</w:t>
      </w:r>
      <w:r>
        <w:fldChar w:fldCharType="end"/>
      </w:r>
      <w:r>
        <w:t xml:space="preserve"> and GPT-4 </w:t>
      </w:r>
      <w:r>
        <w:fldChar w:fldCharType="begin"/>
      </w:r>
      <w:r w:rsidR="00F14B32">
        <w:instrText xml:space="preserve"> ADDIN ZOTERO_ITEM CSL_CITATION {"citationID":"00000024","properties":{"unsorted":false,"formattedCitation":"[34]","plainCitation":"[34]","noteIndex":0},"citationItems":[{"id":2583,"uris":["http://zotero.org/users/6749620/items/SYRTRJCY"],"itemData":{"id":2583,"type":"article","abstract":"We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GPT-4.","DOI":"10.48550/arXiv.2303.08774","note":"tex.ids= openaiGPT4TechnicalReport2023\narXiv: 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2024",1,6]]},"issued":{"date-parts":[["2023",12,18]]},"citation-key":"openaiGPT4TechnicalReport2023"},"prefix":""}],"schema":"https://github.com/citation-style-language/schema/raw/master/csl-citation.json"} </w:instrText>
      </w:r>
      <w:r>
        <w:fldChar w:fldCharType="separate"/>
      </w:r>
      <w:r w:rsidR="00F14B32">
        <w:rPr>
          <w:noProof/>
        </w:rPr>
        <w:t>[34]</w:t>
      </w:r>
      <w:r>
        <w:fldChar w:fldCharType="end"/>
      </w:r>
      <w:r>
        <w:t xml:space="preserve"> are large language models (LLMs) based on transformer architectures </w:t>
      </w:r>
      <w:r>
        <w:fldChar w:fldCharType="begin"/>
      </w:r>
      <w:r w:rsidR="00F14B32">
        <w:instrText xml:space="preserve"> ADDIN ZOTERO_ITEM CSL_CITATION {"citationID":"00000025","properties":{"unsorted":false,"formattedCitation":"[50]","plainCitation":"[50]","noteIndex":0},"citationItems":[{"id":2632,"uris":["http://zotero.org/users/6749620/items/QYXXNITP"],"itemData":{"id":2632,"type":"paper-conference","abstract":"The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apers.nips.cc/paper_files/paper/2017/hash/3f5ee243547dee91fbd053c1c4a845aa-Abstract.html","volume":"30","author":[{"family":"Vaswani","given":"Ashish"},{"family":"Shazeer","given":"Noam"},{"family":"Parmar","given":"Niki"},{"family":"Uszkoreit","given":"Jakob"},{"family":"Jones","given":"Llion"},{"family":"Gomez","given":"Aidan N"},{"family":"Kaiser","given":"Łukasz"},{"family":"Polosukhin","given":"Illia"}],"accessed":{"date-parts":[["2024",1,23]]},"issued":{"date-parts":[["2017"]]},"citation-key":"vaswaniAttentionAllYou2017"},"prefix":""}],"schema":"https://github.com/citation-style-language/schema/raw/master/csl-citation.json"} </w:instrText>
      </w:r>
      <w:r>
        <w:fldChar w:fldCharType="separate"/>
      </w:r>
      <w:r w:rsidR="00F14B32">
        <w:rPr>
          <w:noProof/>
        </w:rPr>
        <w:t>[50]</w:t>
      </w:r>
      <w:r>
        <w:fldChar w:fldCharType="end"/>
      </w:r>
      <w:r>
        <w:t xml:space="preserve">. These models are trained using reinforcement learning from human feedback </w:t>
      </w:r>
      <w:r>
        <w:fldChar w:fldCharType="begin"/>
      </w:r>
      <w:r w:rsidR="00F14B32">
        <w:instrText xml:space="preserve"> ADDIN ZOTERO_ITEM CSL_CITATION {"citationID":"00000026","properties":{"unsorted":false,"formattedCitation":"[51\\uc0\\u8211{}54]","plainCitation":"[51–54]","noteIndex":0},"citationItems":[{"id":2634,"uris":["http://zotero.org/users/6749620/items/XKDEIGIX"],"itemData":{"id":2634,"type":"article","abstrac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the OpenAI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intent.","DOI":"10.48550/arXiv.2203.02155","note":"arXiv:2203.02155 [cs]","number":"arXiv:2203.02155","publisher":"arXiv","source":"arXiv.org","title":"Training language models to follow instructions with human feedback","URL":"http://arxiv.org/abs/2203.02155","author":[{"family":"Ouyang","given":"Long"},{"family":"Wu","given":"Jeff"},{"family":"Jiang","given":"Xu"},{"family":"Almeida","given":"Diogo"},{"family":"Wainwright","given":"Carroll L."},{"family":"Mishkin","given":"Pamela"},{"family":"Zhang","given":"Chong"},{"family":"Agarwal","given":"Sandhini"},{"family":"Slama","given":"Katarina"},{"family":"Ray","given":"Alex"},{"family":"Schulman","given":"John"},{"family":"Hilton","given":"Jacob"},{"family":"Kelton","given":"Fraser"},{"family":"Miller","given":"Luke"},{"family":"Simens","given":"Maddie"},{"family":"Askell","given":"Amanda"},{"family":"Welinder","given":"Peter"},{"family":"Christiano","given":"Paul"},{"family":"Leike","given":"Jan"},{"family":"Lowe","given":"Ryan"}],"accessed":{"date-parts":[["2024",1,23]]},"issued":{"date-parts":[["2022",3,4]]},"citation-key":"ouyangTrainingLanguageModels2022"},"prefix":""},{"id":2635,"uris":["http://zotero.org/users/6749620/items/4TPFCBZM"],"itemData":{"id":2635,"type":"article-journal","container-title":"Advances in neural information processing systems","source":"Google Scholar","title":"Deep reinforcement learning from human preferences","URL":"https://proceedings.neurips.cc/paper_files/paper/2017/hash/d5e2c0adad503c91f91df240d0cd4e49-Abstract.html","volume":"30","author":[{"family":"Christiano","given":"Paul F."},{"family":"Leike","given":"Jan"},{"family":"Brown","given":"Tom"},{"family":"Martic","given":"Miljan"},{"family":"Legg","given":"Shane"},{"family":"Amodei","given":"Dario"}],"accessed":{"date-parts":[["2024",1,23]]},"issued":{"date-parts":[["2017"]]},"citation-key":"christianoDeepReinforcementLearning2017"},"prefix":""},{"id":2636,"uris":["http://zotero.org/users/6749620/items/W5MPIUK6"],"itemData":{"id":2636,"type":"article-journal","container-title":"Advances in Neural Information Processing Systems","page":"3008–3021","source":"Google Scholar","title":"Learning to summarize with human feedback","volume":"33","author":[{"family":"Stiennon","given":"Nisan"},{"family":"Ouyang","given":"Long"},{"family":"Wu","given":"Jeffrey"},{"family":"Ziegler","given":"Daniel"},{"family":"Lowe","given":"Ryan"},{"family":"Voss","given":"Chelsea"},{"family":"Radford","given":"Alec"},{"family":"Amodei","given":"Dario"},{"family":"Christiano","given":"Paul F."}],"issued":{"date-parts":[["2020"]]},"citation-key":"stiennonLearningSummarizeHuman2020"},"prefix":""},{"id":2633,"uris":["http://zotero.org/users/6749620/items/74GC3JTC"],"itemData":{"id":2633,"type":"article-journal","abstract":"Reinforcement learning (RL) techniques optimize the accumulated long-term reward of a suitably chosen reward function. However, designing such a reward function often requires a lot of task-specific prior knowledge. The designer needs to consider different objectives that do not only influence the learned behavior but also the learning progress. To alleviate these issues, preference-based reinforcement learning algorithms (PbRL) have been proposed that can directly learn from an expert's preferences instead of a hand-designed numeric reward. PbRL has gained traction in recent years due to its ability to resolve the reward shaping problem, its ability to learn from non numeric rewards and the possibility to reduce the dependence on expert knowledge. We provide a unified framework for PbRL that describes the task formally and points out the different design principles that affect the evaluation task for the human as well as the computational complexity. The design principles include the type of feedback that is assumed, the representation that is learned to capture the preferences, the optimization problem that has to be solved as well as how the exploration/exploitation problem is tackled. Furthermore, we point out shortcomings of current algorithms, propose open research questions and briefly survey practical tasks that have been solved using PbRL.","container-title":"The Journal of Machine Learning Research","ISSN":"1532-4435","issue":"1","journalAbbreviation":"J. Mach. Learn. Res.","page":"4945–4990","source":"ACM Digital Library","title":"A survey of preference-based reinforcement learning methods","volume":"18","author":[{"family":"Wirth","given":"Christian"},{"family":"Akrour","given":"Riad"},{"family":"Neumann","given":"Gerhard"},{"family":"Fürnkranz","given":"Johannes"}],"issued":{"date-parts":[["2017",1,1]]},"citation-key":"wirthSurveyPreferencebasedReinforcement2017"},"prefix":""}],"schema":"https://github.com/citation-style-language/schema/raw/master/csl-citation.json"} </w:instrText>
      </w:r>
      <w:r>
        <w:fldChar w:fldCharType="separate"/>
      </w:r>
      <w:r w:rsidR="00F14B32" w:rsidRPr="00F14B32">
        <w:rPr>
          <w:rFonts w:ascii="Aptos" w:cs="Times New Roman"/>
        </w:rPr>
        <w:t>[51–54]</w:t>
      </w:r>
      <w:r>
        <w:fldChar w:fldCharType="end"/>
      </w:r>
      <w:r>
        <w:t xml:space="preserve">, enabling them to follow natural language instructions and generate human-level responses. GPT-4 introduces improvements over GPT-3.5, including more recent training data, enhanced reasoning capabilities, and multimodal input-output functionality (e.g. text, image, voice) </w:t>
      </w:r>
      <w:r>
        <w:fldChar w:fldCharType="begin"/>
      </w:r>
      <w:r w:rsidR="00F14B32">
        <w:instrText xml:space="preserve"> ADDIN ZOTERO_ITEM CSL_CITATION {"citationID":"00000027","properties":{"unsorted":false,"formattedCitation":"[33]","plainCitation":"[33]","noteIndex":0},"citationItems":[{"id":2560,"uris":["http://zotero.org/users/6749620/items/35FCQSMW"],"itemData":{"id":2560,"type":"article-journal","abstract":"&lt;p&gt;ChatGPT, an artificial intelligence generated content (AIGC) model developed by OpenAI, has attracted worldwide attention for its capability of dealing with challenging language understanding and generation tasks in the form of conversations. This paper briefly provides an overview on the history, status quo and potential future development of ChatGPT, helping to provide an entry point to think about ChatGPT. Specifically, from the limited open-accessed resources, we conclude the core techniques of ChatGPT, mainly including large-scale language models, in-context learning, reinforcement learning from human feedback and the key technical steps for developing ChatGPT. We further analyze the pros and cons of ChatGPT and we rethink the duality of ChatGPT in various fields. Although it has been widely acknowledged that ChatGPT brings plenty of opportunities for various fields, mankind should still treat and use ChatGPT properly to avoid the potential threat, e.g., academic integrity and safety challenge. Finally, we discuss several open problems as the potential development of ChatGPT.&lt;/p&gt;","container-title":"IEEE/CAA Journal of Automatica Sinica","DOI":"10.1109/JAS.2023.123618","ISSN":"2329-9266","issue":"5","journalAbbreviation":"IEEE/CAA JAS","language":"en","license":"http://creativecommons.org/licenses/by/3.0/","note":"publisher: IEEE/CAA Journal of Automatica Sinica","page":"1122-1136","source":"www.ieee-jas.net","title":"A Brief Overview of ChatGPT: The History, Status Quo and Potential Future Development","title-short":"A Brief Overview of ChatGPT","volume":"10","author":[{"family":"Wu","given":"Tianyu"},{"family":"He","given":"Shizhu"},{"family":"Liu","given":"Jingping"},{"family":"Sun","given":"Siqi"},{"family":"Liu","given":"Kang"},{"family":"Han","given":"Qing-Long"},{"family":"Tang","given":"Yang"}],"issued":{"date-parts":[["2023"]]},"citation-key":"wuBriefOverviewChatGPT2023"},"prefix":""}],"schema":"https://github.com/citation-style-language/schema/raw/master/csl-citation.json"} </w:instrText>
      </w:r>
      <w:r>
        <w:fldChar w:fldCharType="separate"/>
      </w:r>
      <w:r w:rsidR="00F14B32">
        <w:rPr>
          <w:noProof/>
        </w:rPr>
        <w:t>[33]</w:t>
      </w:r>
      <w:r>
        <w:fldChar w:fldCharType="end"/>
      </w:r>
      <w:r>
        <w:t>.</w:t>
      </w:r>
    </w:p>
    <w:p w:rsidR="00260484" w:rsidRDefault="00000000">
      <w:pPr>
        <w:pStyle w:val="BodyText"/>
      </w:pPr>
      <w:r>
        <w:t xml:space="preserve">For GPT-3.5 and GPT-4, the following user prompt was used to instruct each model to produce COD assignments as ICD-10 codes, where </w:t>
      </w:r>
      <w:r>
        <w:rPr>
          <w:rStyle w:val="VerbatimChar"/>
        </w:rPr>
        <w:t>&lt;age&gt;</w:t>
      </w:r>
      <w:r>
        <w:t xml:space="preserve"> and </w:t>
      </w:r>
      <w:r>
        <w:rPr>
          <w:rStyle w:val="VerbatimChar"/>
        </w:rPr>
        <w:t>&lt;sex&gt;</w:t>
      </w:r>
      <w:r>
        <w:t xml:space="preserve"> from the questionnaire, and </w:t>
      </w:r>
      <w:r>
        <w:rPr>
          <w:rStyle w:val="VerbatimChar"/>
        </w:rPr>
        <w:t>&lt;narrative&gt;</w:t>
      </w:r>
      <w:r>
        <w:t xml:space="preserve"> from the narratives, were replaced with values from the data:</w:t>
      </w:r>
    </w:p>
    <w:p w:rsidR="00260484" w:rsidRDefault="00000000">
      <w:pPr>
        <w:pStyle w:val="SourceCode"/>
      </w:pPr>
      <w:r>
        <w:rPr>
          <w:rStyle w:val="VerbatimChar"/>
        </w:rPr>
        <w:t>Determine the underlying cause of death and provide the most probable ICD-10 code for a verbal autopsy narrative of a &lt;age&gt; years old &lt;sex&gt; death in Sierra Leone:  &lt;narrative&gt;</w:t>
      </w:r>
    </w:p>
    <w:p w:rsidR="00260484" w:rsidRDefault="00000000">
      <w:pPr>
        <w:pStyle w:val="FirstParagraph"/>
      </w:pPr>
      <w:r>
        <w:lastRenderedPageBreak/>
        <w:t xml:space="preserve">InterVA-5 and InSilicoVA used structured questionnaire data, which were converted into OpenVA-compatible format </w:t>
      </w:r>
      <w:r>
        <w:fldChar w:fldCharType="begin"/>
      </w:r>
      <w:r w:rsidR="00F14B32">
        <w:instrText xml:space="preserve"> ADDIN ZOTERO_ITEM CSL_CITATION {"citationID":"00000028","properties":{"unsorted":false,"formattedCitation":"[43]","plainCitation":"[43]","noteIndex":0},"citationItems":[{"id":2598,"uris":["http://zotero.org/users/6749620/items/9K6D3V3X"],"itemData":{"id":2598,"type":"article-journal","abstract":"Verbal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fldChar w:fldCharType="separate"/>
      </w:r>
      <w:r w:rsidR="00F14B32">
        <w:rPr>
          <w:noProof/>
        </w:rPr>
        <w:t>[43]</w:t>
      </w:r>
      <w:r>
        <w:fldChar w:fldCharType="end"/>
      </w:r>
      <w:r>
        <w:t xml:space="preserve">. Both models produced COD assignments coded using the WHO 2016 VA standard </w:t>
      </w:r>
      <w:r>
        <w:fldChar w:fldCharType="begin"/>
      </w:r>
      <w:r w:rsidR="00F14B32">
        <w:instrText xml:space="preserve"> ADDIN ZOTERO_ITEM CSL_CITATION {"citationID":"00000029","properties":{"unsorted":false,"formattedCitation":"[55]","plainCitation":"[55]","noteIndex":0},"citationItems":[{"id":2613,"uris":["http://zotero.org/users/6749620/items/IIYGENXN"],"itemData":{"id":2613,"type":"webpage","abstract":"Publications of the World Health Organization","language":"en","title":"Verbal autopsy standards: The 2016 WHO verbal autopsy instrument","title-short":"Verbal autopsy standards","URL":"https://www.who.int/publications/m/item/verbal-autopsy-standards-the-2016-who-verbal-autopsy-instrument","author":[{"literal":"World Health Organization"}],"accessed":{"date-parts":[["2024",1,17]]},"issued":{"date-parts":[["2016"]]},"citation-key":"worldhealthorganizationVerbalAutopsyStandards2016"},"prefix":""}],"schema":"https://github.com/citation-style-language/schema/raw/master/csl-citation.json"} </w:instrText>
      </w:r>
      <w:r>
        <w:fldChar w:fldCharType="separate"/>
      </w:r>
      <w:r w:rsidR="00F14B32">
        <w:rPr>
          <w:noProof/>
        </w:rPr>
        <w:t>[55]</w:t>
      </w:r>
      <w:r>
        <w:fldChar w:fldCharType="end"/>
      </w:r>
      <w:r>
        <w:t xml:space="preserve">. To ensure comparability across models, all output CODs were mapped to the CGHR-10 classification system for evaluation relative to physician-assigned CODs. Further details on model input formats, output mappings, and code conversion procedures are provided in Appendix </w:t>
      </w:r>
      <w:hyperlink w:anchor="app-methods-model">
        <w:r>
          <w:rPr>
            <w:rStyle w:val="Hyperlink"/>
          </w:rPr>
          <w:t>6.2</w:t>
        </w:r>
      </w:hyperlink>
      <w:r>
        <w:t>.</w:t>
      </w:r>
    </w:p>
    <w:p w:rsidR="00260484" w:rsidRDefault="00000000">
      <w:pPr>
        <w:pStyle w:val="Heading2"/>
      </w:pPr>
      <w:bookmarkStart w:id="5" w:name="methods-eval"/>
      <w:bookmarkEnd w:id="4"/>
      <w:r>
        <w:t>Performance Evaluation</w:t>
      </w:r>
    </w:p>
    <w:p w:rsidR="00260484" w:rsidRDefault="00000000">
      <w:pPr>
        <w:pStyle w:val="FirstParagraph"/>
      </w:pPr>
      <w:r>
        <w:t xml:space="preserve">Model performance was assessed at both the population and individual levels by comparing each model’s CGHR-10 COD assignments to those of physicians for all 6,939 records. Cause-Specific Mortality Fraction (CSMF) accuracy was used to evaluate agreement at the population level (see Appendix </w:t>
      </w:r>
      <w:hyperlink w:anchor="app-methods-csmfa">
        <w:r>
          <w:rPr>
            <w:rStyle w:val="Hyperlink"/>
          </w:rPr>
          <w:t>6.3.1</w:t>
        </w:r>
      </w:hyperlink>
      <w:r>
        <w:t xml:space="preserve">), while Partial Chance-Corrected Concordance (PCCC) was used to assess individual-level agreement (see Appendix </w:t>
      </w:r>
      <w:hyperlink w:anchor="app-methods-pccc">
        <w:r>
          <w:rPr>
            <w:rStyle w:val="Hyperlink"/>
          </w:rPr>
          <w:t>6.3.2</w:t>
        </w:r>
      </w:hyperlink>
      <w:r>
        <w:t xml:space="preserve">) </w:t>
      </w:r>
      <w:r>
        <w:fldChar w:fldCharType="begin"/>
      </w:r>
      <w:r w:rsidR="00F14B32">
        <w:instrText xml:space="preserve"> ADDIN ZOTERO_ITEM CSL_CITATION {"citationID":"00000030","properties":{"unsorted":false,"formattedCitation":"[56]","plainCitation":"[56]","noteIndex":0},"citationItems":[{"id":2622,"uris":["http://zotero.org/users/6749620/items/532V639L"],"itemData":{"id":2622,"type":"article-journal","abstract":"Verbal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fldChar w:fldCharType="separate"/>
      </w:r>
      <w:r w:rsidR="00F14B32">
        <w:rPr>
          <w:noProof/>
        </w:rPr>
        <w:t>[56]</w:t>
      </w:r>
      <w:r>
        <w:fldChar w:fldCharType="end"/>
      </w:r>
      <w:r>
        <w:t>. Both metrics range from 0 to 1, where higher values indicate stronger similarity with physician assignment.</w:t>
      </w:r>
    </w:p>
    <w:p w:rsidR="00260484" w:rsidRDefault="00000000">
      <w:pPr>
        <w:pStyle w:val="BodyText"/>
      </w:pPr>
      <w:r>
        <w:t xml:space="preserve">Given that model performance can vary by age and different CODs </w:t>
      </w:r>
      <w:r>
        <w:fldChar w:fldCharType="begin"/>
      </w:r>
      <w:r w:rsidR="00F14B32">
        <w:instrText xml:space="preserve"> ADDIN ZOTERO_ITEM CSL_CITATION {"citationID":"00000031","properties":{"unsorted":false,"formattedCitation":"[41, 42, 57]","plainCitation":"[41, 42, 57]","noteIndex":0},"citationItems":[{"id":2644,"uris":["http://zotero.org/users/6749620/items/WD8YH84I"],"itemData":{"id":2644,"type":"article-journal","abstract":"Background\nPhysician-coded verbal autopsy (PCVA) is the most widely used method to determine causes of death (COD) in countries where medical certification of death is low. Computer-coded verbal autopsy (CCVA), an alternative method to PCVA for assigning the COD is considered to be efficient and cost-effective. However, the performance of CCVA as compared to PCVA is yet to be established in the Indian context.\n\nMethods\nWe evaluated the performance of PCVA and three CCVA methods i.e., InterVA 5, InSilico, and Tariff 2.0 on verbal autopsies done using the WHO 2016 VA tool on 2,120 reference standard cases developed from five tertiary care hospitals of Delhi. PCVA methodology involved dual independent review with adjudication, where required. Metrics to assess performance were Cause Specific Mortality Fraction (CSMF), sensitivity, positive predictive value (PPV), CSMF Accuracy, and Kappa statistic.\n\nResults\nIn terms of the measures of the overall performance of COD assignment methods, for CSMF Accuracy, the PCVA method achieved the highest score of 0.79, followed by 0.67 for Tariff_2.0, 0.66 for Inter-VA and 0.62 for InSilicoVA. The PCVA method also achieved the highest agreement (57%) and Kappa scores (0.54). The PCVA method showed the highest sensitivity for 15 out of 20 causes of death.\n\nConclusion\nOur study found that the PCVA method had the best performance out of all the four COD assignment methods that were tested in our study sample. In order to improve the performance of CCVA methods, multicentric studies with larger sample sizes need to be conducted using the WHO VA tool.","container-title":"Frontiers in Big Data","DOI":"10.3389/fdata.2023.1197471","ISSN":"2624-909X","journalAbbreviation":"Front Big Data","note":"PMID: 37693847\nPMCID: PMC10483407","page":"1197471","source":"PubMed Central","title":"Evaluation of methods for assigning causes of death from verbal autopsies in India","volume":"6","author":[{"family":"Benara","given":"Sudhir K."},{"family":"Sharma","given":"Saurabh"},{"family":"Juneja","given":"Atul"},{"family":"Nair","given":"Saritha"},{"family":"Gulati","given":"B. K."},{"family":"Singh","given":"Kh. Jitenkumar"},{"family":"Singh","given":"Lucky"},{"family":"Yadav","given":"Ved Prakash"},{"family":"Rao","given":"Chalapati"},{"family":"Rao","given":"M. Vishnu Vardhana"}],"issued":{"date-parts":[["2023",8,24]]},"citation-key":"benaraEvaluationMethodsAssigning2023"},"prefix":""},{"id":2640,"uris":["http://zotero.org/users/6749620/items/S3QHNWMV"],"itemData":{"id":2640,"type":"article-journal","abstract":"Monitoring progress with disease and injury reduction in many populations will require widespread use of verbal autopsy (VA). Multiple methods have been developed for assigning cause of death from a VA but their application is restricted by uncertainty about their reliability.","container-title":"BMC Medicine","DOI":"10.1186/1741-7015-12-5","ISSN":"1741-7015","issue":"1","journalAbbreviation":"BMC Med","language":"en","page":"5","source":"Springer Link","title":"Using verbal autopsy to measure causes of death: the comparative performance of existing methods","title-short":"Using verbal autopsy to measure causes of death","volume":"12","author":[{"family":"Murray","given":"Christopher JL"},{"family":"Lozano","given":"Rafael"},{"family":"Flaxman","given":"Abraham D."},{"family":"Serina","given":"Peter"},{"family":"Phillips","given":"David"},{"family":"Stewart","given":"Andrea"},{"family":"James","given":"Spencer L."},{"family":"Vahdatpour","given":"Alireza"},{"family":"Atkinson","given":"Charles"},{"family":"Freeman","given":"Michael K."},{"family":"Ohno","given":"Summer Lockett"},{"family":"Black","given":"Robert"},{"family":"Ali","given":"Said Mohammed"},{"family":"Baqui","given":"Abdullah H."},{"family":"Dandona","given":"Lalit"},{"family":"Dantzer","given":"Emily"},{"family":"Darmstadt","given":"Gary L."},{"family":"Das","given":"Vinita"},{"family":"Dhingra","given":"Usha"},{"family":"Dutta","given":"Arup"},{"family":"Fawzi","given":"Wafaie"},{"family":"Gómez","given":"Sara"},{"family":"Hernández","given":"Bernardo"},{"family":"Joshi","given":"Rohina"},{"family":"Kalter","given":"Henry D."},{"family":"Kumar","given":"Aarti"},{"family":"Kumar","given":"Vishwajeet"},{"family":"Lucero","given":"Marilla"},{"family":"Mehta","given":"Saurabh"},{"family":"Neal","given":"Bruce"},{"family":"Praveen","given":"Devarsetty"},{"family":"Premji","given":"Zul"},{"family":"Ramírez-Villalobos","given":"Dolores"},{"family":"Remolador","given":"Hazel"},{"family":"Riley","given":"Ian"},{"family":"Romero","given":"Minerva"},{"family":"Said","given":"Mwanaidi"},{"family":"Sanvictores","given":"Diozele"},{"family":"Sazawal","given":"Sunil"},{"family":"Tallo","given":"Veronica"},{"family":"Lopez","given":"Alan D."}],"issued":{"date-parts":[["2014",1,9]]},"citation-key":"murrayUsingVerbalAutopsy2014"},"prefix":""},{"id":2638,"uris":["http://zotero.org/users/6749620/items/L2Y3QV66"],"itemData":{"id":2638,"type":"article-journal","abstract":"Objectives To validate verbal autopsy (VA) procedures for use in sample vital registration. Verbal autopsy is an important method for deriving cause-specific mortality estimates where disease burdens are greatest and routine cause-specific mortality data do not exist. Methods Verbal autopsies and medical records (MR) were collected for 3123 deaths in the perinatal/neonatal period, post-neonatal &lt;5 age group, and for ages of 5 years and over in Tanzania. Causes of death were assigned by physician panels using the International Classification of Disease, revision 10. Validity was measured by: cause-specific mortality fractions (CSMF); sensitivity; specificity and positive predictive value. Medical record diagnoses were scored for degree of uncertainty, and sensitivity and specificity adjusted. Criteria for evaluating VA performance in generating true proportional mortality were applied. Results Verbal autopsy produced accurate CSMFs for nine causes in different age groups: birth asphyxia; intrauterine complications; pneumonia; HIV/AIDS; malaria (adults); tuberculosis; cerebrovascular diseases; injuries and direct maternal causes. Results for 20 other causes approached the threshold for good performance. Conclusions Verbal autopsy reliably estimated CSMFs for diseases of public health importance in all age groups. Further validation is needed to assess reasons for lack of positive results for some conditions.","container-title":"Tropical Medicine &amp; International Health","DOI":"10.1111/j.1365-3156.2006.01603.x","ISSN":"1365-3156","issue":"5","language":"en","note":"_eprint: https://onlinelibrary.wiley.com/doi/pdf/10.1111/j.1365-3156.2006.01603.x","page":"681-696","source":"Wiley Online Library","title":"Validity of verbal autopsy procedures for determining cause of death in Tanzania","volume":"11","author":[{"family":"Setel","given":"Philip W."},{"family":"Whiting","given":"David R."},{"family":"Hemed","given":"Yusuf"},{"family":"Chandramohan","given":"Daniel"},{"family":"Wolfson","given":"Lara J."},{"family":"Alberti","given":"K. G. M. M."},{"family":"Lopez","given":"Alan D."}],"issued":{"date-parts":[["2006"]]},"citation-key":"setelValidityVerbalAutopsy2006"},"prefix":""}],"schema":"https://github.com/citation-style-language/schema/raw/master/csl-citation.json"} </w:instrText>
      </w:r>
      <w:r>
        <w:fldChar w:fldCharType="separate"/>
      </w:r>
      <w:r w:rsidR="00F14B32">
        <w:rPr>
          <w:noProof/>
        </w:rPr>
        <w:t>[41, 42, 57]</w:t>
      </w:r>
      <w:r>
        <w:fldChar w:fldCharType="end"/>
      </w:r>
      <w:r>
        <w:t xml:space="preserve">, both CSMF accuracy and PCCC were calculated overall and stratified by age group (adult, child, neonatal), CGHR-10 COD, and age at death. For adult and child groups, metrics were computed in five-year age bands for records with age at death of one year or older, and five-month bands for records between 28 days and one year. For the neonatal group, evaluations were conducted separately for age intervals of 0–6 days and 7–27 days. Additional details on the evaluation strategy and metric calculations are provided in Appendix </w:t>
      </w:r>
      <w:hyperlink w:anchor="app-methods-eval">
        <w:r>
          <w:rPr>
            <w:rStyle w:val="Hyperlink"/>
          </w:rPr>
          <w:t>6.3</w:t>
        </w:r>
      </w:hyperlink>
      <w:r>
        <w:t>.</w:t>
      </w:r>
    </w:p>
    <w:p w:rsidR="00260484" w:rsidRDefault="00000000">
      <w:pPr>
        <w:pStyle w:val="Heading1"/>
      </w:pPr>
      <w:bookmarkStart w:id="6" w:name="results"/>
      <w:bookmarkEnd w:id="1"/>
      <w:bookmarkEnd w:id="5"/>
      <w:r>
        <w:t>Results</w:t>
      </w:r>
    </w:p>
    <w:p w:rsidR="00260484" w:rsidRDefault="00000000">
      <w:pPr>
        <w:pStyle w:val="FirstParagraph"/>
      </w:pPr>
      <w:r>
        <w:t xml:space="preserve">This section presents the performance of GPT-3.5, GPT-4, InterVA-5, and InSilicoVA in assigning CGHR-10 CODs, based on the methodology described in Section </w:t>
      </w:r>
      <w:hyperlink w:anchor="methods">
        <w:r>
          <w:rPr>
            <w:rStyle w:val="Hyperlink"/>
          </w:rPr>
          <w:t>2</w:t>
        </w:r>
      </w:hyperlink>
      <w:r>
        <w:t xml:space="preserve">. GPT-4 achieved the highest overall individual-level concordance, with a PCCC of 0.61, followed by GPT-3.5 (0.56). GPT-4 also demonstrated the highest PCCC across most age groups and CODs within the adult (12–69 years), child (28 days–11 years), and neonatal (under 28 days) categories. In contrast, GPT-3.5, InterVA-5, and InSilicoVA showed higher PCCC values for a limited subset of age groups and CODs. Summary results are presented in Section </w:t>
      </w:r>
      <w:hyperlink w:anchor="results-overall">
        <w:r>
          <w:rPr>
            <w:rStyle w:val="Hyperlink"/>
          </w:rPr>
          <w:t>3.1</w:t>
        </w:r>
      </w:hyperlink>
      <w:r>
        <w:t xml:space="preserve">, with stratified results by age group detailed in Sections </w:t>
      </w:r>
      <w:hyperlink w:anchor="results-adult">
        <w:r>
          <w:rPr>
            <w:rStyle w:val="Hyperlink"/>
          </w:rPr>
          <w:t>3.2</w:t>
        </w:r>
      </w:hyperlink>
      <w:r>
        <w:t xml:space="preserve">, </w:t>
      </w:r>
      <w:hyperlink w:anchor="results-child">
        <w:r>
          <w:rPr>
            <w:rStyle w:val="Hyperlink"/>
          </w:rPr>
          <w:t>3.3</w:t>
        </w:r>
      </w:hyperlink>
      <w:r>
        <w:t xml:space="preserve">, and </w:t>
      </w:r>
      <w:hyperlink w:anchor="results-neo">
        <w:r>
          <w:rPr>
            <w:rStyle w:val="Hyperlink"/>
          </w:rPr>
          <w:t>3.4</w:t>
        </w:r>
      </w:hyperlink>
      <w:r>
        <w:t>.</w:t>
      </w:r>
    </w:p>
    <w:p w:rsidR="00260484" w:rsidRDefault="00000000">
      <w:pPr>
        <w:pStyle w:val="Heading2"/>
      </w:pPr>
      <w:bookmarkStart w:id="7" w:name="results-overall"/>
      <w:r>
        <w:t>Overall Performance</w:t>
      </w:r>
    </w:p>
    <w:p w:rsidR="00260484" w:rsidRDefault="00000000">
      <w:pPr>
        <w:pStyle w:val="FirstParagraph"/>
      </w:pPr>
      <w:r>
        <w:t xml:space="preserve">Of all 6939 records, GPT-4 (0.61 PCCC) had the highest individual performance followed by GPT-3.5 (0.56 PCCC), InSilicoVA (0.44 PCCC), and InterVA-5 (0.44 PCCC) (Figure </w:t>
      </w:r>
      <w:hyperlink w:anchor="fig-pccc-csmf">
        <w:r>
          <w:rPr>
            <w:rStyle w:val="Hyperlink"/>
          </w:rPr>
          <w:t>2</w:t>
        </w:r>
      </w:hyperlink>
      <w:r>
        <w:t xml:space="preserve">). GPT-3.5 and GPT-4 had improvements ranging from 0.14-0.18 PCCC over InSilicoVA and InterVA-5, while GPT-4 slightly improved over GPT-3.5 by 0.05 PCCC. Population level performances were similar for all models (0.74-0.79 CSMF). Figure </w:t>
      </w:r>
      <w:hyperlink w:anchor="fig-pccc">
        <w:r>
          <w:rPr>
            <w:rStyle w:val="Hyperlink"/>
          </w:rPr>
          <w:t>3</w:t>
        </w:r>
      </w:hyperlink>
      <w:r>
        <w:t xml:space="preserve"> shows the PCCC </w:t>
      </w:r>
      <w:r>
        <w:lastRenderedPageBreak/>
        <w:t>performance across three age groups (adult, child, and neonate). GPT-4 had the best individual performance for adult and neonatal records (0.64 and 0.58 PCCC), while GPT-3.5 had the best performance for child records (0.54 PCCC) with GPT-4 performing slightly worse (0.51 PCCC). InSilicoVA and InterVA-5 performed the worse for adult and child records (</w:t>
      </w:r>
      <m:oMath>
        <m:r>
          <m:rPr>
            <m:sty m:val="p"/>
          </m:rPr>
          <w:rPr>
            <w:rFonts w:ascii="Cambria Math" w:hAnsi="Cambria Math"/>
          </w:rPr>
          <m:t>≤</m:t>
        </m:r>
      </m:oMath>
      <w:r>
        <w:t xml:space="preserve">0.5 PCCC), while GPT-3.5 performed the worse for neonatal records (0.42 PCCC). Performance varied less for child deaths (0.13 range) than for adult and neonatal deaths (0.24 and 0.22 range). Across ages, all models followed a similar pattern in individual performance (Figure </w:t>
      </w:r>
      <w:hyperlink w:anchor="fig-pccc-age">
        <w:r>
          <w:rPr>
            <w:rStyle w:val="Hyperlink"/>
          </w:rPr>
          <w:t>4</w:t>
        </w:r>
      </w:hyperlink>
      <w:r>
        <w:t>), where PCCC trended upwards for 1 month to 14 years (</w:t>
      </w:r>
      <m:oMath>
        <m:r>
          <m:rPr>
            <m:sty m:val="p"/>
          </m:rPr>
          <w:rPr>
            <w:rFonts w:ascii="Cambria Math" w:hAnsi="Cambria Math"/>
          </w:rPr>
          <m:t>∼</m:t>
        </m:r>
      </m:oMath>
      <w:r>
        <w:t>0.1-0.75), and downwards for ages 15 to 69 years (</w:t>
      </w:r>
      <m:oMath>
        <m:r>
          <m:rPr>
            <m:sty m:val="p"/>
          </m:rPr>
          <w:rPr>
            <w:rFonts w:ascii="Cambria Math" w:hAnsi="Cambria Math"/>
          </w:rPr>
          <m:t>∼</m:t>
        </m:r>
      </m:oMath>
      <w:r>
        <w:t>0.7-0.35). The highest and lowest performances were observed for ages 12-29 years (</w:t>
      </w:r>
      <m:oMath>
        <m:r>
          <m:rPr>
            <m:sty m:val="p"/>
          </m:rPr>
          <w:rPr>
            <w:rFonts w:ascii="Cambria Math" w:hAnsi="Cambria Math"/>
          </w:rPr>
          <m:t>∼</m:t>
        </m:r>
      </m:oMath>
      <w:r>
        <w:t>0.4-0.7) and 1-11 months (</w:t>
      </w:r>
      <m:oMath>
        <m:r>
          <m:rPr>
            <m:sty m:val="p"/>
          </m:rPr>
          <w:rPr>
            <w:rFonts w:ascii="Cambria Math" w:hAnsi="Cambria Math"/>
          </w:rPr>
          <m:t>∼</m:t>
        </m:r>
      </m:oMath>
      <w:r>
        <w:t>0.1-0.35) respectively.</w:t>
      </w:r>
    </w:p>
    <w:tbl>
      <w:tblPr>
        <w:tblStyle w:val="Table"/>
        <w:tblW w:w="0" w:type="auto"/>
        <w:jc w:val="center"/>
        <w:tblLook w:val="0600" w:firstRow="0" w:lastRow="0" w:firstColumn="0" w:lastColumn="0" w:noHBand="1" w:noVBand="1"/>
      </w:tblPr>
      <w:tblGrid>
        <w:gridCol w:w="222"/>
      </w:tblGrid>
      <w:tr w:rsidR="00260484">
        <w:trPr>
          <w:jc w:val="center"/>
        </w:trPr>
        <w:tc>
          <w:tcPr>
            <w:tcW w:w="0" w:type="auto"/>
          </w:tcPr>
          <w:p w:rsidR="00260484" w:rsidRDefault="00260484">
            <w:pPr>
              <w:pStyle w:val="Compact"/>
              <w:jc w:val="center"/>
            </w:pPr>
            <w:bookmarkStart w:id="8" w:name="fig-pccc-csmf"/>
          </w:p>
        </w:tc>
      </w:tr>
    </w:tbl>
    <w:p w:rsidR="00260484" w:rsidRDefault="00000000">
      <w:pPr>
        <w:pStyle w:val="ImageCaption"/>
      </w:pPr>
      <w:r>
        <w:t>Overall model performance.</w:t>
      </w:r>
    </w:p>
    <w:tbl>
      <w:tblPr>
        <w:tblStyle w:val="Table"/>
        <w:tblW w:w="0" w:type="auto"/>
        <w:jc w:val="center"/>
        <w:tblLook w:val="0600" w:firstRow="0" w:lastRow="0" w:firstColumn="0" w:lastColumn="0" w:noHBand="1" w:noVBand="1"/>
      </w:tblPr>
      <w:tblGrid>
        <w:gridCol w:w="222"/>
      </w:tblGrid>
      <w:tr w:rsidR="00260484">
        <w:trPr>
          <w:jc w:val="center"/>
        </w:trPr>
        <w:tc>
          <w:tcPr>
            <w:tcW w:w="0" w:type="auto"/>
          </w:tcPr>
          <w:p w:rsidR="00260484" w:rsidRDefault="00260484">
            <w:pPr>
              <w:pStyle w:val="Compact"/>
              <w:jc w:val="center"/>
            </w:pPr>
            <w:bookmarkStart w:id="9" w:name="fig-pccc"/>
            <w:bookmarkEnd w:id="8"/>
          </w:p>
        </w:tc>
      </w:tr>
    </w:tbl>
    <w:p w:rsidR="00260484" w:rsidRDefault="00000000">
      <w:pPr>
        <w:pStyle w:val="ImageCaption"/>
      </w:pPr>
      <w:r>
        <w:t>Model performance by age group.</w:t>
      </w:r>
    </w:p>
    <w:tbl>
      <w:tblPr>
        <w:tblStyle w:val="Table"/>
        <w:tblW w:w="0" w:type="auto"/>
        <w:jc w:val="center"/>
        <w:tblLook w:val="0600" w:firstRow="0" w:lastRow="0" w:firstColumn="0" w:lastColumn="0" w:noHBand="1" w:noVBand="1"/>
      </w:tblPr>
      <w:tblGrid>
        <w:gridCol w:w="222"/>
      </w:tblGrid>
      <w:tr w:rsidR="00260484">
        <w:trPr>
          <w:jc w:val="center"/>
        </w:trPr>
        <w:tc>
          <w:tcPr>
            <w:tcW w:w="0" w:type="auto"/>
          </w:tcPr>
          <w:p w:rsidR="00260484" w:rsidRDefault="00260484">
            <w:pPr>
              <w:pStyle w:val="Compact"/>
              <w:jc w:val="center"/>
            </w:pPr>
            <w:bookmarkStart w:id="10" w:name="fig-pccc-age"/>
            <w:bookmarkEnd w:id="9"/>
          </w:p>
        </w:tc>
      </w:tr>
    </w:tbl>
    <w:p w:rsidR="00260484" w:rsidRDefault="00000000">
      <w:pPr>
        <w:pStyle w:val="ImageCaption"/>
      </w:pPr>
      <w:r>
        <w:t>Model performance by age range.</w:t>
      </w:r>
    </w:p>
    <w:p w:rsidR="00260484" w:rsidRDefault="00000000">
      <w:pPr>
        <w:pStyle w:val="Heading2"/>
      </w:pPr>
      <w:bookmarkStart w:id="11" w:name="results-adult"/>
      <w:bookmarkEnd w:id="7"/>
      <w:bookmarkEnd w:id="10"/>
      <w:r>
        <w:t>Performance for 3826 Adult Records (12 to 69 years)</w:t>
      </w:r>
    </w:p>
    <w:p w:rsidR="00260484" w:rsidRDefault="00000000">
      <w:pPr>
        <w:pStyle w:val="FirstParagraph"/>
      </w:pPr>
      <w:r>
        <w:t xml:space="preserve">Figure </w:t>
      </w:r>
      <w:hyperlink w:anchor="fig-pccc-cod-adult">
        <w:r>
          <w:rPr>
            <w:rStyle w:val="Hyperlink"/>
          </w:rPr>
          <w:t>5</w:t>
        </w:r>
      </w:hyperlink>
      <w:r>
        <w:t xml:space="preserve"> presents model performance across 17 adult CODs, excluding suicide due to a low sample size (n=3, &lt;1%). GPT-4 achieved the highest individual level performance for 10 of 17 CODs (0.35–0.99 PCCC), followed by GPT-3.5 for 5 CODs (0.43–0.94 PCCC), and InSilicoVA for 2 CODs (0.71 and 0.84 PCCC). InterVA-5 showed the lowest performance for 8 CODs (0–0.79 PCCC), InSilicoVA for 6 CODs (0.01–0.41 PCCC), and GPT-3.5 for 2 CODs (0.38 and 0.53 PCCC). The greatest improvements of GPT-3.5/4 over InSilicoVA and InterVA-5 were observed in chronic respiratory diseases (+0.74-0.94 PCCC), while the smallest improvements were for malaria (+0.09-0.17 PCCC). All models achieved PCCC values above 0.70 for maternal conditions (0.79–0.99), but remained below 0.50 for unspecified infections (0.35–0.49), malaria (0.26–0.43), and ill-defined CODs (0–0.35). GPT-4 showed performance improvements exceeding 0.20 PCCC over all other models for cancers (+0.25–0.36), stroke (+0.27–0.45), and diarrhoeal diseases (+0.37–0.51). GPT-3.5 demonstrated similar gains for liver and alcohol-related diseases (+0.27–0.52). Performance variability across models was most pronounced for chronic respiratory diseases (range: 0.94), while narrower differences were observed for maternal conditions (0.20), malaria (0.17), ischemic heart disease (0.15), and unspecified infections (0.14).</w:t>
      </w:r>
    </w:p>
    <w:tbl>
      <w:tblPr>
        <w:tblStyle w:val="Table"/>
        <w:tblW w:w="0" w:type="auto"/>
        <w:jc w:val="center"/>
        <w:tblLook w:val="0600" w:firstRow="0" w:lastRow="0" w:firstColumn="0" w:lastColumn="0" w:noHBand="1" w:noVBand="1"/>
      </w:tblPr>
      <w:tblGrid>
        <w:gridCol w:w="222"/>
      </w:tblGrid>
      <w:tr w:rsidR="00260484">
        <w:trPr>
          <w:jc w:val="center"/>
        </w:trPr>
        <w:tc>
          <w:tcPr>
            <w:tcW w:w="0" w:type="auto"/>
          </w:tcPr>
          <w:p w:rsidR="00260484" w:rsidRDefault="00260484">
            <w:pPr>
              <w:pStyle w:val="Compact"/>
              <w:jc w:val="center"/>
            </w:pPr>
            <w:bookmarkStart w:id="12" w:name="fig-pccc-cod-adult"/>
          </w:p>
        </w:tc>
      </w:tr>
    </w:tbl>
    <w:p w:rsidR="00260484" w:rsidRDefault="00000000">
      <w:pPr>
        <w:pStyle w:val="ImageCaption"/>
      </w:pPr>
      <w:r>
        <w:t>Model performance for adult records by COD.</w:t>
      </w:r>
    </w:p>
    <w:p w:rsidR="00260484" w:rsidRDefault="00000000">
      <w:pPr>
        <w:pStyle w:val="Heading2"/>
      </w:pPr>
      <w:bookmarkStart w:id="13" w:name="results-child"/>
      <w:bookmarkEnd w:id="11"/>
      <w:bookmarkEnd w:id="12"/>
      <w:r>
        <w:lastRenderedPageBreak/>
        <w:t>Performance for 2636 Child Records (28 Days to 11 Years)</w:t>
      </w:r>
    </w:p>
    <w:p w:rsidR="00260484" w:rsidRDefault="00000000">
      <w:pPr>
        <w:pStyle w:val="FirstParagraph"/>
      </w:pPr>
      <w:r>
        <w:t xml:space="preserve">Figure </w:t>
      </w:r>
      <w:hyperlink w:anchor="fig-pccc-cod-child">
        <w:r>
          <w:rPr>
            <w:rStyle w:val="Hyperlink"/>
          </w:rPr>
          <w:t>6</w:t>
        </w:r>
      </w:hyperlink>
      <w:r>
        <w:t xml:space="preserve"> shows individual-level performance across 8 child CODs, excluding congenital anomalies due to a low sample size (n=1, &lt;1%). GPT-4 achieved the highest PCCC for 4 of the 8 CODs (0.65–0.94), followed by GPT-3.5 for 3 CODs (0.44–0.88), and InSilicoVA for 1 COD (0.78). InterVA-5 had the lowest performance for 4 CODs (0.09–0.79), InSilicoVA for 3 CODs (0–0.35), and GPT-3.5 for 1 COD (0.58). All models performed well for injuries, with PCCC values exceeding 0.70 (0.79–0.94), and showed lower performance for malaria (0.35–0.54) and other infections (0.29–0.44). GPT-4 demonstrated an improvement over other models for ill-defined CODs, with improvements greater than 0.30 PCCC (+0.38–0.65), and also showed stronger performance for injuries, with gains of +0.11–0.15 compared to +0.01–0.04 for other models. Performance differences exceeding 0.60 PCCC were observed for epilepsy, leukaemia, other communicable diseases (range: 0.73), ill-defined causes (0.65), and nutritional deficiencies (0.61). In contrast, narrower differences (less than 0.30 PCCC) were seen for malaria (0.20), injuries, and other infections (0.15).</w:t>
      </w:r>
    </w:p>
    <w:tbl>
      <w:tblPr>
        <w:tblStyle w:val="Table"/>
        <w:tblW w:w="0" w:type="auto"/>
        <w:jc w:val="center"/>
        <w:tblLook w:val="0600" w:firstRow="0" w:lastRow="0" w:firstColumn="0" w:lastColumn="0" w:noHBand="1" w:noVBand="1"/>
      </w:tblPr>
      <w:tblGrid>
        <w:gridCol w:w="222"/>
      </w:tblGrid>
      <w:tr w:rsidR="00260484">
        <w:trPr>
          <w:jc w:val="center"/>
        </w:trPr>
        <w:tc>
          <w:tcPr>
            <w:tcW w:w="0" w:type="auto"/>
          </w:tcPr>
          <w:p w:rsidR="00260484" w:rsidRDefault="00260484">
            <w:pPr>
              <w:pStyle w:val="Compact"/>
              <w:jc w:val="center"/>
            </w:pPr>
            <w:bookmarkStart w:id="14" w:name="fig-pccc-cod-child"/>
          </w:p>
        </w:tc>
      </w:tr>
    </w:tbl>
    <w:p w:rsidR="00260484" w:rsidRDefault="00000000">
      <w:pPr>
        <w:pStyle w:val="ImageCaption"/>
      </w:pPr>
      <w:r>
        <w:t>Model performance for child records by COD.</w:t>
      </w:r>
    </w:p>
    <w:p w:rsidR="00260484" w:rsidRDefault="00000000">
      <w:pPr>
        <w:pStyle w:val="Heading2"/>
      </w:pPr>
      <w:bookmarkStart w:id="15" w:name="results-neo"/>
      <w:bookmarkEnd w:id="13"/>
      <w:bookmarkEnd w:id="14"/>
      <w:r>
        <w:t>Performance for 477 Neonatal Records (Under 28 Days)</w:t>
      </w:r>
    </w:p>
    <w:p w:rsidR="00260484" w:rsidRDefault="00000000">
      <w:pPr>
        <w:pStyle w:val="FirstParagraph"/>
      </w:pPr>
      <w:r>
        <w:t xml:space="preserve">Figure </w:t>
      </w:r>
      <w:hyperlink w:anchor="fig-pccc-cod-neo">
        <w:r>
          <w:rPr>
            <w:rStyle w:val="Hyperlink"/>
          </w:rPr>
          <w:t>7</w:t>
        </w:r>
      </w:hyperlink>
      <w:r>
        <w:t xml:space="preserve"> shows model performance across 5 neonatal CODs, excluding congenital anomalies (n=2, &lt;1%) and other causes (n=5, 1%) due to limited sample sizes. GPT-4 achieved the highest PCCC for 3 of the 5 CODs (0.39–0.71), while GPT-3.5 and InSilicoVA had the highest PCCC for 1 COD each (0.57 and 0.86). GPT-3.5 showed the lowest PCCC for 3 CODs (0–0.13), and InterVA-5 for 2 CODs (0.01 and 0.48). Performance was similar across all models for stillbirths (0.48–0.57 PCCC), though only GPT-4 achieved a PCCC greater than 0 for prematurity-related deaths. InSilicoVA outperformed all other models for neonatal infections, with gains of +0.18–0.73 PCCC. Performance differences greater than 0.6 PCCC were observed for infections (range: 0.73) and prematurity and low birthweight (0.7). Stillbirth showed minimal variation across models (range: 0.09).</w:t>
      </w:r>
    </w:p>
    <w:tbl>
      <w:tblPr>
        <w:tblStyle w:val="Table"/>
        <w:tblW w:w="0" w:type="auto"/>
        <w:jc w:val="center"/>
        <w:tblLook w:val="0600" w:firstRow="0" w:lastRow="0" w:firstColumn="0" w:lastColumn="0" w:noHBand="1" w:noVBand="1"/>
      </w:tblPr>
      <w:tblGrid>
        <w:gridCol w:w="222"/>
      </w:tblGrid>
      <w:tr w:rsidR="00260484">
        <w:trPr>
          <w:jc w:val="center"/>
        </w:trPr>
        <w:tc>
          <w:tcPr>
            <w:tcW w:w="0" w:type="auto"/>
          </w:tcPr>
          <w:p w:rsidR="00260484" w:rsidRDefault="00260484">
            <w:pPr>
              <w:pStyle w:val="Compact"/>
              <w:jc w:val="center"/>
            </w:pPr>
            <w:bookmarkStart w:id="16" w:name="fig-pccc-cod-neo"/>
          </w:p>
        </w:tc>
      </w:tr>
    </w:tbl>
    <w:p w:rsidR="00260484" w:rsidRDefault="00000000">
      <w:pPr>
        <w:pStyle w:val="ImageCaption"/>
      </w:pPr>
      <w:r>
        <w:t>Model performance for neonatal records by COD.</w:t>
      </w:r>
    </w:p>
    <w:p w:rsidR="00260484" w:rsidRDefault="00000000">
      <w:pPr>
        <w:pStyle w:val="Heading1"/>
      </w:pPr>
      <w:bookmarkStart w:id="17" w:name="discuss"/>
      <w:bookmarkEnd w:id="6"/>
      <w:bookmarkEnd w:id="15"/>
      <w:bookmarkEnd w:id="16"/>
      <w:r>
        <w:t>Discussion</w:t>
      </w:r>
    </w:p>
    <w:p w:rsidR="00260484" w:rsidRDefault="00000000">
      <w:pPr>
        <w:pStyle w:val="FirstParagraph"/>
      </w:pPr>
      <w:r>
        <w:t xml:space="preserve">This section interprets and contextualizes the findings presented in Section </w:t>
      </w:r>
      <w:hyperlink w:anchor="results">
        <w:r>
          <w:rPr>
            <w:rStyle w:val="Hyperlink"/>
          </w:rPr>
          <w:t>3</w:t>
        </w:r>
      </w:hyperlink>
      <w:r>
        <w:t xml:space="preserve">. The comparative advantages and limitations of GPT-3.5, GPT-4, InterVA-5, and InSilicoVA for COD assignment are discussed in Sections </w:t>
      </w:r>
      <w:hyperlink w:anchor="discuss-adv">
        <w:r>
          <w:rPr>
            <w:rStyle w:val="Hyperlink"/>
          </w:rPr>
          <w:t>4.1</w:t>
        </w:r>
      </w:hyperlink>
      <w:r>
        <w:t xml:space="preserve"> and </w:t>
      </w:r>
      <w:hyperlink w:anchor="discuss-disadv">
        <w:r>
          <w:rPr>
            <w:rStyle w:val="Hyperlink"/>
          </w:rPr>
          <w:t>4.2</w:t>
        </w:r>
      </w:hyperlink>
      <w:r>
        <w:t xml:space="preserve">, respectively. Study limitations are outlined in Section </w:t>
      </w:r>
      <w:hyperlink w:anchor="discuss-limits">
        <w:r>
          <w:rPr>
            <w:rStyle w:val="Hyperlink"/>
          </w:rPr>
          <w:t>4.3</w:t>
        </w:r>
      </w:hyperlink>
      <w:r>
        <w:t xml:space="preserve">, and directions for future research are presented in Section </w:t>
      </w:r>
      <w:hyperlink w:anchor="discuss-opp">
        <w:r>
          <w:rPr>
            <w:rStyle w:val="Hyperlink"/>
          </w:rPr>
          <w:t>4.4</w:t>
        </w:r>
      </w:hyperlink>
      <w:r>
        <w:t>.</w:t>
      </w:r>
    </w:p>
    <w:p w:rsidR="00260484" w:rsidRDefault="00000000">
      <w:pPr>
        <w:pStyle w:val="Heading2"/>
      </w:pPr>
      <w:bookmarkStart w:id="18" w:name="discuss-adv"/>
      <w:r>
        <w:lastRenderedPageBreak/>
        <w:t>Advantages</w:t>
      </w:r>
    </w:p>
    <w:p w:rsidR="00260484" w:rsidRDefault="00000000">
      <w:pPr>
        <w:pStyle w:val="FirstParagraph"/>
      </w:pPr>
      <w:r>
        <w:t xml:space="preserve">This section outlines the strengths of the evaluated models in assigning CODs. Section </w:t>
      </w:r>
      <w:hyperlink w:anchor="discuss-adv-cod">
        <w:r>
          <w:rPr>
            <w:rStyle w:val="Hyperlink"/>
          </w:rPr>
          <w:t>4.1.1</w:t>
        </w:r>
      </w:hyperlink>
      <w:r>
        <w:t xml:space="preserve"> discusses model advantages across specific CODs and age groups. Section </w:t>
      </w:r>
      <w:hyperlink w:anchor="discuss-adv-hscav">
        <w:r>
          <w:rPr>
            <w:rStyle w:val="Hyperlink"/>
          </w:rPr>
          <w:t>4.1.3</w:t>
        </w:r>
      </w:hyperlink>
      <w:r>
        <w:t xml:space="preserve"> highlights the potential for improving efficiency in physician-assisted COD assignment through computational support. Section </w:t>
      </w:r>
      <w:hyperlink w:anchor="discuss-adv-nl">
        <w:r>
          <w:rPr>
            <w:rStyle w:val="Hyperlink"/>
          </w:rPr>
          <w:t>4.1.4</w:t>
        </w:r>
      </w:hyperlink>
      <w:r>
        <w:t xml:space="preserve"> examines the benefits of leveraging natural language narratives in GPT models relative to traditional structured questionnaire data.</w:t>
      </w:r>
    </w:p>
    <w:p w:rsidR="00260484" w:rsidRDefault="00000000">
      <w:pPr>
        <w:pStyle w:val="Heading3"/>
      </w:pPr>
      <w:bookmarkStart w:id="19" w:name="discuss-adv-cod"/>
      <w:r>
        <w:t>Cause-specific Models</w:t>
      </w:r>
    </w:p>
    <w:p w:rsidR="00260484" w:rsidRDefault="00000000">
      <w:pPr>
        <w:pStyle w:val="FirstParagraph"/>
      </w:pPr>
      <w:r>
        <w:t xml:space="preserve">At the population level, all models demonstrated comparable performance to physicians (0.74-0.79 CSMF), indicating their potential for estimating COD distributions in large populations. While individual-level performance was lower overall (0.44–0.61 PCCC), several models showed strong performance compared with physicians for specific CODs (up to 0.99 PCCC). GPT-3.5/4 consistently outperformed InSilicoVA and InterVA-5 across most CODs, achieving the highest PCCC for 15 of 17 adult, 7 of 8 child, and 4 of 5 neonatal CODs. In contrast, InSilicoVA showed better performance for select CODs, including road and transport injuries (0.84 PCCC), tuberculosis (0.71), pneumonia (0.78), and neonatal infections (0.86). For CODs where high performance was observed, such as maternal conditions, chronic respiratory diseases, diabetes mellitus, and cancers for GPT-3.5/4 (0.91–0.99 PCCC), and road/transport injuries and neonatal infections for InSilicoVA (0.84 and 0.86 PCCC), the model outputs were more aligned with physician assignment. These findings support the potential utility of combining models based on their strengths for particular CODs. Evaluating performance at the COD level may allow for more targeted deployment of models, maximizing accuracy across disease categories. Table </w:t>
      </w:r>
      <w:hyperlink w:anchor="tab-leadcod">
        <w:r>
          <w:rPr>
            <w:rStyle w:val="Hyperlink"/>
          </w:rPr>
          <w:t>1</w:t>
        </w:r>
      </w:hyperlink>
      <w:r>
        <w:t xml:space="preserve"> illustrates how different models align with leading CODs identified in prior Sierra Leone studies </w:t>
      </w:r>
      <w:r>
        <w:fldChar w:fldCharType="begin"/>
      </w:r>
      <w:r w:rsidR="00F14B32">
        <w:instrText xml:space="preserve"> ADDIN ZOTERO_ITEM CSL_CITATION {"citationID":"00000032","properties":{"unsorted":false,"formattedCitation":"[36, 58]","plainCitation":"[36, 58]","noteIndex":0},"citationItems":[{"id":2579,"uris":["http://zotero.org/users/6749620/items/HTGNCH4M"],"itemData":{"id":2579,"type":"article-journal","container-title":"The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id":3268,"uris":["http://zotero.org/users/6749620/items/LZCHVZJ9"],"itemData":{"id":3268,"type":"report","title":"Report on Causes of Death in Sierra Leone 2018 – 2023","URL":"https://healsl.org/storage/files/downloads/202403181115Sierra%20Leone%20Report%202018-2023_UPDATED%20MARCH%2013-online.pdf","author":[{"family":"Ansumana","given":"Rashid"},{"family":"Mohamed","given":"Vandi"},{"family":"Carshon-Marsh","given":"Ronald"},{"family":"Jambai","given":"Amara"},{"family":"Smart","given":"Francis"},{"family":"Sartie","given":"Kenneh"},{"family":"Foday","given":"Sahr"},{"family":"Anteneh","given":"Assalif"},{"family":"Vandi","given":"Alimatu"},{"family":"Meh","given":"Catherine"},{"family":"Aimone","given":"Ashley"},{"family":"Gelband","given":"Hellen"},{"family":"Brown","given":"Patrick"},{"family":"Chin","given":"Cheryl"},{"family":"Newcombe","given":"Leslie"},{"family":"Chakraborty","given":"Debapriya"},{"family":"Jaraba","given":"Venus"},{"family":"Jha","given":"Prabhat"}],"accessed":{"date-parts":[["2025",6,18]]},"issued":{"date-parts":[["2023"]]},"citation-key":"ansumanaReportCausesDeath2023"},"prefix":""}],"schema":"https://github.com/citation-style-language/schema/raw/master/csl-citation.json"} </w:instrText>
      </w:r>
      <w:r>
        <w:fldChar w:fldCharType="separate"/>
      </w:r>
      <w:r w:rsidR="00F14B32">
        <w:rPr>
          <w:noProof/>
        </w:rPr>
        <w:t>[36, 58]</w:t>
      </w:r>
      <w:r>
        <w:fldChar w:fldCharType="end"/>
      </w:r>
      <w:r>
        <w:t>. For example, we may deploy models to estimate asthma and chronic respiratory diseases using GPT-3 (0.94 PCCC), while using GPT-4 and InSilicoVA for diarrhoea and tuberculosis respectively (0.79 and 0.71 PCCC).</w:t>
      </w:r>
    </w:p>
    <w:p w:rsidR="00260484" w:rsidRDefault="00000000">
      <w:pPr>
        <w:pStyle w:val="TableCaption"/>
      </w:pPr>
      <w:bookmarkStart w:id="20" w:name="tab-leadcod"/>
      <w:r>
        <w:t>Top ten leading causes of death for Sierra Leone in 2023 and most relevant models.</w:t>
      </w:r>
    </w:p>
    <w:tbl>
      <w:tblPr>
        <w:tblStyle w:val="Table"/>
        <w:tblW w:w="0" w:type="auto"/>
        <w:tblLook w:val="0000" w:firstRow="0" w:lastRow="0" w:firstColumn="0" w:lastColumn="0" w:noHBand="0" w:noVBand="0"/>
      </w:tblPr>
      <w:tblGrid>
        <w:gridCol w:w="3861"/>
        <w:gridCol w:w="1570"/>
        <w:gridCol w:w="2386"/>
        <w:gridCol w:w="1632"/>
      </w:tblGrid>
      <w:tr w:rsidR="00260484">
        <w:tc>
          <w:tcPr>
            <w:tcW w:w="0" w:type="auto"/>
          </w:tcPr>
          <w:p w:rsidR="00260484" w:rsidRDefault="00260484">
            <w:pPr>
              <w:pStyle w:val="Compact"/>
            </w:pPr>
          </w:p>
        </w:tc>
        <w:tc>
          <w:tcPr>
            <w:tcW w:w="0" w:type="auto"/>
          </w:tcPr>
          <w:p w:rsidR="00260484" w:rsidRDefault="00260484">
            <w:pPr>
              <w:pStyle w:val="Compact"/>
            </w:pPr>
          </w:p>
        </w:tc>
        <w:tc>
          <w:tcPr>
            <w:tcW w:w="0" w:type="auto"/>
          </w:tcPr>
          <w:p w:rsidR="00260484" w:rsidRDefault="00260484">
            <w:pPr>
              <w:pStyle w:val="Compact"/>
            </w:pPr>
          </w:p>
        </w:tc>
        <w:tc>
          <w:tcPr>
            <w:tcW w:w="0" w:type="auto"/>
          </w:tcPr>
          <w:p w:rsidR="00260484" w:rsidRDefault="00260484">
            <w:pPr>
              <w:pStyle w:val="Compact"/>
            </w:pPr>
          </w:p>
        </w:tc>
      </w:tr>
      <w:tr w:rsidR="00260484">
        <w:tc>
          <w:tcPr>
            <w:tcW w:w="0" w:type="auto"/>
          </w:tcPr>
          <w:p w:rsidR="00260484" w:rsidRDefault="00000000">
            <w:pPr>
              <w:pStyle w:val="Compact"/>
            </w:pPr>
            <w:r>
              <w:t>(</w:t>
            </w:r>
            <m:oMath>
              <m:r>
                <m:rPr>
                  <m:sty m:val="p"/>
                </m:rPr>
                <w:rPr>
                  <w:rFonts w:ascii="Cambria Math" w:hAnsi="Cambria Math"/>
                </w:rPr>
                <m:t>∼</m:t>
              </m:r>
            </m:oMath>
            <w:r>
              <w:t xml:space="preserve">71% of </w:t>
            </w:r>
            <m:oMath>
              <m:r>
                <m:rPr>
                  <m:sty m:val="p"/>
                </m:rPr>
                <w:rPr>
                  <w:rFonts w:ascii="Cambria Math" w:hAnsi="Cambria Math"/>
                </w:rPr>
                <m:t>∼</m:t>
              </m:r>
            </m:oMath>
            <w:r>
              <w:t>76K deaths)</w:t>
            </w:r>
          </w:p>
        </w:tc>
        <w:tc>
          <w:tcPr>
            <w:tcW w:w="0" w:type="auto"/>
          </w:tcPr>
          <w:p w:rsidR="00260484" w:rsidRDefault="00260484">
            <w:pPr>
              <w:pStyle w:val="Compact"/>
            </w:pPr>
          </w:p>
        </w:tc>
        <w:tc>
          <w:tcPr>
            <w:tcW w:w="0" w:type="auto"/>
          </w:tcPr>
          <w:p w:rsidR="00260484" w:rsidRDefault="00260484">
            <w:pPr>
              <w:pStyle w:val="Compact"/>
            </w:pPr>
          </w:p>
        </w:tc>
        <w:tc>
          <w:tcPr>
            <w:tcW w:w="0" w:type="auto"/>
          </w:tcPr>
          <w:p w:rsidR="00260484" w:rsidRDefault="00260484">
            <w:pPr>
              <w:pStyle w:val="Compact"/>
            </w:pPr>
          </w:p>
        </w:tc>
      </w:tr>
      <w:tr w:rsidR="00260484">
        <w:tc>
          <w:tcPr>
            <w:tcW w:w="0" w:type="auto"/>
          </w:tcPr>
          <w:p w:rsidR="00260484" w:rsidRDefault="00000000">
            <w:pPr>
              <w:pStyle w:val="Compact"/>
            </w:pPr>
            <w:r>
              <w:t>(% of 76K)</w:t>
            </w:r>
          </w:p>
        </w:tc>
        <w:tc>
          <w:tcPr>
            <w:tcW w:w="0" w:type="auto"/>
          </w:tcPr>
          <w:p w:rsidR="00260484" w:rsidRDefault="00260484">
            <w:pPr>
              <w:pStyle w:val="Compact"/>
            </w:pPr>
          </w:p>
        </w:tc>
        <w:tc>
          <w:tcPr>
            <w:tcW w:w="0" w:type="auto"/>
          </w:tcPr>
          <w:p w:rsidR="00260484" w:rsidRDefault="00260484">
            <w:pPr>
              <w:pStyle w:val="Compact"/>
            </w:pPr>
          </w:p>
        </w:tc>
        <w:tc>
          <w:tcPr>
            <w:tcW w:w="0" w:type="auto"/>
          </w:tcPr>
          <w:p w:rsidR="00260484" w:rsidRDefault="00260484">
            <w:pPr>
              <w:pStyle w:val="Compact"/>
            </w:pPr>
          </w:p>
        </w:tc>
      </w:tr>
      <w:tr w:rsidR="00260484">
        <w:tc>
          <w:tcPr>
            <w:tcW w:w="0" w:type="auto"/>
          </w:tcPr>
          <w:p w:rsidR="00260484" w:rsidRDefault="00000000">
            <w:pPr>
              <w:pStyle w:val="Compact"/>
            </w:pPr>
            <w:r>
              <w:t>Model(s)</w:t>
            </w:r>
          </w:p>
        </w:tc>
        <w:tc>
          <w:tcPr>
            <w:tcW w:w="0" w:type="auto"/>
          </w:tcPr>
          <w:p w:rsidR="00260484" w:rsidRDefault="00260484">
            <w:pPr>
              <w:pStyle w:val="Compact"/>
            </w:pPr>
          </w:p>
        </w:tc>
        <w:tc>
          <w:tcPr>
            <w:tcW w:w="0" w:type="auto"/>
          </w:tcPr>
          <w:p w:rsidR="00260484" w:rsidRDefault="00260484">
            <w:pPr>
              <w:pStyle w:val="Compact"/>
            </w:pPr>
          </w:p>
        </w:tc>
        <w:tc>
          <w:tcPr>
            <w:tcW w:w="0" w:type="auto"/>
          </w:tcPr>
          <w:p w:rsidR="00260484" w:rsidRDefault="00260484">
            <w:pPr>
              <w:pStyle w:val="Compact"/>
            </w:pPr>
          </w:p>
        </w:tc>
      </w:tr>
      <w:tr w:rsidR="00260484">
        <w:tc>
          <w:tcPr>
            <w:tcW w:w="0" w:type="auto"/>
          </w:tcPr>
          <w:p w:rsidR="00260484" w:rsidRDefault="00000000">
            <w:pPr>
              <w:pStyle w:val="Compact"/>
            </w:pPr>
            <w:r>
              <w:t>Malaria</w:t>
            </w:r>
          </w:p>
        </w:tc>
        <w:tc>
          <w:tcPr>
            <w:tcW w:w="0" w:type="auto"/>
          </w:tcPr>
          <w:p w:rsidR="00260484" w:rsidRDefault="00000000">
            <w:pPr>
              <w:pStyle w:val="Compact"/>
            </w:pPr>
            <w:r>
              <w:t>16,075 (21%)</w:t>
            </w:r>
          </w:p>
        </w:tc>
        <w:tc>
          <w:tcPr>
            <w:tcW w:w="0" w:type="auto"/>
          </w:tcPr>
          <w:p w:rsidR="00260484" w:rsidRDefault="00000000">
            <w:pPr>
              <w:pStyle w:val="Compact"/>
            </w:pPr>
            <w:r>
              <w:t>GPT-3.5/4</w:t>
            </w:r>
          </w:p>
        </w:tc>
        <w:tc>
          <w:tcPr>
            <w:tcW w:w="0" w:type="auto"/>
          </w:tcPr>
          <w:p w:rsidR="00260484" w:rsidRDefault="00000000">
            <w:pPr>
              <w:pStyle w:val="Compact"/>
            </w:pPr>
            <w:r>
              <w:t>0.46 (n=2181)</w:t>
            </w:r>
          </w:p>
        </w:tc>
      </w:tr>
      <w:tr w:rsidR="00260484">
        <w:tc>
          <w:tcPr>
            <w:tcW w:w="0" w:type="auto"/>
          </w:tcPr>
          <w:p w:rsidR="00260484" w:rsidRDefault="00000000">
            <w:pPr>
              <w:pStyle w:val="Compact"/>
            </w:pPr>
            <w:r>
              <w:t>Infections</w:t>
            </w:r>
          </w:p>
        </w:tc>
        <w:tc>
          <w:tcPr>
            <w:tcW w:w="0" w:type="auto"/>
          </w:tcPr>
          <w:p w:rsidR="00260484" w:rsidRDefault="00000000">
            <w:pPr>
              <w:pStyle w:val="Compact"/>
            </w:pPr>
            <w:r>
              <w:t>11,777 (16%)</w:t>
            </w:r>
          </w:p>
        </w:tc>
        <w:tc>
          <w:tcPr>
            <w:tcW w:w="0" w:type="auto"/>
          </w:tcPr>
          <w:p w:rsidR="00260484" w:rsidRDefault="00000000">
            <w:pPr>
              <w:pStyle w:val="Compact"/>
            </w:pPr>
            <w:r>
              <w:t>GPT-3.5/4/InSilicoVA</w:t>
            </w:r>
          </w:p>
        </w:tc>
        <w:tc>
          <w:tcPr>
            <w:tcW w:w="0" w:type="auto"/>
          </w:tcPr>
          <w:p w:rsidR="00260484" w:rsidRDefault="00000000">
            <w:pPr>
              <w:pStyle w:val="Compact"/>
            </w:pPr>
            <w:r>
              <w:t>0.55 (n=1155)</w:t>
            </w:r>
          </w:p>
        </w:tc>
      </w:tr>
      <w:tr w:rsidR="00260484">
        <w:tc>
          <w:tcPr>
            <w:tcW w:w="0" w:type="auto"/>
          </w:tcPr>
          <w:p w:rsidR="00260484" w:rsidRDefault="00000000">
            <w:pPr>
              <w:pStyle w:val="Compact"/>
            </w:pPr>
            <w:r>
              <w:t>Ischaemic heart and other vascular</w:t>
            </w:r>
          </w:p>
        </w:tc>
        <w:tc>
          <w:tcPr>
            <w:tcW w:w="0" w:type="auto"/>
          </w:tcPr>
          <w:p w:rsidR="00260484" w:rsidRDefault="00000000">
            <w:pPr>
              <w:pStyle w:val="Compact"/>
            </w:pPr>
            <w:r>
              <w:t>5,747 (8%)</w:t>
            </w:r>
          </w:p>
        </w:tc>
        <w:tc>
          <w:tcPr>
            <w:tcW w:w="0" w:type="auto"/>
          </w:tcPr>
          <w:p w:rsidR="00260484" w:rsidRDefault="00000000">
            <w:pPr>
              <w:pStyle w:val="Compact"/>
            </w:pPr>
            <w:r>
              <w:t>GPT-4</w:t>
            </w:r>
          </w:p>
        </w:tc>
        <w:tc>
          <w:tcPr>
            <w:tcW w:w="0" w:type="auto"/>
          </w:tcPr>
          <w:p w:rsidR="00260484" w:rsidRDefault="00000000">
            <w:pPr>
              <w:pStyle w:val="Compact"/>
            </w:pPr>
            <w:r>
              <w:t>0.65 (n=168)</w:t>
            </w:r>
          </w:p>
        </w:tc>
      </w:tr>
      <w:tr w:rsidR="00260484">
        <w:tc>
          <w:tcPr>
            <w:tcW w:w="0" w:type="auto"/>
          </w:tcPr>
          <w:p w:rsidR="00260484" w:rsidRDefault="00000000">
            <w:pPr>
              <w:pStyle w:val="Compact"/>
            </w:pPr>
            <w:r>
              <w:t>Diarrhoea</w:t>
            </w:r>
          </w:p>
        </w:tc>
        <w:tc>
          <w:tcPr>
            <w:tcW w:w="0" w:type="auto"/>
          </w:tcPr>
          <w:p w:rsidR="00260484" w:rsidRDefault="00000000">
            <w:pPr>
              <w:pStyle w:val="Compact"/>
            </w:pPr>
            <w:r>
              <w:t>4,285 (6%)</w:t>
            </w:r>
          </w:p>
        </w:tc>
        <w:tc>
          <w:tcPr>
            <w:tcW w:w="0" w:type="auto"/>
          </w:tcPr>
          <w:p w:rsidR="00260484" w:rsidRDefault="00000000">
            <w:pPr>
              <w:pStyle w:val="Compact"/>
            </w:pPr>
            <w:r>
              <w:t>GPT-4</w:t>
            </w:r>
          </w:p>
        </w:tc>
        <w:tc>
          <w:tcPr>
            <w:tcW w:w="0" w:type="auto"/>
          </w:tcPr>
          <w:p w:rsidR="00260484" w:rsidRDefault="00000000">
            <w:pPr>
              <w:pStyle w:val="Compact"/>
            </w:pPr>
            <w:r>
              <w:t>0.79 (n=380)</w:t>
            </w:r>
          </w:p>
        </w:tc>
      </w:tr>
      <w:tr w:rsidR="00260484">
        <w:tc>
          <w:tcPr>
            <w:tcW w:w="0" w:type="auto"/>
          </w:tcPr>
          <w:p w:rsidR="00260484" w:rsidRDefault="00000000">
            <w:pPr>
              <w:pStyle w:val="Compact"/>
            </w:pPr>
            <w:r>
              <w:t>Stroke</w:t>
            </w:r>
          </w:p>
        </w:tc>
        <w:tc>
          <w:tcPr>
            <w:tcW w:w="0" w:type="auto"/>
          </w:tcPr>
          <w:p w:rsidR="00260484" w:rsidRDefault="00000000">
            <w:pPr>
              <w:pStyle w:val="Compact"/>
            </w:pPr>
            <w:r>
              <w:t>4,262 (6%)</w:t>
            </w:r>
          </w:p>
        </w:tc>
        <w:tc>
          <w:tcPr>
            <w:tcW w:w="0" w:type="auto"/>
          </w:tcPr>
          <w:p w:rsidR="00260484" w:rsidRDefault="00000000">
            <w:pPr>
              <w:pStyle w:val="Compact"/>
            </w:pPr>
            <w:r>
              <w:t>GPT-4</w:t>
            </w:r>
          </w:p>
        </w:tc>
        <w:tc>
          <w:tcPr>
            <w:tcW w:w="0" w:type="auto"/>
          </w:tcPr>
          <w:p w:rsidR="00260484" w:rsidRDefault="00000000">
            <w:pPr>
              <w:pStyle w:val="Compact"/>
            </w:pPr>
            <w:r>
              <w:t>0.77 (n=331)</w:t>
            </w:r>
          </w:p>
        </w:tc>
      </w:tr>
      <w:tr w:rsidR="00260484">
        <w:tc>
          <w:tcPr>
            <w:tcW w:w="0" w:type="auto"/>
          </w:tcPr>
          <w:p w:rsidR="00260484" w:rsidRDefault="00000000">
            <w:pPr>
              <w:pStyle w:val="Compact"/>
            </w:pPr>
            <w:r>
              <w:t>Pneumonia</w:t>
            </w:r>
          </w:p>
        </w:tc>
        <w:tc>
          <w:tcPr>
            <w:tcW w:w="0" w:type="auto"/>
          </w:tcPr>
          <w:p w:rsidR="00260484" w:rsidRDefault="00000000">
            <w:pPr>
              <w:pStyle w:val="Compact"/>
            </w:pPr>
            <w:r>
              <w:t>3,074 (4%)</w:t>
            </w:r>
          </w:p>
        </w:tc>
        <w:tc>
          <w:tcPr>
            <w:tcW w:w="0" w:type="auto"/>
          </w:tcPr>
          <w:p w:rsidR="00260484" w:rsidRDefault="00000000">
            <w:pPr>
              <w:pStyle w:val="Compact"/>
            </w:pPr>
            <w:r>
              <w:t>GPT-4/InSilicoVA</w:t>
            </w:r>
          </w:p>
        </w:tc>
        <w:tc>
          <w:tcPr>
            <w:tcW w:w="0" w:type="auto"/>
          </w:tcPr>
          <w:p w:rsidR="00260484" w:rsidRDefault="00000000">
            <w:pPr>
              <w:pStyle w:val="Compact"/>
            </w:pPr>
            <w:r>
              <w:t>0.7 (n=186)</w:t>
            </w:r>
          </w:p>
        </w:tc>
      </w:tr>
      <w:tr w:rsidR="00260484">
        <w:tc>
          <w:tcPr>
            <w:tcW w:w="0" w:type="auto"/>
          </w:tcPr>
          <w:p w:rsidR="00260484" w:rsidRDefault="00000000">
            <w:pPr>
              <w:pStyle w:val="Compact"/>
            </w:pPr>
            <w:r>
              <w:t>Birth asphyxia and birth trauma</w:t>
            </w:r>
          </w:p>
        </w:tc>
        <w:tc>
          <w:tcPr>
            <w:tcW w:w="0" w:type="auto"/>
          </w:tcPr>
          <w:p w:rsidR="00260484" w:rsidRDefault="00000000">
            <w:pPr>
              <w:pStyle w:val="Compact"/>
            </w:pPr>
            <w:r>
              <w:t>2,431 (3%)</w:t>
            </w:r>
          </w:p>
        </w:tc>
        <w:tc>
          <w:tcPr>
            <w:tcW w:w="0" w:type="auto"/>
          </w:tcPr>
          <w:p w:rsidR="00260484" w:rsidRDefault="00000000">
            <w:pPr>
              <w:pStyle w:val="Compact"/>
            </w:pPr>
            <w:r>
              <w:t>GPT-4</w:t>
            </w:r>
          </w:p>
        </w:tc>
        <w:tc>
          <w:tcPr>
            <w:tcW w:w="0" w:type="auto"/>
          </w:tcPr>
          <w:p w:rsidR="00260484" w:rsidRDefault="00000000">
            <w:pPr>
              <w:pStyle w:val="Compact"/>
            </w:pPr>
            <w:r>
              <w:t>0.63 (n=103)</w:t>
            </w:r>
          </w:p>
        </w:tc>
      </w:tr>
      <w:tr w:rsidR="00260484">
        <w:tc>
          <w:tcPr>
            <w:tcW w:w="0" w:type="auto"/>
          </w:tcPr>
          <w:p w:rsidR="00260484" w:rsidRDefault="00000000">
            <w:pPr>
              <w:pStyle w:val="Compact"/>
            </w:pPr>
            <w:r>
              <w:lastRenderedPageBreak/>
              <w:t>Tuberculosis</w:t>
            </w:r>
          </w:p>
        </w:tc>
        <w:tc>
          <w:tcPr>
            <w:tcW w:w="0" w:type="auto"/>
          </w:tcPr>
          <w:p w:rsidR="00260484" w:rsidRDefault="00000000">
            <w:pPr>
              <w:pStyle w:val="Compact"/>
            </w:pPr>
            <w:r>
              <w:t>2,399 (3%)</w:t>
            </w:r>
          </w:p>
        </w:tc>
        <w:tc>
          <w:tcPr>
            <w:tcW w:w="0" w:type="auto"/>
          </w:tcPr>
          <w:p w:rsidR="00260484" w:rsidRDefault="00000000">
            <w:pPr>
              <w:pStyle w:val="Compact"/>
            </w:pPr>
            <w:r>
              <w:t>InSilicoVA</w:t>
            </w:r>
          </w:p>
        </w:tc>
        <w:tc>
          <w:tcPr>
            <w:tcW w:w="0" w:type="auto"/>
          </w:tcPr>
          <w:p w:rsidR="00260484" w:rsidRDefault="00000000">
            <w:pPr>
              <w:pStyle w:val="Compact"/>
            </w:pPr>
            <w:r>
              <w:t>0.71 (n=171)</w:t>
            </w:r>
          </w:p>
        </w:tc>
      </w:tr>
      <w:tr w:rsidR="00260484">
        <w:tc>
          <w:tcPr>
            <w:tcW w:w="0" w:type="auto"/>
          </w:tcPr>
          <w:p w:rsidR="00260484" w:rsidRDefault="00000000">
            <w:pPr>
              <w:pStyle w:val="Compact"/>
            </w:pPr>
            <w:r>
              <w:t>Low birth weight/preterm</w:t>
            </w:r>
          </w:p>
        </w:tc>
        <w:tc>
          <w:tcPr>
            <w:tcW w:w="0" w:type="auto"/>
          </w:tcPr>
          <w:p w:rsidR="00260484" w:rsidRDefault="00000000">
            <w:pPr>
              <w:pStyle w:val="Compact"/>
            </w:pPr>
            <w:r>
              <w:t>1,570 (2%)</w:t>
            </w:r>
          </w:p>
        </w:tc>
        <w:tc>
          <w:tcPr>
            <w:tcW w:w="0" w:type="auto"/>
          </w:tcPr>
          <w:p w:rsidR="00260484" w:rsidRDefault="00000000">
            <w:pPr>
              <w:pStyle w:val="Compact"/>
            </w:pPr>
            <w:r>
              <w:t>GPT-4</w:t>
            </w:r>
          </w:p>
        </w:tc>
        <w:tc>
          <w:tcPr>
            <w:tcW w:w="0" w:type="auto"/>
          </w:tcPr>
          <w:p w:rsidR="00260484" w:rsidRDefault="00000000">
            <w:pPr>
              <w:pStyle w:val="Compact"/>
            </w:pPr>
            <w:r>
              <w:t>0.71 (n=103)</w:t>
            </w:r>
          </w:p>
        </w:tc>
      </w:tr>
      <w:tr w:rsidR="00260484">
        <w:tc>
          <w:tcPr>
            <w:tcW w:w="0" w:type="auto"/>
          </w:tcPr>
          <w:p w:rsidR="00260484" w:rsidRDefault="00000000">
            <w:pPr>
              <w:pStyle w:val="Compact"/>
            </w:pPr>
            <w:r>
              <w:t>Asthma and chronic respiratory</w:t>
            </w:r>
          </w:p>
        </w:tc>
        <w:tc>
          <w:tcPr>
            <w:tcW w:w="0" w:type="auto"/>
          </w:tcPr>
          <w:p w:rsidR="00260484" w:rsidRDefault="00000000">
            <w:pPr>
              <w:pStyle w:val="Compact"/>
            </w:pPr>
            <w:r>
              <w:t>1,551 (2%)</w:t>
            </w:r>
          </w:p>
        </w:tc>
        <w:tc>
          <w:tcPr>
            <w:tcW w:w="0" w:type="auto"/>
          </w:tcPr>
          <w:p w:rsidR="00260484" w:rsidRDefault="00000000">
            <w:pPr>
              <w:pStyle w:val="Compact"/>
            </w:pPr>
            <w:r>
              <w:t>GPT-3</w:t>
            </w:r>
          </w:p>
        </w:tc>
        <w:tc>
          <w:tcPr>
            <w:tcW w:w="0" w:type="auto"/>
          </w:tcPr>
          <w:p w:rsidR="00260484" w:rsidRDefault="00000000">
            <w:pPr>
              <w:pStyle w:val="Compact"/>
            </w:pPr>
            <w:r>
              <w:t>0.94 (n=75)</w:t>
            </w:r>
          </w:p>
        </w:tc>
      </w:tr>
      <w:tr w:rsidR="00260484">
        <w:tc>
          <w:tcPr>
            <w:tcW w:w="0" w:type="auto"/>
          </w:tcPr>
          <w:p w:rsidR="00260484" w:rsidRDefault="00260484">
            <w:pPr>
              <w:pStyle w:val="Compact"/>
            </w:pPr>
          </w:p>
        </w:tc>
        <w:tc>
          <w:tcPr>
            <w:tcW w:w="0" w:type="auto"/>
          </w:tcPr>
          <w:p w:rsidR="00260484" w:rsidRDefault="00260484">
            <w:pPr>
              <w:pStyle w:val="Compact"/>
            </w:pPr>
          </w:p>
        </w:tc>
        <w:tc>
          <w:tcPr>
            <w:tcW w:w="0" w:type="auto"/>
          </w:tcPr>
          <w:p w:rsidR="00260484" w:rsidRDefault="00260484">
            <w:pPr>
              <w:pStyle w:val="Compact"/>
            </w:pPr>
          </w:p>
        </w:tc>
        <w:tc>
          <w:tcPr>
            <w:tcW w:w="0" w:type="auto"/>
          </w:tcPr>
          <w:p w:rsidR="00260484" w:rsidRDefault="00260484">
            <w:pPr>
              <w:pStyle w:val="Compact"/>
            </w:pPr>
          </w:p>
        </w:tc>
      </w:tr>
    </w:tbl>
    <w:p w:rsidR="00260484" w:rsidRDefault="00000000">
      <w:pPr>
        <w:pStyle w:val="Heading3"/>
      </w:pPr>
      <w:bookmarkStart w:id="21" w:name="discuss-adv-age"/>
      <w:bookmarkEnd w:id="19"/>
      <w:bookmarkEnd w:id="20"/>
      <w:r>
        <w:t>Age-specific Performance Patterns</w:t>
      </w:r>
    </w:p>
    <w:p w:rsidR="00260484" w:rsidRDefault="00000000">
      <w:pPr>
        <w:pStyle w:val="FirstParagraph"/>
      </w:pPr>
      <w:r>
        <w:t xml:space="preserve">Across age groups, all models exhibited a consistent upward trend in performance from 6 months to 14 years, followed by a general decline from ages 15 to 69 years. GPT-3.5/4 outperformed InSilicoVA and InterVA-5 throughout this range, while performance patterns from birth to 5 months were more variable (see Figure </w:t>
      </w:r>
      <w:hyperlink w:anchor="fig-pccc-age">
        <w:r>
          <w:rPr>
            <w:rStyle w:val="Hyperlink"/>
          </w:rPr>
          <w:t>4</w:t>
        </w:r>
      </w:hyperlink>
      <w:r>
        <w:t xml:space="preserve">). In adults, performance generally decreased with age, suggesting greater difficulty in assigning CODs among older adults, with a modest improvement observed after age 59. Among children and neonates, performance increased beyond 5 months, indicating greater model reliability as developmental age advanced. Although no model consistently achieved performances greater than 0.8 PCCC in any specific five-year age band, these age-related trends provide valuable insights. Specifically, they align with expectations from clinical literature, where physicians often face greater diagnostic uncertainty in neonatal cases </w:t>
      </w:r>
      <w:r>
        <w:fldChar w:fldCharType="begin"/>
      </w:r>
      <w:r w:rsidR="00F14B32">
        <w:instrText xml:space="preserve"> ADDIN ZOTERO_ITEM CSL_CITATION {"citationID":"00000033","properties":{"unsorted":false,"formattedCitation":"[59, 60]","plainCitation":"[59, 60]","noteIndex":0},"citationItems":[{"id":3253,"uris":["http://zotero.org/users/6749620/items/6REPLBAC"],"itemData":{"id":3253,"type":"article-journal","abstract":"Prognosis of Hypoxic-Ischemic Encephalopathy (HIE) remains challenging and uncertain. This paper investigates how physicians understand and address the ethical challenges of prognostic uncertainty in the case of neonatal HIE, contextualized within the social science literature.","container-title":"Journal of Perinatology","DOI":"10.1038/s41372-018-0296-3","ISSN":"1476-5543","issue":"2","journalAbbreviation":"J Perinatol","language":"en","license":"2018 Springer Nature America, Inc.","note":"publisher: Nature Publishing Group","page":"278-285","source":"www.nature.com","title":"The complexity of physicians’ understanding and management of prognostic uncertainty in neonatal hypoxic-ischemic encephalopathy","volume":"39","author":[{"family":"Rasmussen","given":"Lisa Anne"},{"family":"Cascio","given":"M. Ariel"},{"family":"Ferrand","given":"Amaryllis"},{"family":"Shevell","given":"Michael"},{"family":"Racine","given":"Eric"}],"issued":{"date-parts":[["2019",2]]},"citation-key":"rasmussenComplexityPhysiciansUnderstanding2019"},"prefix":""},{"id":3250,"uris":["http://zotero.org/users/6749620/items/KJY3JQLX"],"itemData":{"id":3250,"type":"article-journal","abstract":"The neonatology literature often refers to medical uncertainty and specifically the challenges of predicting morbidity for extremely premature infants, who can have widely varying outcomes. Less has been written about situations in which diagnoses are simply unknown or unattainable. This case highlights the importance of communication amidst uncertainty from a lack of knowledge about aspects of a patient’s condition. Using epidemiologic and clinical reasoning, the authors challenge the assumption that diagnostic uncertainty must necessarily portend prognostic uncertainty. When physicians’ quest for a diagnosis becomes burdensome and detrimental to the infant’s quality of life, this should be abandoned and replaced by focusing on prognosis. The authors focus on the shift of the physician’s role toward one of support, assisting the family in ascribing meaning to the dying experience. By focusing on prognosis and support, communication can proceed with more clarity, understanding, and empathy.","container-title":"Pediatrics","DOI":"10.1542/peds.2023-061193","ISSN":"0031-4005","issue":"4","journalAbbreviation":"Pediatrics","page":"e2023061193","source":"Silverchair","title":"When the Unknown Is Unknowable: Confronting Diagnostic Uncertainty","title-short":"When the Unknown Is Unknowable","volume":"152","author":[{"family":"Faison","given":"Giulia"},{"family":"Chou","given":"Fu-Sheng"},{"family":"Feudtner","given":"Chris"},{"family":"Janvier","given":"Annie"}],"issued":{"date-parts":[["2023",9,14]]},"citation-key":"faisonWhenUnknownUnknowable2023"},"prefix":""}],"schema":"https://github.com/citation-style-language/schema/raw/master/csl-citation.json"} </w:instrText>
      </w:r>
      <w:r>
        <w:fldChar w:fldCharType="separate"/>
      </w:r>
      <w:r w:rsidR="00F14B32">
        <w:rPr>
          <w:noProof/>
        </w:rPr>
        <w:t>[59, 60]</w:t>
      </w:r>
      <w:r>
        <w:fldChar w:fldCharType="end"/>
      </w:r>
      <w:r>
        <w:t>. The observed patterns underscore the importance of considering developmental stage when interpreting model outputs and comparing them to physician-assigned CODs.</w:t>
      </w:r>
    </w:p>
    <w:p w:rsidR="00260484" w:rsidRDefault="00000000">
      <w:pPr>
        <w:pStyle w:val="Heading3"/>
      </w:pPr>
      <w:bookmarkStart w:id="22" w:name="discuss-adv-hscav"/>
      <w:bookmarkEnd w:id="21"/>
      <w:r>
        <w:t>Scalability and Availability</w:t>
      </w:r>
    </w:p>
    <w:p w:rsidR="00260484" w:rsidRDefault="00000000">
      <w:pPr>
        <w:pStyle w:val="FirstParagraph"/>
      </w:pPr>
      <w:r>
        <w:t xml:space="preserve">The models evaluated in this study offer scalable and cost-effective support for physician-assigned CODs, particularly in resource-constrained settings. Similar to tools used in differential diagnosis, GPT and InSilicoVA models can provide alternative COD suggestions for physician review </w:t>
      </w:r>
      <w:r>
        <w:fldChar w:fldCharType="begin"/>
      </w:r>
      <w:r w:rsidR="00F14B32">
        <w:instrText xml:space="preserve"> ADDIN ZOTERO_ITEM CSL_CITATION {"citationID":"00000034","properties":{"unsorted":false,"formattedCitation":"[39]","plainCitation":"[39]","noteIndex":0},"citationItems":[{"id":2616,"uris":["http://zotero.org/users/6749620/items/6I5UBQYW"],"itemData":{"id":2616,"type":"article-journal","abstract":"The traditional approach of diagnosis by individual physicians has a high rate of misdiagnosis. Pooling multiple physicians’ diagnoses (collective intelligence) is a promising approach to reducing misdiagnoses, but its accuracy in clinical cases is unknown to date.To assess how the diagnostic accuracy of groups of physicians and trainees compares with the diagnostic accuracy of individual physicians.Cross-sectional study using data from the Human Diagnosis Project (Human Dx), a multicountry data set of ranked differential diagnoses by individual physicians, graduate trainees, and medical students (users) solving user-submitted, structured clinical cases. From May 7, 2014, to October 5, 2016, groups of 2 to 9 randomly selected physicians solved individual cases. Data analysis was performed from March 16, 2017, to July 30, 2018.The primary outcome was diagnostic accuracy, assessed as a correct diagnosis in the top 3 ranked diagnoses for an individual; for groups, the top 3 diagnoses were a collective differential generated using a weighted combination of user diagnoses with a variety of approaches. A version of the McNemar test was used to account for clustering across repeated solvers to compare diagnostic accuracy.Of the 2069 users solving 1572 cases from the Human Dx data set, 1228 (59.4%) were residents or fellows, 431 (20.8%) were attending physicians, and 410 (19.8%) were medical students. Collective intelligence was associated with increasing diagnostic accuracy, from 62.5% (95% CI, 60.1%-64.9%) for individual physicians up to 85.6% (95% CI, 83.9%-87.4%) for groups of 9 (23.0% difference; 95% CI, 14.9%-31.2%; P</w:instrText>
      </w:r>
      <w:r w:rsidR="00F14B32">
        <w:rPr>
          <w:rFonts w:ascii="Arial" w:hAnsi="Arial" w:cs="Arial"/>
        </w:rPr>
        <w:instrText> </w:instrText>
      </w:r>
      <w:r w:rsidR="00F14B32">
        <w:instrText>&amp;lt;</w:instrText>
      </w:r>
      <w:r w:rsidR="00F14B32">
        <w:rPr>
          <w:rFonts w:ascii="Arial" w:hAnsi="Arial" w:cs="Arial"/>
        </w:rPr>
        <w:instrText> </w:instrText>
      </w:r>
      <w:r w:rsidR="00F14B32">
        <w:instrText>.001). The range of improvement varied by the specifications used for combining groups’ diagnoses, but groups consistently outperformed individuals regardless of approach. Absolute improvement in accuracy from individuals to groups of 9 varied by presenting symptom from an increase of 17.3% (95% CI, 6.4%-28.2%; P</w:instrText>
      </w:r>
      <w:r w:rsidR="00F14B32">
        <w:rPr>
          <w:rFonts w:ascii="Arial" w:hAnsi="Arial" w:cs="Arial"/>
        </w:rPr>
        <w:instrText> </w:instrText>
      </w:r>
      <w:r w:rsidR="00F14B32">
        <w:instrText>=</w:instrText>
      </w:r>
      <w:r w:rsidR="00F14B32">
        <w:rPr>
          <w:rFonts w:ascii="Arial" w:hAnsi="Arial" w:cs="Arial"/>
        </w:rPr>
        <w:instrText> </w:instrText>
      </w:r>
      <w:r w:rsidR="00F14B32">
        <w:instrText>.002) for abdominal pain to 29.8% (95% CI, 3.7%-55.8%; P</w:instrText>
      </w:r>
      <w:r w:rsidR="00F14B32">
        <w:rPr>
          <w:rFonts w:ascii="Arial" w:hAnsi="Arial" w:cs="Arial"/>
        </w:rPr>
        <w:instrText> </w:instrText>
      </w:r>
      <w:r w:rsidR="00F14B32">
        <w:instrText>=</w:instrText>
      </w:r>
      <w:r w:rsidR="00F14B32">
        <w:rPr>
          <w:rFonts w:ascii="Arial" w:hAnsi="Arial" w:cs="Arial"/>
        </w:rPr>
        <w:instrText> </w:instrText>
      </w:r>
      <w:r w:rsidR="00F14B32">
        <w:instrText>.02) for fever. Groups from 2 users (77.7% accuracy; 95% CI, 70.1%-84.6%) to 9 users (85.5% accuracy; 95% CI, 75.1%-95.9%) outperformed individual specialists in their subspecialty (66.3% accuracy; 95% CI, 59.1%-73.5%; P</w:instrText>
      </w:r>
      <w:r w:rsidR="00F14B32">
        <w:rPr>
          <w:rFonts w:ascii="Arial" w:hAnsi="Arial" w:cs="Arial"/>
        </w:rPr>
        <w:instrText> </w:instrText>
      </w:r>
      <w:r w:rsidR="00F14B32">
        <w:instrText>&amp;lt;</w:instrText>
      </w:r>
      <w:r w:rsidR="00F14B32">
        <w:rPr>
          <w:rFonts w:ascii="Arial" w:hAnsi="Arial" w:cs="Arial"/>
        </w:rPr>
        <w:instrText> </w:instrText>
      </w:r>
      <w:r w:rsidR="00F14B32">
        <w:instrText xml:space="preserve">.001 vs groups of 2 and 9).A collective intelligence approach was associated with higher diagnostic accuracy compared with individuals, including individual specialists whose expertise matched the case diagnosis, across a range of medical cases. Given the few proven strategies to address misdiagnosis, this technique merits further study in clinical settings.","container-title":"JAMA Network Open","DOI":"10.1001/jamanetworkopen.2019.0096","ISSN":"2574-3805","issue":"3","journalAbbreviation":"JAMA Network Open","page":"e190096","source":"Silverchair","title":"Comparative Accuracy of Diagnosis by Collective Intelligence of Multiple Physicians vs Individual Physicians","volume":"2","author":[{"family":"Barnett","given":"Michael L."},{"family":"Boddupalli","given":"Dhruv"},{"family":"Nundy","given":"Shantanu"},{"family":"Bates","given":"David W."}],"issued":{"date-parts":[["2019",3,1]]},"citation-key":"barnettComparativeAccuracyDiagnosis2019"},"prefix":""}],"schema":"https://github.com/citation-style-language/schema/raw/master/csl-citation.json"} </w:instrText>
      </w:r>
      <w:r>
        <w:fldChar w:fldCharType="separate"/>
      </w:r>
      <w:r w:rsidR="00F14B32">
        <w:rPr>
          <w:noProof/>
        </w:rPr>
        <w:t>[39]</w:t>
      </w:r>
      <w:r>
        <w:fldChar w:fldCharType="end"/>
      </w:r>
      <w:r>
        <w:t xml:space="preserve">, potentially reducing the proportion of ill-defined causes and physician disagreement. At the time of analysis, running GPT-3.5 on 6,939 records cost approximately $1.60 USD (based on $0.50 per million tokens), while GPT-4 cost approximately $115 USD (at $30 per million tokens) </w:t>
      </w:r>
      <w:r>
        <w:fldChar w:fldCharType="begin"/>
      </w:r>
      <w:r w:rsidR="00F14B32">
        <w:instrText xml:space="preserve"> ADDIN ZOTERO_ITEM CSL_CITATION {"citationID":"00000035","properties":{"unsorted":false,"formattedCitation":"[61]","plainCitation":"[61]","noteIndex":0},"citationItems":[{"id":2775,"uris":["http://zotero.org/users/6749620/items/TDH5XDWY"],"itemData":{"id":2775,"type":"webpage","abstract":"Simple and flexible. Only pay for what you use.","container-title":"OpenAI","language":"en-US","title":"Pricing","URL":"https://openai.com/api/pricing/","author":[{"literal":"OpenAI"}],"accessed":{"date-parts":[["2024",7,4]]},"issued":{"date-parts":[["2024"]]},"citation-key":"openaiPricing2024"},"prefix":""}],"schema":"https://github.com/citation-style-language/schema/raw/master/csl-citation.json"} </w:instrText>
      </w:r>
      <w:r>
        <w:fldChar w:fldCharType="separate"/>
      </w:r>
      <w:r w:rsidR="00F14B32">
        <w:rPr>
          <w:noProof/>
        </w:rPr>
        <w:t>[61]</w:t>
      </w:r>
      <w:r>
        <w:fldChar w:fldCharType="end"/>
      </w:r>
      <w:r>
        <w:t xml:space="preserve">. InterVA-5 and InSilicoVA were freely available as open-source software. These costs compare favorably to physician review, which may exceed $3 USD per household in settings like India </w:t>
      </w:r>
      <w:r>
        <w:fldChar w:fldCharType="begin"/>
      </w:r>
      <w:r w:rsidR="00F14B32">
        <w:instrText xml:space="preserve"> ADDIN ZOTERO_ITEM CSL_CITATION {"citationID":"00000036","properties":{"unsorted":false,"formattedCitation":"[15, 16]","plainCitation":"[15, 16]","noteIndex":0},"citationItems":[{"id":2597,"uris":["http://zotero.org/users/6749620/items/6SK7HCRL"],"itemData":{"id":2597,"type":"article-journal","abstract":"Progress toward the United Nations 2030 Sustainable Development Goals requires improved information on mortality and causes of death. However, causes of many of the fifty million annual deaths in low- and middle-income countries remain unknown, as most of the deaths occur at home without medical attention. In 2001 India began the Million Death Study in 1.3 million nationally representative households. Nonmedical staff conduct verbal autopsies, which are structured interviews including a half-page narrative in local language of the family’s story of the symptoms and events leading to death. Two physicians independently assess each death to arrive at an underlying cause of death. The study has thus far yielded information that substantially altered previous estimates of cause-specific mortality and risk factors in India. Similar robust studies are feasible at low cost in other low- and middle-income countries, particularly if they adopt electronic data management and ensure high quality of fieldwork and physician coding. Nationwide mortality studies enable the quantification of avoidable premature mortality and key risk factors for disease, and provide a practicable method to monitor progress toward the Sustainable Development Goals.","container-title":"Health Affairs","DOI":"10.1377/hlthaff.2017.0635","ISSN":"0278-2715","issue":"11","note":"publisher: Health Affairs","page":"1887-1895","source":"healthaffairs.org (Atypon)","title":"Nationwide Mortality Studies To Quantify Causes Of Death: Relevant Lessons From India’s Million Death Study","title-short":"Nationwide Mortality Studies To Quantify Causes Of Death","volume":"36","author":[{"family":"Gomes","given":"Mireille"},{"family":"Begum","given":"Rehana"},{"family":"Sati","given":"Prabha"},{"family":"Dikshit","given":"Rajesh"},{"family":"Gupta","given":"Prakash C."},{"family":"Kumar","given":"Rajesh"},{"family":"Sheth","given":"Jay"},{"family":"Habib","given":"Asad"},{"family":"Jha","given":"Prabhat"}],"issued":{"date-parts":[["2017",11]]},"citation-key":"gomesNationwideMortalityStudies2017"},"prefix":""},{"id":2595,"uris":["http://zotero.org/users/6749620/items/HA5GEG9G"],"itemData":{"id":2595,"type":"article-journal","abstract":"Background Over 75% of the annual estimated 9.5 million deaths in India occur in the home, and the large majority of these do not have a certified cause. India and other developing countries urgently need reliable quantification of the causes of death. They also need better epidemiological evidence about the relevance of physical (such as blood pressure and obesity), behavioral (such as smoking, alcohol, HIV-1 risk taking, and immunization history), and biological (such as blood lipids and gene polymorphisms) measurements to the development of disease in individuals or disease rates in populations. We report here on the rationale, design, and implementation of the world's largest prospective study of the causes and correlates of mortality. Methods and Findings We will monitor nearly 14 million people in 2.4 million nationally representative Indian households (6.3 million people in 1.1 million households in the 1998–2003 sample frame and 7.6 million people in 1.3 million households in the 2004–2014 sample frame) for vital status and, if dead, the causes of death through a well-validated verbal autopsy (VA) instrument. About 300,000 deaths from 1998–2003 and some 700,000 deaths from 2004–2014 are expected; of these about 850,000 will be coded by two physicians to provide causes of death by gender, age, socioeconomic status, and geographical region. Pilot studies will evaluate the addition of physical and biological measurements, specifically dried blood spots. Preliminary results from over 35,000 deaths suggest that VA can ascertain the leading causes of death, reduce the misclassification of causes, and derive the probable underlying cause of death when it has not been reported. VA yields broad classification of the underlying causes in about 90% of deaths before age 70. In old age, however, the proportion of classifiable deaths is lower. By tracking underlying demographic denominators, the study permits quantification of absolute mortality rates. Household case-control, proportional mortality, and nested case-control methods permit quantification of risk factors. Conclusions This study will reliably document not only the underlying cause of child and adult deaths but also key risk factors (behavioral, physical, environmental, and eventually, genetic). It offers a globally replicable model for reliably estimating cause-specific mortality using VA and strengthens India's flagship mortality monitoring system. Despite the misclassification that is still expected, the new cause-of-death data will be substantially better than that available previously.","container-title":"PLOS Medicine","DOI":"10.1371/journal.pmed.0030018","ISSN":"1549-1676","issue":"2","journalAbbreviation":"PLOS Medicine","language":"en","note":"publisher: Public Library of Science","page":"e18","source":"PLoS Journals","title":"Prospective Study of One Million Deaths in India: Rationale, Design, and Validation Results","title-short":"Prospective Study of One Million Deaths in India","volume":"3","author":[{"family":"Jha","given":"Prabhat"},{"family":"Gajalakshmi","given":"Vendhan"},{"family":"Gupta","given":"Prakash C."},{"family":"Kumar","given":"Rajesh"},{"family":"Mony","given":"Prem"},{"family":"Dhingra","given":"Neeraj"},{"family":"Peto","given":"Richard"},{"family":"Collaborators","given":"RGI-CGHR Prospective Study"}],"issued":{"date-parts":[["2005",12,20]]},"citation-key":"jhaProspectiveStudyOne2005"},"prefix":""}],"schema":"https://github.com/citation-style-language/schema/raw/master/csl-citation.json"} </w:instrText>
      </w:r>
      <w:r>
        <w:fldChar w:fldCharType="separate"/>
      </w:r>
      <w:r w:rsidR="00F14B32">
        <w:rPr>
          <w:noProof/>
        </w:rPr>
        <w:t>[15, 16]</w:t>
      </w:r>
      <w:r>
        <w:fldChar w:fldCharType="end"/>
      </w:r>
      <w:r>
        <w:t xml:space="preserve">, while the models can also process over 10,000 records within a single day. When physicians are unavailable, these models present a viable alternative for estimating population-level CODs. However, their application should be targeted to CODs where model performance is strong (see Table </w:t>
      </w:r>
      <w:hyperlink w:anchor="tab-leadcod">
        <w:r>
          <w:rPr>
            <w:rStyle w:val="Hyperlink"/>
          </w:rPr>
          <w:t>1</w:t>
        </w:r>
      </w:hyperlink>
      <w:r>
        <w:t>). Additionally, model outputs may be used to prioritize physician review, allocating less physician time to validating high-performing CODs (e.g. maternal conditions with 0.79–0.99 PCCC) and allocating more time to challenging cases (e.g. acute respiratory infections with 0.25–0.61 PCCC).</w:t>
      </w:r>
    </w:p>
    <w:p w:rsidR="00260484" w:rsidRDefault="00000000">
      <w:pPr>
        <w:pStyle w:val="Heading3"/>
      </w:pPr>
      <w:bookmarkStart w:id="23" w:name="discuss-adv-nl"/>
      <w:bookmarkEnd w:id="22"/>
      <w:r>
        <w:t>Natural Language Input and Output</w:t>
      </w:r>
    </w:p>
    <w:p w:rsidR="00260484" w:rsidRDefault="00000000">
      <w:pPr>
        <w:pStyle w:val="FirstParagraph"/>
      </w:pPr>
      <w:r>
        <w:t xml:space="preserve">None of the models required training data for COD assignment, enabling their use without domain-specific datasets or expertise. A key advantage of GPT-3.5/4 is their ability to process and generate natural language text as input and output. Unlike InterVA-5 and </w:t>
      </w:r>
      <w:r>
        <w:lastRenderedPageBreak/>
        <w:t xml:space="preserve">InSilicoVA, GPT models are able to assign CODs using the ICD-10 standard, mirroring physician practice, and can potentially classify CODs in broader or alternative categories based on prompt design. In contrast, InterVA-5 and InSilicoVA rely exclusively on structured data from WHO VA 2016 questionnaires and assign CODs using WHO VA 2016 codes. This dependency necessitates ongoing maintenance and conversion between questionnaire versions (e.g., WHO VA 2012 to 2016) and coding systems (e.g., WHO VA 2016 to ICD-10), which reduces interoperability and comparability across models. The flexibility of GPT models in handling unstructured data allows them to capture latent and ambiguous information—such as health-seeking behaviors and social context, which are not encompassed by standardized VA codes </w:t>
      </w:r>
      <w:r>
        <w:fldChar w:fldCharType="begin"/>
      </w:r>
      <w:r w:rsidR="00F14B32">
        <w:instrText xml:space="preserve"> ADDIN ZOTERO_ITEM CSL_CITATION {"citationID":"00000037","properties":{"unsorted":false,"formattedCitation":"[26, 28]","plainCitation":"[26, 28]","noteIndex":0},"citationItems":[{"id":2539,"uris":["http://zotero.org/users/6749620/items/T3TI6D5R"],"itemData":{"id":2539,"type":"article-journal","abstract":"A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2557,"uris":["http://zotero.org/users/6749620/items/IMY94F34"],"itemData":{"id":2557,"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fldChar w:fldCharType="separate"/>
      </w:r>
      <w:r w:rsidR="00F14B32">
        <w:rPr>
          <w:noProof/>
        </w:rPr>
        <w:t>[26, 28]</w:t>
      </w:r>
      <w:r>
        <w:fldChar w:fldCharType="end"/>
      </w:r>
      <w:r>
        <w:t>. For example, GPT-3.5/4 outperformed InterVA-5 and InSilicoVA by +0.35-0.65 PCCC on ill-defined CODs across age groups. They also demonstrated higher performance (+0.11-0.61 PCCC) on rarer CODs, such as nutritional deficiencies (n=11) and diabetes mellitus (n=27), which may be underrepresented in questionnaire data, but better contextualized through extensive knowledge embedded in GPT training corpora.</w:t>
      </w:r>
    </w:p>
    <w:p w:rsidR="00260484" w:rsidRDefault="00000000">
      <w:pPr>
        <w:pStyle w:val="Heading2"/>
      </w:pPr>
      <w:bookmarkStart w:id="24" w:name="discuss-disadv"/>
      <w:bookmarkEnd w:id="18"/>
      <w:bookmarkEnd w:id="23"/>
      <w:r>
        <w:t>Disadvantages</w:t>
      </w:r>
    </w:p>
    <w:p w:rsidR="00260484" w:rsidRDefault="00000000">
      <w:pPr>
        <w:pStyle w:val="FirstParagraph"/>
      </w:pPr>
      <w:r>
        <w:t xml:space="preserve">This subsection addresses the caveats of GPT models in COD assignment. Section </w:t>
      </w:r>
      <w:hyperlink w:anchor="discuss-disadv-reprod">
        <w:r>
          <w:rPr>
            <w:rStyle w:val="Hyperlink"/>
          </w:rPr>
          <w:t>4.2.1</w:t>
        </w:r>
      </w:hyperlink>
      <w:r>
        <w:t xml:space="preserve"> examines challenges related to reproducibility of GPT outputs across repeated runs and their dependence on static training data. Section </w:t>
      </w:r>
      <w:hyperlink w:anchor="discuss-disadv-repriv">
        <w:r>
          <w:rPr>
            <w:rStyle w:val="Hyperlink"/>
          </w:rPr>
          <w:t>4.2.2</w:t>
        </w:r>
      </w:hyperlink>
      <w:r>
        <w:t xml:space="preserve"> explores the substantial computational resources required by GPT models and the associated concerns regarding data privacy and security.</w:t>
      </w:r>
    </w:p>
    <w:p w:rsidR="00260484" w:rsidRDefault="00000000">
      <w:pPr>
        <w:pStyle w:val="Heading3"/>
      </w:pPr>
      <w:bookmarkStart w:id="25" w:name="discuss-disadv-reprod"/>
      <w:r>
        <w:t>Reproducibility and Timeliness</w:t>
      </w:r>
    </w:p>
    <w:p w:rsidR="00260484" w:rsidRDefault="00000000">
      <w:pPr>
        <w:pStyle w:val="FirstParagraph"/>
      </w:pPr>
      <w:r>
        <w:t xml:space="preserve">In this study, GPT models were run with the temperature parameter set to 0 to enhance reproducibility and consistency. However, a brief experiment (Appendix </w:t>
      </w:r>
      <w:hyperlink w:anchor="app-reprod">
        <w:r>
          <w:rPr>
            <w:rStyle w:val="Hyperlink"/>
          </w:rPr>
          <w:t>7</w:t>
        </w:r>
      </w:hyperlink>
      <w:r>
        <w:t>) showed that GPT-3.5 assigned the same COD for the same record in just over 60% of repeated runs on a sample of 100 records. This variability indicates that GPT models do not consistently produce identical COD assignments for identical inputs, which raises concerns about reproducibility and reliability. For example, GPT models may correctly assign CODs by chance, but extensive testing with large numbers of reruns (e.g., 10,000) is cost-prohibitive, as rerunning increases costs substantially. By contrast, InterVA-5 and InSilicoVA are open-source and free, enabling unlimited reruns without additional expense. Moreover, these models provide COD assignments with probabilities for alternative causes, enhancing reproducibility and transparency despite lower overall performance. Another important limitation common to all models is their reliance on training data that reflect information only up to a fixed point in time. Consequently, they may not incorporate the most current data sources, such as recent scientific literature, social media, or emerging reports. This lag can limit their ability to detect new or emerging diseases (e.g., COVID-19) and shifts in COD distributions related to outbreaks or other public health changes unless regularly updated.</w:t>
      </w:r>
    </w:p>
    <w:p w:rsidR="00260484" w:rsidRDefault="00000000">
      <w:pPr>
        <w:pStyle w:val="Heading3"/>
      </w:pPr>
      <w:bookmarkStart w:id="26" w:name="discuss-disadv-repriv"/>
      <w:bookmarkEnd w:id="25"/>
      <w:r>
        <w:lastRenderedPageBreak/>
        <w:t>Infrastructure and Data Privacy</w:t>
      </w:r>
    </w:p>
    <w:p w:rsidR="00260484" w:rsidRDefault="00000000">
      <w:pPr>
        <w:pStyle w:val="FirstParagraph"/>
      </w:pPr>
      <w:r>
        <w:t xml:space="preserve">GPT-3.5/4 require substantial computational infrastructure for training and inference, making local deployment impractical due to cost and model ownership constraints. Consequently, sensitive data, such as identifiable personal information, must be transmitted to external servers, raising significant privacy concerns. Data submitted via prompts, which include narrative content used for COD assignment, may be collected by service providers (e.g., OpenAI) and potentially misused </w:t>
      </w:r>
      <w:r>
        <w:fldChar w:fldCharType="begin"/>
      </w:r>
      <w:r w:rsidR="00F14B32">
        <w:instrText xml:space="preserve"> ADDIN ZOTERO_ITEM CSL_CITATION {"citationID":"00000038","properties":{"unsorted":false,"formattedCitation":"[62]","plainCitation":"[62]","noteIndex":0},"citationItems":[{"id":2782,"uris":["http://zotero.org/users/6749620/items/UEKZCJ46"],"itemData":{"id":2782,"type":"article","abstract":"The emergence of large language models (LLMs) has significantly accelerated the development of a wide range of applications across various fields. There is a growing trend in the construction of specialized platforms based on LLMs, such as the newly introduced custom GPTs by OpenAI. While custom GPTs provide various functionalities like web browsing and code execution, they also introduce significant security threats. In this paper, we conduct a comprehensive analysis of the security and privacy issues arising from the custom GPT platform. Our systematic examination categorizes potential attack scenarios into three threat models based on the role of the malicious actor, and identifies critical data exchange channels in custom GPTs. Utilizing the STRIDE threat modeling framework, we identify 26 potential attack vectors, with 19 being partially or fully validated in real-world settings. Our findings emphasize the urgent need for robust security and privacy measures in the custom GPT ecosystem, especially in light of the forthcoming launch of the official GPT store by OpenAI.","DOI":"10.48550/arXiv.2401.00905","note":"arXiv:2401.00905 [cs]","number":"arXiv:2401.00905","publisher":"arXiv","source":"arXiv.org","title":"Opening A Pandora's Box: Things You Should Know in the Era of Custom GPTs","title-short":"Opening A Pandora's Box","URL":"http://arxiv.org/abs/2401.00905","author":[{"family":"Tao","given":"Guanhong"},{"family":"Cheng","given":"Siyuan"},{"family":"Zhang","given":"Zhuo"},{"family":"Zhu","given":"Junmin"},{"family":"Shen","given":"Guangyu"},{"family":"Zhang","given":"Xiangyu"}],"accessed":{"date-parts":[["2024",7,6]]},"issued":{"date-parts":[["2023",12,31]]},"citation-key":"taoOpeningPandoraBox2023"},"prefix":""}],"schema":"https://github.com/citation-style-language/schema/raw/master/csl-citation.json"} </w:instrText>
      </w:r>
      <w:r>
        <w:fldChar w:fldCharType="separate"/>
      </w:r>
      <w:r w:rsidR="00F14B32">
        <w:rPr>
          <w:noProof/>
        </w:rPr>
        <w:t>[62]</w:t>
      </w:r>
      <w:r>
        <w:fldChar w:fldCharType="end"/>
      </w:r>
      <w:r>
        <w:t xml:space="preserve">. There is risk that sensitive information could be exposed or exploited through malicious actors or poorly controlled data handling </w:t>
      </w:r>
      <w:r>
        <w:fldChar w:fldCharType="begin"/>
      </w:r>
      <w:r w:rsidR="00F14B32">
        <w:instrText xml:space="preserve"> ADDIN ZOTERO_ITEM CSL_CITATION {"citationID":"00000039","properties":{"unsorted":false,"formattedCitation":"[63, 64]","plainCitation":"[63, 64]","noteIndex":0},"citationItems":[{"id":2777,"uris":["http://zotero.org/users/6749620/items/T99CBISQ"],"itemData":{"id":2777,"type":"article-journal","abstract":"Abstract\n            ChatGPT is another large language model (LLM) vastly available for the consumers on their devices but due to its performance and ability to converse effectively, it has gained a huge popularity amongst research as well as industrial community. Recently, many studies have been published to show the effectiveness, efficiency, integration, and sentiments of chatGPT and other LLMs. In contrast, this study focuses on the important aspects that are mostly overlooked, i.e. sustainability, privacy, digital divide, and ethics and suggests that not only chatGPT but every subsequent entry in the category of conversational bots should undergo Sustainability, PrivAcy, Digital divide, and Ethics (SPADE) evaluation. This paper discusses in detail the issues and concerns raised over chatGPT in line with aforementioned characteristics. We also discuss the recent EU AI Act briefly in accordance with the SPADE evaluation. We support our hypothesis by some preliminary data collection and visualizations along with hypothesized facts. We also suggest mitigations and recommendations for each of the concerns. Furthermore, we also suggest some policies and recommendations for EU AI policy act concerning ethics, digital divide, and sustainability.","container-title":"Cognitive Computation","DOI":"10.1007/s12559-024-10285-1","ISSN":"1866-9956, 1866-9964","journalAbbreviation":"Cogn Comput","language":"en","source":"DOI.org (Crossref)","title":"ChatGPT Needs SPADE (Sustainability, PrivAcy, Digital divide, and Ethics) Evaluation: A Review","title-short":"ChatGPT Needs SPADE (Sustainability, PrivAcy, Digital divide, and Ethics) Evaluation","URL":"https://link.springer.com/10.1007/s12559-024-10285-1","author":[{"family":"Khowaja","given":"Sunder Ali"},{"family":"Khuwaja","given":"Parus"},{"family":"Dev","given":"Kapal"},{"family":"Wang","given":"Weizheng"},{"family":"Nkenyereye","given":"Lewis"}],"accessed":{"date-parts":[["2024",7,5]]},"issued":{"date-parts":[["2024",5,5]]},"citation-key":"khowajaChatGPTNeedsSPADE2024"},"prefix":""},{"id":2778,"uris":["http://zotero.org/users/6749620/items/W5XGGT6U"],"itemData":{"id":2778,"type":"article-journal","container-title":"Journal of Information and Intelligence","issue":"2","note":"publisher: Elsevier","page":"102–115","source":"Google Scholar","title":"Unveiling security, privacy, and ethical concerns of ChatGPT","volume":"2","author":[{"family":"Wu","given":"Xiaodong"},{"family":"Duan","given":"Ran"},{"family":"Ni","given":"Jianbing"}],"issued":{"date-parts":[["2024"]]},"citation-key":"wuUnveilingSecurityPrivacy2024"},"prefix":""}],"schema":"https://github.com/citation-style-language/schema/raw/master/csl-citation.json"} </w:instrText>
      </w:r>
      <w:r>
        <w:fldChar w:fldCharType="separate"/>
      </w:r>
      <w:r w:rsidR="00F14B32">
        <w:rPr>
          <w:noProof/>
        </w:rPr>
        <w:t>[63, 64]</w:t>
      </w:r>
      <w:r>
        <w:fldChar w:fldCharType="end"/>
      </w:r>
      <w:r>
        <w:t xml:space="preserve">. While jurisdictions, such as the European Union, enforce strict protections under the General Data Protection Regulation (GDPR), most low‑ and middle‑income countries are only beginning to formalize regulatory frameworks for data protection and artificial intelligence governance </w:t>
      </w:r>
      <w:r>
        <w:fldChar w:fldCharType="begin"/>
      </w:r>
      <w:r w:rsidR="00F14B32">
        <w:instrText xml:space="preserve"> ADDIN ZOTERO_ITEM CSL_CITATION {"citationID":"00000040","properties":{"unsorted":false,"formattedCitation":"[65\\uc0\\u8211{}67]","plainCitation":"[65–67]","noteIndex":0},"citationItems":[{"id":3294,"uris":["http://zotero.org/users/6749620/items/NQBS2VGH"],"itemData":{"id":3294,"type":"webpage","abstract":"The official PDF of the Regulation (EU) 2016/679 – known as GDPR – its recitals &amp; key issues as a neatly arranged website.","container-title":"General Data Protection Regulation (GDPR)","language":"en-US","title":"General Data Protection Regulation (GDPR) – Legal Text","URL":"https://gdpr-info.eu/","author":[{"literal":"Intersoft Consulting"}],"accessed":{"date-parts":[["2025",6,24]]},"issued":{"date-parts":[["2018"]]},"citation-key":"intersoftconsultingGeneralDataProtection2018"},"prefix":""},{"id":3296,"uris":["http://zotero.org/users/6749620/items/Y6BPLPT7"],"itemData":{"id":3296,"type":"article-journal","abstract":"As increasing amounts of personal information are being collected through a plethora of electronic modalities by statutory and non-statutory organizations, ensuring the confidentiality and security of such information has become a major issue globally. While the use of many of these media can be beneficial to individuals or populations, they can also be open to abuse by individuals or statutory and non-statutory organizations. Recent examples include collection of personal information by national security systems and the development of national programs like the Chinese Social Credit System. In many low- and middle-income countries, an increasing amount of personal health information is being collected. The collection of personal health information is necessary, in order to develop longitudinal medical records and to monitor and evaluate the use, cost, outcome, and impact of health services at facility, sub-national, and national levels. However, if personal health information is not held confidentially and securely, individuals with communicable or non-communicable diseases (NCDs) may be reluctant to use preventive or therapeutic health services, due to fear of being stigmatized or discriminated against. While policymakers and other stakeholders in these countries recognize the need to develop and implement policies for protecting the privacy, confidentiality and security of personal health information, to date few of these countries have developed, let alone implemented, coherent policies. The global HIV response continues to emphasize the importance of collecting HIV-health information, recently re-iterated by the Fast Track to End AIDS by 2030 program and the recent changes in the Guidelines on When to Start Antiretroviral Therapy and on Pre-exposure Prophylaxis for HIV. The success of developing HIV treatment cascades in low- and middle-income countries will require the development of National Health Identification Systems. The success of programs like Universal Health Coverage, under the recently ratified Sustainable Development Goals is also contingent on the availability of personal health information for communicable and non-communicable diseases. Guidance for countries to develop and implement their own guidelines for protecting HIV-information formed the basis of identifying a number of fundamental principles, governing the areas of privacy, confidentiality and security. The use of individual-level data must balance maximizing the benefits from their most effective and fullest use, and minimizing harm resulting from their malicious or inadvertent release. These general principles are described in this paper, as along with a bibliography referring to more detailed technical information. A country assessment tool and user's manual, based on these principles, have been developed to support countries to assess the privacy, confidentiality, and security of personal health information at facility, data warehouse/repository, and national levels. The successful development and implementation of national guidance will require strong collaboration at local, regional, and national levels, and this is a pre-condition for the successful implementation of a range of national and global programs. This paper is a call for action for stakeholders in low- and middle-income countries to develop and implement such coherent policies and provides fundamental principles governing the areas of privacy, confidentiality, and security of personal health information being collected in low- and middle-income countries.","container-title":"Global Health Action","DOI":"10.3402/gha.v9.32089","ISSN":"1654-9716","issue":"1","note":"publisher: Taylor &amp; Francis\n_eprint: https://doi.org/10.3402/gha.v9.32089\nPMID: 28156880","page":"32089","source":"Taylor and Francis+NEJM","title":"Protecting the confidentiality and security of personal health information in low- and middle-income countries in the era of SDGs and Big Data","volume":"9","author":[{"family":"Beck","given":"Eduard J."},{"family":"","given":"Gill ,Wayne"},{"family":"De Lay","given":"Paul R.","non-dropping-particle":"and"}],"issued":{"date-parts":[["2016",12,1]]},"citation-key":"beckProtectingConfidentialitySecurity2016"},"prefix":""},{"id":3298,"uris":["http://zotero.org/users/6749620/items/34EPB33W"],"itemData":{"id":3298,"type":"article-journal","abstract":"In the last decade, several actors have encouraged African countries to establish standards, policies and strategies that maximise the benefits of artificial intelligence (AI) and reduce risks. African countries appear to be adopting this regulatory path, yet their motivations and political contexts for actively engaging in AI policies vary, as do the values, principles and ethical issues woven into these policies. With qualitative evidence from Rwanda and Ghana, the paper explores the complex interplay of politics, power and local ecosystems in policy development on the continent. It unpacks the strategies of mobilising knowledge through stakeholder engagements, agenda setting and valid public and political engagements that lead to the final AI policy. A comparative analysis of the policies in the two countries finds that while reproducing identical initiatives, there are differences in AI vision, practicality and data sovereignty based on political, economic and historical contexts.","container-title":"Canadian Journal of African Studies / Revue canadienne des études africaines","DOI":"10.1080/00083968.2025.2456619","ISSN":"0008-3968","note":"publisher: Routledge\n_eprint: https://doi.org/10.1080/00083968.2025.2456619","page":"1-19","source":"Taylor and Francis+NEJM","title":"“We know what we are doing”: the politics and trends in artificial intelligence policies in Africa","title-short":"“We know what we are doing”","author":[{"family":"Kwarkye","given":"Thompson Gyedu"}],"issued":{"date-parts":[["2025"]]},"citation-key":"kwarkyeWeKnowWhat2025"},"prefix":""}],"schema":"https://github.com/citation-style-language/schema/raw/master/csl-citation.json"} </w:instrText>
      </w:r>
      <w:r>
        <w:fldChar w:fldCharType="separate"/>
      </w:r>
      <w:r w:rsidR="00F14B32" w:rsidRPr="00F14B32">
        <w:rPr>
          <w:rFonts w:ascii="Aptos" w:cs="Times New Roman"/>
        </w:rPr>
        <w:t>[65–67]</w:t>
      </w:r>
      <w:r>
        <w:fldChar w:fldCharType="end"/>
      </w:r>
      <w:r>
        <w:t>. In contrast, InterVA-5 and InSilicoVA can be run entirely on local systems, enabling data to remain under the control of the data owner. This approach reduces dependency on external services and better safeguards data privacy.</w:t>
      </w:r>
    </w:p>
    <w:p w:rsidR="00260484" w:rsidRDefault="00000000">
      <w:pPr>
        <w:pStyle w:val="Heading2"/>
      </w:pPr>
      <w:bookmarkStart w:id="27" w:name="discuss-limits"/>
      <w:bookmarkEnd w:id="24"/>
      <w:bookmarkEnd w:id="26"/>
      <w:r>
        <w:t>Limitations</w:t>
      </w:r>
    </w:p>
    <w:p w:rsidR="00260484" w:rsidRDefault="00000000">
      <w:pPr>
        <w:pStyle w:val="FirstParagraph"/>
      </w:pPr>
      <w:r>
        <w:t xml:space="preserve">This section outlines key limitations of the current study related to the use of GPT models. Section </w:t>
      </w:r>
      <w:hyperlink w:anchor="discuss-limits-phy">
        <w:r>
          <w:rPr>
            <w:rStyle w:val="Hyperlink"/>
          </w:rPr>
          <w:t>4.3.1</w:t>
        </w:r>
      </w:hyperlink>
      <w:r>
        <w:t xml:space="preserve"> discusses the use of physician assignment as the reference standard for comparing models. Section </w:t>
      </w:r>
      <w:hyperlink w:anchor="discuss-limits-model">
        <w:r>
          <w:rPr>
            <w:rStyle w:val="Hyperlink"/>
          </w:rPr>
          <w:t>4.3.2</w:t>
        </w:r>
      </w:hyperlink>
      <w:r>
        <w:t xml:space="preserve"> addresses the need for further model tuning and adjustments of model parameters and output, while Section </w:t>
      </w:r>
      <w:hyperlink w:anchor="discuss-limits-global">
        <w:r>
          <w:rPr>
            <w:rStyle w:val="Hyperlink"/>
          </w:rPr>
          <w:t>4.3.3</w:t>
        </w:r>
      </w:hyperlink>
      <w:r>
        <w:t xml:space="preserve"> notes the importance of more globally diverse datasets for model evaluation.</w:t>
      </w:r>
    </w:p>
    <w:p w:rsidR="00260484" w:rsidRDefault="00000000">
      <w:pPr>
        <w:pStyle w:val="Heading3"/>
      </w:pPr>
      <w:bookmarkStart w:id="28" w:name="discuss-limits-phy"/>
      <w:r>
        <w:t>Physician Reference Standard</w:t>
      </w:r>
    </w:p>
    <w:p w:rsidR="00260484" w:rsidRDefault="00000000">
      <w:pPr>
        <w:pStyle w:val="FirstParagraph"/>
      </w:pPr>
      <w:r>
        <w:t xml:space="preserve">This study evaluated model performance using broad CGHR-10 categories rather than specific ICD-10 codes. In practice, physicians assign more detailed ICD-10 codes, but InterVA-5 and InSilicoVA generate only broader WHO VA codes and cannot assign ICD-10 codes directly, partly due to insufficient sample cases for many specific ICD-10 categories to support reliable modeling. For example, even broad CGHR-10 categories had fewer than 10 cases (e.g., congenital anomalies, suicide), and were excluded from evaluation. While GPT models assigned ICD-10 codes, lower performance can be expected, as even physicians show limited agreement on detailed ICD-10 coding, with only 6,939 (58%) of 11,920 records in agreement, necessitating the use of broader categories (e.g., CMEA-10 codes) to assess equivalence. Reliance on physician assignment as the reference standard may introduce bias, as physician interpretations may be shaped by local epidemiological knowledge, particularly for more complex cases or ambiguous narratives </w:t>
      </w:r>
      <w:r>
        <w:fldChar w:fldCharType="begin"/>
      </w:r>
      <w:r w:rsidR="00F14B32">
        <w:instrText xml:space="preserve"> ADDIN ZOTERO_ITEM CSL_CITATION {"citationID":"00000041","properties":{"unsorted":false,"formattedCitation":"[22]","plainCitation":"[22]","noteIndex":0},"citationItems":[{"id":2536,"uris":["http://zotero.org/users/6749620/items/9MB658MJ"],"itemData":{"id":2536,"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schema":"https://github.com/citation-style-language/schema/raw/master/csl-citation.json"} </w:instrText>
      </w:r>
      <w:r>
        <w:fldChar w:fldCharType="separate"/>
      </w:r>
      <w:r w:rsidR="00F14B32">
        <w:rPr>
          <w:noProof/>
        </w:rPr>
        <w:t>[22]</w:t>
      </w:r>
      <w:r>
        <w:fldChar w:fldCharType="end"/>
      </w:r>
      <w:r>
        <w:t>.</w:t>
      </w:r>
    </w:p>
    <w:p w:rsidR="00260484" w:rsidRDefault="00000000">
      <w:pPr>
        <w:pStyle w:val="Heading3"/>
      </w:pPr>
      <w:bookmarkStart w:id="29" w:name="discuss-limits-model"/>
      <w:bookmarkEnd w:id="28"/>
      <w:r>
        <w:t>Model Tuning and Interpretability</w:t>
      </w:r>
    </w:p>
    <w:p w:rsidR="00260484" w:rsidRDefault="00000000">
      <w:pPr>
        <w:pStyle w:val="FirstParagraph"/>
      </w:pPr>
      <w:r>
        <w:t xml:space="preserve">GPT-3.5/4 were used with default parameters except for temperature, which was set to 0 to enhance consistency. However, tuning temperature and other settings could potentially improve performance </w:t>
      </w:r>
      <w:r>
        <w:fldChar w:fldCharType="begin"/>
      </w:r>
      <w:r w:rsidR="00F14B32">
        <w:instrText xml:space="preserve"> ADDIN ZOTERO_ITEM CSL_CITATION {"citationID":"00000042","properties":{"unsorted":false,"formattedCitation":"[68]","plainCitation":"[68]","noteIndex":0},"citationItems":[{"id":2679,"uris":["http://zotero.org/users/6749620/items/FBSTJZ9N"],"itemData":{"id":2679,"type":"webpage","abstract":"Explore developer resources, tutorials, API docs, and dynamic examples to get the most out of OpenAI's platform.","language":"en","title":"OpenAI Platform: API Reference (temperature parameter).","URL":"https://platform.openai.com/docs/api-reference/completions/create#completions-create-temperature","author":[{"literal":"OpenAI"}],"accessed":{"date-parts":[["2024",1,26]]},"issued":{"date-parts":[["2024"]]},"citation-key":"openaiOpenAIPlatformAPI2024"},"prefix":""}],"schema":"https://github.com/citation-style-language/schema/raw/master/csl-citation.json"} </w:instrText>
      </w:r>
      <w:r>
        <w:fldChar w:fldCharType="separate"/>
      </w:r>
      <w:r w:rsidR="00F14B32">
        <w:rPr>
          <w:noProof/>
        </w:rPr>
        <w:t>[68]</w:t>
      </w:r>
      <w:r>
        <w:fldChar w:fldCharType="end"/>
      </w:r>
      <w:r>
        <w:t xml:space="preserve">, but was not explored due to the high cost of repeated runs </w:t>
      </w:r>
      <w:r>
        <w:lastRenderedPageBreak/>
        <w:t xml:space="preserve">needed for sensitivity analyses, as noted in Section </w:t>
      </w:r>
      <w:hyperlink w:anchor="discuss-disadv-reprod">
        <w:r>
          <w:rPr>
            <w:rStyle w:val="Hyperlink"/>
          </w:rPr>
          <w:t>4.2.1</w:t>
        </w:r>
      </w:hyperlink>
      <w:r>
        <w:t xml:space="preserve">. Despite temperature control, GPT outputs may still vary, highlighting the need to assess reliability and consistency to avoid coincidental results </w:t>
      </w:r>
      <w:r>
        <w:fldChar w:fldCharType="begin"/>
      </w:r>
      <w:r w:rsidR="00F14B32">
        <w:instrText xml:space="preserve"> ADDIN ZOTERO_ITEM CSL_CITATION {"citationID":"00000043","properties":{"unsorted":false,"formattedCitation":"[69\\uc0\\u8211{}71]","plainCitation":"[69–71]","noteIndex":0},"citationItems":[{"id":2787,"uris":["http://zotero.org/users/6749620/items/DUNB6V86"],"itemData":{"id":2787,"type":"article-journal","abstract":"Background:\nNatural language processing models such as ChatGPT can generate text-based content and are poised to become a major information source in medicine and beyond. The accuracy and completeness of ChatGPT for medical queries is not known.\n\nMethods:\nThirty-three physicians across 17 specialties generated 284 medical questions that they subjectively classified as easy, medium, or hard with either binary (yes/no) or descriptive answers. The physicians then graded ChatGPT-generated answers to these questions for accuracy (6-point Likert scale; range 1 – completely incorrect to 6 – completely correct) and completeness (3-point Likert scale; range 1 – incomplete to 3 - complete plus additional context). Scores were summarized with descriptive statistics and compared using Mann-Whitney U or Kruskal-Wallis testing.\n\nResults:\nAcross all questions (n=284), median accuracy score was 5.5 (between almost completely and completely correct) with mean score of 4.8 (between mostly and almost completely correct). Median completeness score was 3 (complete and comprehensive) with mean score of 2.5. For questions rated easy, medium, and hard, median accuracy scores were 6, 5.5, and 5 (mean 5.0, 4.7, and 4.6; p=0.05). Accuracy scores for binary and descriptive questions were similar (median 6 vs. 5; mean 4.9 vs. 4.7; p=0.07). Of 36 questions with scores of 1-2, 34 were re-queried/re-graded 8-17 days later with substantial improvement (median 2 vs. 4; p&lt;0.01).\n\nConclusions:\nChatGPT generated largely accurate information to diverse medical queries as judged by academic physician specialists although with important limitations. Further research and model development are needed to correct inaccuracies and for validation.","container-title":"Research Square","DOI":"10.21203/rs.3.rs-2566942/v1","journalAbbreviation":"Res Sq","note":"PMID: 36909565\nPMCID: PMC10002821","page":"rs.3.rs-2566942","source":"PubMed Central","title":"Assessing the Accuracy and Reliability of AI-Generated Medical Responses: An Evaluation of the Chat-GPT Model","title-short":"Assessing the Accuracy and Reliability of AI-Generated Medical Responses","author":[{"family":"Johnson","given":"Douglas"},{"family":"Goodman","given":"Rachel"},{"family":"Patrinely","given":"J"},{"family":"Stone","given":"Cosby"},{"family":"Zimmerman","given":"Eli"},{"family":"Donald","given":"Rebecca"},{"family":"Chang","given":"Sam"},{"family":"Berkowitz","given":"Sean"},{"family":"Finn","given":"Avni"},{"family":"Jahangir","given":"Eiman"},{"family":"Scoville","given":"Elizabeth"},{"family":"Reese","given":"Tyler"},{"family":"Friedman","given":"Debra"},{"family":"Bastarache","given":"Julie"},{"family":"Heijden","given":"Yuri","non-dropping-particle":"van der"},{"family":"Wright","given":"Jordan"},{"family":"Carter","given":"Nicholas"},{"family":"Alexander","given":"Matthew"},{"family":"Choe","given":"Jennifer"},{"family":"Chastain","given":"Cody"},{"family":"Zic","given":"John"},{"family":"Horst","given":"Sara"},{"family":"Turker","given":"Isik"},{"family":"Agarwal","given":"Rajiv"},{"family":"Osmundson","given":"Evan"},{"family":"Idrees","given":"Kamran"},{"family":"Kieman","given":"Colleen"},{"family":"Padmanabhan","given":"Chandrasekhar"},{"family":"Bailey","given":"Christina"},{"family":"Schlegel","given":"Cameron"},{"family":"Chambless","given":"Lola"},{"family":"Gibson","given":"Mike"},{"family":"Osterman","given":"Travis"},{"family":"Wheless","given":"Lee"}],"issued":{"date-parts":[["2023",2,28]]},"citation-key":"johnsonAssessingAccuracyReliability2023"},"prefix":""},{"id":2786,"uris":["http://zotero.org/users/6749620/items/QBSXUL86"],"itemData":{"id":2786,"type":"article","abstract":"ChatGPT has gained a huge popularity since its introduction. Its positive aspects have been reported through many media platforms, and some analyses even showed that ChatGPT achieved a decent grade in professional exams, adding extra support to the claim that AI can now assist and even replace humans in industrial fields. Others, however, doubt its reliability and trustworthiness. This paper investigates the trustworthiness of ChatGPT and GPT-4 regarding logically consistent behaviour, focusing specifically on semantic consistency and the properties of negation, symmetric, and transitive consistency. Our findings suggest that while both models appear to show an enhanced language understanding and reasoning ability, they still frequently fall short of generating logically consistent predictions. We also ascertain via experiments that prompt designing, few-shot learning and employing larger large language models (LLMs) are unlikely to be the ultimate solution to resolve the inconsistency issue of LLMs.","note":"arXiv:2303.06273 [cs]","number":"arXiv:2303.06273","publisher":"arXiv","source":"arXiv.org","title":"Consistency Analysis of ChatGPT","URL":"http://arxiv.org/abs/2303.06273","author":[{"family":"Jang","given":"Myeongjun Erik"},{"family":"Lukasiewicz","given":"Thomas"}],"accessed":{"date-parts":[["2024",7,6]]},"issued":{"date-parts":[["2023",11,13]]},"citation-key":"jangConsistencyAnalysisChatGPT2023"},"prefix":""},{"id":2785,"uris":["http://zotero.org/users/6749620/items/SAYN2J7L"],"itemData":{"id":2785,"type":"article-journal","container-title":"Radiology","DOI":"10.1148/radiol.232715","ISSN":"0033-8419, 1527-1315","issue":"2","journalAbbreviation":"Radiology","language":"en","page":"e232715","source":"DOI.org (Crossref)","title":"Evaluation of Reliability, Repeatability, Robustness, and Confidence of GPT-3.5 and GPT-4 on a Radiology Board–style Examination","volume":"311","author":[{"family":"Krishna","given":"Satheesh"},{"family":"Bhambra","given":"Nishaant"},{"family":"Bleakney","given":"Robert"},{"family":"Bhayana","given":"Rajesh"},{"family":"Atzen","given":"Sarah"}],"editor":[{"family":"Moy","given":"Linda"}],"issued":{"date-parts":[["2024",5,1]]},"citation-key":"krishnaEvaluationReliabilityRepeatability2024"},"prefix":""}],"schema":"https://github.com/citation-style-language/schema/raw/master/csl-citation.json"} </w:instrText>
      </w:r>
      <w:r>
        <w:fldChar w:fldCharType="separate"/>
      </w:r>
      <w:r w:rsidR="00F14B32" w:rsidRPr="00F14B32">
        <w:rPr>
          <w:rFonts w:ascii="Aptos" w:cs="Times New Roman"/>
        </w:rPr>
        <w:t>[69–71]</w:t>
      </w:r>
      <w:r>
        <w:fldChar w:fldCharType="end"/>
      </w:r>
      <w:r>
        <w:t xml:space="preserve">. Unlike GPT models, InterVA-5 and InSilicoVA provide multiple COD assignments with associated probabilities to measure reliability. In addition, while GPT can be prompted to generate multiple CODs, this study evaluated only the most probable assignment. Considering multiple COD outputs may better capture alternative diagnoses and align more closely with physician assessments </w:t>
      </w:r>
      <w:r>
        <w:fldChar w:fldCharType="begin"/>
      </w:r>
      <w:r w:rsidR="00F14B32">
        <w:instrText xml:space="preserve"> ADDIN ZOTERO_ITEM CSL_CITATION {"citationID":"00000044","properties":{"unsorted":false,"formattedCitation":"[19]","plainCitation":"[19]","noteIndex":0},"citationItems":[{"id":2637,"uris":["http://zotero.org/users/6749620/items/RKA3T55R"],"itemData":{"id":2637,"type":"article-journal","container-title":"Bulletin of the World Health Organization","issue":"3","note":"publisher: SciELO Public Health","page":"239–245","source":"Google Scholar","title":"Verbal autopsy: current practices and challenges","title-short":"Verbal autopsy","volume":"84","author":[{"family":"Soleman","given":"Nadia"},{"family":"Chandramohan","given":"Daniel"},{"family":"Shibuya","given":"Kenji"}],"issued":{"date-parts":[["2006"]]},"citation-key":"solemanVerbalAutopsyCurrent2006"},"prefix":""}],"schema":"https://github.com/citation-style-language/schema/raw/master/csl-citation.json"} </w:instrText>
      </w:r>
      <w:r>
        <w:fldChar w:fldCharType="separate"/>
      </w:r>
      <w:r w:rsidR="00F14B32">
        <w:rPr>
          <w:noProof/>
        </w:rPr>
        <w:t>[19]</w:t>
      </w:r>
      <w:r>
        <w:fldChar w:fldCharType="end"/>
      </w:r>
      <w:r>
        <w:t>. Notably, GPT models are capable of generating natural language justifications for their COD assignments, offering a form of qualitative interpretability that mimics physician reasoning. However, these explanations are not tied to explicit probabilistic scores or model certainty, which limits their use for structured reliability assessments in current VA workflows. Nonetheless, evaluation methods considering probability scores and justifications may identifying insights on model performance and behavior differences across CODs.</w:t>
      </w:r>
    </w:p>
    <w:p w:rsidR="00260484" w:rsidRDefault="00000000">
      <w:pPr>
        <w:pStyle w:val="Heading3"/>
      </w:pPr>
      <w:bookmarkStart w:id="30" w:name="discuss-limits-global"/>
      <w:bookmarkEnd w:id="29"/>
      <w:r>
        <w:t>Global Validity</w:t>
      </w:r>
    </w:p>
    <w:p w:rsidR="00260484" w:rsidRDefault="00000000">
      <w:pPr>
        <w:pStyle w:val="FirstParagraph"/>
      </w:pPr>
      <w:r>
        <w:t xml:space="preserve">While this study rigorously compares computer algorithms for COD assignment in Sierra Leone, the extent to which these findings are applied to other geographic or epidemiological contexts remains limited. Variations in local mortality profiles, linguistic expression, health system infrastructure, and culturally specific interpretations of illness shape the content and structure of VA narratives and questionnaires </w:t>
      </w:r>
      <w:r>
        <w:fldChar w:fldCharType="begin"/>
      </w:r>
      <w:r w:rsidR="00F14B32">
        <w:instrText xml:space="preserve"> ADDIN ZOTERO_ITEM CSL_CITATION {"citationID":"00000045","properties":{"unsorted":false,"formattedCitation":"[72\\uc0\\u8211{}74]","plainCitation":"[72–74]","noteIndex":0},"citationItems":[{"id":3269,"uris":["http://zotero.org/users/6749620/items/MIVTG372"],"itemData":{"id":3269,"type":"article-journal","container-title":"The Lancet","issue":"9598","note":"publisher: Elsevier","page":"1569–1577","source":"Google Scholar","title":"A scandal of invisibility: making everyone count by counting everyone","title-short":"A scandal of invisibility","volume":"370","author":[{"family":"Setel","given":"Philip W."},{"family":"Macfarlane","given":"Sarah B."},{"family":"Szreter","given":"Simon"},{"family":"Mikkelsen","given":"Lene"},{"family":"Jha","given":"Prabhat"},{"family":"Stout","given":"Susan"},{"family":"AbouZahr","given":"Carla"}],"issued":{"date-parts":[["2007"]]},"citation-key":"setelScandalInvisibilityMaking2007"},"prefix":""},{"id":3271,"uris":["http://zotero.org/users/6749620/items/YGFUADH8"],"itemData":{"id":3271,"type":"article-journal","container-title":"Epidemiologic reviews","issue":"1","note":"publisher: Oxford University Press","page":"38–55","source":"Google Scholar","title":"Verbal autopsy: methods in transition","title-short":"Verbal autopsy","volume":"32","author":[{"family":"Fottrell","given":"Edward"},{"family":"Byass","given":"Peter"}],"issued":{"date-parts":[["2010"]]},"citation-key":"fottrellVerbalAutopsyMethods2010"},"prefix":""},{"id":3272,"uris":["http://zotero.org/users/6749620/items/V29Z9QIM"],"itemData":{"id":3272,"type":"article-journal","abstract":"Peter Byass provides an introduction to a PLoS Medicine cluster of articles on global health estimates, and argues why the \"estimates debate\" is so important.","container-title":"PLoS Medicine","DOI":"10.1371/journal.pmed.1001006","ISSN":"1549-1277","issue":"11","journalAbbreviation":"PLoS Med","note":"PMID: 21152416\nPMCID: PMC2994666","page":"e1001006","source":"PubMed Central","title":"The Imperfect World of Global Health Estimates","volume":"7","author":[{"family":"Byass","given":"Peter"}],"issued":{"date-parts":[["2010",11,30]]},"citation-key":"byassImperfectWorldGlobal2010"},"prefix":""}],"schema":"https://github.com/citation-style-language/schema/raw/master/csl-citation.json"} </w:instrText>
      </w:r>
      <w:r>
        <w:fldChar w:fldCharType="separate"/>
      </w:r>
      <w:r w:rsidR="00F14B32" w:rsidRPr="00F14B32">
        <w:rPr>
          <w:rFonts w:ascii="Aptos" w:cs="Times New Roman"/>
        </w:rPr>
        <w:t>[72–74]</w:t>
      </w:r>
      <w:r>
        <w:fldChar w:fldCharType="end"/>
      </w:r>
      <w:r>
        <w:t xml:space="preserve">. For example, the ways in which symptoms are described, terminology used, and aspects emphasized by respondents differ across languages and cultural settings. Moreover, Sierra Leone is predominantly driven by infectious diseases, such as malaria and respiratory infections, a pattern that contrasts with regions where non-communicable diseases typically constitute the leading CODs in North America and Europe, or where violence and road traffic injuries predominate in parts of Latin America and Asia </w:t>
      </w:r>
      <w:r>
        <w:fldChar w:fldCharType="begin"/>
      </w:r>
      <w:r w:rsidR="00F14B32">
        <w:instrText xml:space="preserve"> ADDIN ZOTERO_ITEM CSL_CITATION {"citationID":"00000046","properties":{"unsorted":false,"formattedCitation":"[75\\uc0\\u8211{}77]","plainCitation":"[75–77]","noteIndex":0},"citationItems":[{"id":3276,"uris":["http://zotero.org/users/6749620/items/VZILFVZX"],"itemData":{"id":3276,"type":"article-journal","container-title":"The lancet","issue":"9061","note":"publisher: Elsevier","page":"1269–1276","source":"Google Scholar","title":"Mortality by cause for eight regions of the world: Global Burden of Disease Study","title-short":"Mortality by cause for eight regions of the world","volume":"349","author":[{"family":"Murray","given":"Christopher JL"},{"family":"Lopez","given":"Alan D."}],"issued":{"date-parts":[["1997"]]},"citation-key":"murrayMortalityCauseEight1997"},"prefix":""},{"id":3275,"uris":["http://zotero.org/users/6749620/items/2IUPWE5N"],"itemData":{"id":3275,"type":"article-journal","container-title":"British medical bulletin","issue":"1","note":"publisher: Oxford University Press","page":"7–32","source":"Google Scholar","title":"Global and regional causes of death","volume":"92","author":[{"family":"Mathers","given":"Colin D."},{"family":"Boerma","given":"Ties"},{"family":"Ma Fat","given":"Doris"}],"issued":{"date-parts":[["2009"]]},"citation-key":"mathersGlobalRegionalCauses2009"},"prefix":""},{"id":3278,"uris":["http://zotero.org/users/6749620/items/ITJKIGVK"],"itemData":{"id":3278,"type":"article-journal","container-title":"The lancet","issue":"10258","note":"publisher: Elsevier","page":"1204–1222","source":"Google Scholar","title":"Global burden of 369 diseases and injuries in 204 countries and territories, 1990–2019: a systematic analysis for the Global Burden of Disease Study 2019","title-short":"Global burden of 369 diseases and injuries in 204 countries and territories, 1990–2019","volume":"396","author":[{"family":"Vos","given":"Theo"},{"family":"Lim","given":"Stephen S."},{"family":"Abbafati","given":"Cristiana"},{"family":"Abbas","given":"Kaja M."},{"family":"Abbasi","given":"Mohammad"},{"family":"Abbasifard","given":"Mitra"},{"family":"Abbasi-Kangevari","given":"Mohsen"},{"family":"Abbastabar","given":"Hedayat"},{"family":"Abd-Allah","given":"Foad"},{"family":"Abdelalim","given":"Ahmed"}],"issued":{"date-parts":[["2020"]]},"citation-key":"vosGlobalBurden3692020"},"prefix":""}],"schema":"https://github.com/citation-style-language/schema/raw/master/csl-citation.json"} </w:instrText>
      </w:r>
      <w:r>
        <w:fldChar w:fldCharType="separate"/>
      </w:r>
      <w:r w:rsidR="00F14B32" w:rsidRPr="00F14B32">
        <w:rPr>
          <w:rFonts w:ascii="Aptos" w:cs="Times New Roman"/>
        </w:rPr>
        <w:t>[75–77]</w:t>
      </w:r>
      <w:r>
        <w:fldChar w:fldCharType="end"/>
      </w:r>
      <w:r>
        <w:t xml:space="preserve">. Given ongoing efforts to scale and integrate VA systems for mortality surveillance across diverse low- and middle-income countries, further validation across globally representative VA datasets is essential to evaluate model robustness, adaptability, and operational utility in practice </w:t>
      </w:r>
      <w:r>
        <w:fldChar w:fldCharType="begin"/>
      </w:r>
      <w:r w:rsidR="00F14B32">
        <w:instrText xml:space="preserve"> ADDIN ZOTERO_ITEM CSL_CITATION {"citationID":"00000047","properties":{"unsorted":false,"formattedCitation":"[78\\uc0\\u8211{}80]","plainCitation":"[78–80]","noteIndex":0},"citationItems":[{"id":3280,"uris":["http://zotero.org/users/6749620/items/VWJDSFDC"],"itemData":{"id":3280,"type":"article-journal","abstract":"Abstract\n            \n              Background\n              In Bangladesh, a poorly functioning national system of registering deaths and determining their causes leaves the country without important information on which to inform health programming, particularly for the 85% of deaths that occur in the community. In 2017, an improved death registration system and automated verbal autopsy (VA) were introduced to 13 upazilas to assess the utility of VA as a routine source of policy-relevant information and to identify leading causes of deaths (COD) in rural Bangladesh.\n            \n            \n              Methods\n              Data from 22,535 VAs, collected in 12 upazilas between October 2017 and August 2019, were assigned a COD using the SmartVA Analyze 2.0 computer algorithm. The plausibility of the VA results was assessed using a series of demographic and epidemiological checks in the Verbal Autopsy Interpretation, Performance and Evaluation Resource (VIPER) software tool.\n            \n            \n              Results\n              Completeness of community death reporting was 65%. The vast majority (85%) of adult deaths were due to non-communicable diseases, with ischemic heart disease, stroke and chronic respiratory disease comprising about 60% alone. Leading COD were broadly consistent with Global Burden of Disease study estimates.\n            \n            \n              Conclusions\n              Routine VA collection using automated methods is feasible, can produce plausible results and provides critical information on community COD in Bangladesh. Routine VA and VIPER have potential application to countries with weak death registration systems.","container-title":"BMC Public Health","DOI":"10.1186/s12889-021-10468-7","ISSN":"1471-2458","issue":"1","journalAbbreviation":"BMC Public Health","language":"en","page":"491","source":"DOI.org (Crossref)","title":"Routine mortality surveillance to identify the cause of death pattern for out-of-hospital adult (aged 12+ years) deaths in Bangladesh: introduction of automated verbal autopsy","title-short":"Routine mortality surveillance to identify the cause of death pattern for out-of-hospital adult (aged 12+ years) deaths in Bangladesh","volume":"21","author":[{"family":"Shawon","given":"Md. Toufiq Hassan"},{"family":"Ashrafi","given":"Shah Ali Akbar"},{"family":"Azad","given":"Abul Kalam"},{"family":"Firth","given":"Sonja M."},{"family":"Chowdhury","given":"Hafizur"},{"family":"Mswia","given":"Robert G."},{"family":"Adair","given":"Tim"},{"family":"Riley","given":"Ian"},{"family":"Abouzahr","given":"Carla"},{"family":"Lopez","given":"Alan D."}],"issued":{"date-parts":[["2021",12]]},"citation-key":"shawonRoutineMortalitySurveillance2021"},"prefix":""},{"id":3282,"uris":["http://zotero.org/users/6749620/items/AC4PMM7S"],"itemData":{"id":3282,"type":"article-journal","container-title":"Global Health Action","DOI":"10.1080/16549716.2024.2399413","ISSN":"1654-9716, 1654-9880","issue":"1","journalAbbreviation":"Global Health Action","language":"en","page":"2399413","source":"DOI.org (Crossref)","title":"Can verbal autopsies be used on a national scale? Key findings and lessons from South Africa's national cause-of-death validation study","title-short":"Can verbal autopsies be used on a national scale?","volume":"17","author":[{"family":"Maqungo","given":"Monique"},{"family":"Nannan","given":"Nadine"},{"family":"Nojilana","given":"Beatrice"},{"family":"Nichols","given":"Erin"},{"family":"Morof","given":"Diane"},{"family":"Cheyip","given":"Mireille"},{"family":"Rao","given":"Chalapati"},{"family":"Lombard","given":"Carl"},{"family":"Price","given":"Jessica"},{"family":"Kahn","given":"Kathleen"},{"family":"Martin","given":"Lorna J."},{"family":"Bezuidenhout","given":"Francois"},{"family":"Laubscher","given":"Ria"},{"family":"Kabudula","given":"Chodziwadziwa"},{"family":"Glass","given":"Tracy"},{"family":"Awotiwon","given":"Oluwatoyin"},{"family":"Zinyakatira","given":"Nesbert"},{"family":"Funani","given":"Noluntu"},{"family":"Joubert","given":"Jané"},{"family":"Bradshaw","given":"Debbie"},{"family":"Groenewald","given":"Pamela"}],"issued":{"date-parts":[["2024",12,31]]},"citation-key":"maqungoCanVerbalAutopsies2024"},"prefix":""},{"id":3284,"uris":["http://zotero.org/users/6749620/items/S55ESM6K"],"itemData":{"id":3284,"type":"article-journal","container-title":"The Lancet Global Health","issue":"8","note":"publisher: Elsevier","page":"e1217–e1218","source":"Google Scholar","title":"Using verbal autopsy to enhance mortality surveillance","volume":"12","author":[{"family":"Onyango","given":"Dickens"},{"family":"Awuonda","given":"Benard"}],"issued":{"date-parts":[["2024"]]},"citation-key":"onyangoUsingVerbalAutopsy2024"},"prefix":""}],"schema":"https://github.com/citation-style-language/schema/raw/master/csl-citation.json"} </w:instrText>
      </w:r>
      <w:r>
        <w:fldChar w:fldCharType="separate"/>
      </w:r>
      <w:r w:rsidR="00F14B32" w:rsidRPr="00F14B32">
        <w:rPr>
          <w:rFonts w:ascii="Aptos" w:cs="Times New Roman"/>
        </w:rPr>
        <w:t>[78–80]</w:t>
      </w:r>
      <w:r>
        <w:fldChar w:fldCharType="end"/>
      </w:r>
      <w:r>
        <w:t>.</w:t>
      </w:r>
    </w:p>
    <w:p w:rsidR="00260484" w:rsidRDefault="00000000">
      <w:pPr>
        <w:pStyle w:val="Heading2"/>
      </w:pPr>
      <w:bookmarkStart w:id="31" w:name="discuss-opp"/>
      <w:bookmarkEnd w:id="27"/>
      <w:bookmarkEnd w:id="30"/>
      <w:r>
        <w:t>Opportunities</w:t>
      </w:r>
    </w:p>
    <w:p w:rsidR="00260484" w:rsidRDefault="00000000">
      <w:pPr>
        <w:pStyle w:val="FirstParagraph"/>
      </w:pPr>
      <w:r>
        <w:t xml:space="preserve">This section explores opportunities to enhance GPT models for assigning CODs. Section </w:t>
      </w:r>
      <w:hyperlink w:anchor="discuss-opp-peng">
        <w:r>
          <w:rPr>
            <w:rStyle w:val="Hyperlink"/>
          </w:rPr>
          <w:t>4.4.1</w:t>
        </w:r>
      </w:hyperlink>
      <w:r>
        <w:t xml:space="preserve"> highlights improvements through prompt engineering and analysis of misclassified cases. Section </w:t>
      </w:r>
      <w:hyperlink w:anchor="discuss-opp-gsurveys">
        <w:r>
          <w:rPr>
            <w:rStyle w:val="Hyperlink"/>
          </w:rPr>
          <w:t>4.4.2</w:t>
        </w:r>
      </w:hyperlink>
      <w:r>
        <w:t xml:space="preserve"> discusses leveraging GPT to improve household survey data quality. Section </w:t>
      </w:r>
      <w:hyperlink w:anchor="discuss-opp-cava">
        <w:r>
          <w:rPr>
            <w:rStyle w:val="Hyperlink"/>
          </w:rPr>
          <w:t>4.4.3</w:t>
        </w:r>
      </w:hyperlink>
      <w:r>
        <w:t xml:space="preserve"> considers integrating GPT with InterVA-5 and InSilicoVA to support and enhance physician COD assignment within VA systems.</w:t>
      </w:r>
    </w:p>
    <w:p w:rsidR="00260484" w:rsidRDefault="00000000">
      <w:pPr>
        <w:pStyle w:val="Heading3"/>
      </w:pPr>
      <w:bookmarkStart w:id="32" w:name="discuss-opp-peng"/>
      <w:r>
        <w:t>Prompt Engineering and Custom Models</w:t>
      </w:r>
    </w:p>
    <w:p w:rsidR="00260484" w:rsidRDefault="00000000">
      <w:pPr>
        <w:pStyle w:val="FirstParagraph"/>
      </w:pPr>
      <w:r>
        <w:t xml:space="preserve">Prompt engineering, the design of input prompts to guide GPT models toward improved outputs </w:t>
      </w:r>
      <w:r>
        <w:fldChar w:fldCharType="begin"/>
      </w:r>
      <w:r w:rsidR="00F14B32">
        <w:instrText xml:space="preserve"> ADDIN ZOTERO_ITEM CSL_CITATION {"citationID":"00000048","properties":{"unsorted":false,"formattedCitation":"[81]","plainCitation":"[81]","noteIndex":0},"citationItems":[{"id":2783,"uris":["http://zotero.org/users/6749620/items/VVJTH7IA"],"itemData":{"id":2783,"type":"article","abstract":"Prompt engineering is a critical technique in the field of natural language processing that involves designing and optimizing the prompts used to input information into models, aiming to enhance their performance on specific tasks. With the recent advancements in large language models, prompt engineering has shown significant superiority across various domains and has become increasingly important in the healthcare domain. However, there is a lack of comprehensive reviews specifically focusing on prompt engineering in the medical field. This review will introduce the latest advances in prompt engineering in the field of natural language processing for the medical field. First, we will provide the development of prompt engineering and emphasize its significant contributions to healthcare natural language processing applications such as question-answering systems, text summarization, and machine translation. With the continuous improvement of general large language models, the importance of prompt engineering in the healthcare domain is becoming increasingly prominent. The aim of this article is to provide useful resources and bridges for healthcare natural language processing researchers to better explore the application of prompt engineering in this field. We hope that this review can provide new ideas and inspire for research and application in medical natural language processing.","DOI":"10.48550/arXiv.2304.14670","note":"arXiv:2304.14670 [cs]","number":"arXiv:2304.14670","publisher":"arXiv","source":"arXiv.org","title":"Prompt Engineering for Healthcare: Methodologies and Applications","title-short":"Prompt Engineering for Healthcare","URL":"http://arxiv.org/abs/2304.14670","author":[{"family":"Wang","given":"Jiaqi"},{"family":"Shi","given":"Enze"},{"family":"Yu","given":"Sigang"},{"family":"Wu","given":"Zihao"},{"family":"Ma","given":"Chong"},{"family":"Dai","given":"Haixing"},{"family":"Yang","given":"Qiushi"},{"family":"Kang","given":"Yanqing"},{"family":"Wu","given":"Jinru"},{"family":"Hu","given":"Huawen"},{"family":"Yue","given":"Chenxi"},{"family":"Zhang","given":"Haiyang"},{"family":"Liu","given":"Yiheng"},{"family":"Pan","given":"Yi"},{"family":"Liu","given":"Zhengliang"},{"family":"Sun","given":"Lichao"},{"family":"Li","given":"Xiang"},{"family":"Ge","given":"Bao"},{"family":"Jiang","given":"Xi"},{"family":"Zhu","given":"Dajiang"},{"family":"Yuan","given":"Yixuan"},{"family":"Shen","given":"Dinggang"},{"family":"Liu","given":"Tianming"},{"family":"Zhang","given":"Shu"}],"accessed":{"date-parts":[["2024",7,6]]},"issued":{"date-parts":[["2024",3,23]]},"citation-key":"wangPromptEngineeringHealthcare2024"},"prefix":""}],"schema":"https://github.com/citation-style-language/schema/raw/master/csl-citation.json"} </w:instrText>
      </w:r>
      <w:r>
        <w:fldChar w:fldCharType="separate"/>
      </w:r>
      <w:r w:rsidR="00F14B32">
        <w:rPr>
          <w:noProof/>
        </w:rPr>
        <w:t>[81]</w:t>
      </w:r>
      <w:r>
        <w:fldChar w:fldCharType="end"/>
      </w:r>
      <w:r>
        <w:t xml:space="preserve">, offers a key opportunity to enhance COD assignment performance. An exploratory analysis in Appendix </w:t>
      </w:r>
      <w:hyperlink w:anchor="app-misclass">
        <w:r>
          <w:rPr>
            <w:rStyle w:val="Hyperlink"/>
          </w:rPr>
          <w:t>8</w:t>
        </w:r>
      </w:hyperlink>
      <w:r>
        <w:t xml:space="preserve"> of misclassified GPT-4 records for neonatal infections identified potential issues related to CGHR-10 code categorization, narrative information </w:t>
      </w:r>
      <w:r>
        <w:lastRenderedPageBreak/>
        <w:t xml:space="preserve">order, and COD assignment guidelines. Collaborating with domain experts (e.g., physicians, specialists) to review misclassified cases could inform prompt refinements that increase correct COD assignments or better align with broader COD categories. Furthermore, iterative prompt adjustments incorporating additional questionnaire data and physician manuals (e.g., via retrieval-augmented generation </w:t>
      </w:r>
      <w:r>
        <w:fldChar w:fldCharType="begin"/>
      </w:r>
      <w:r w:rsidR="00F14B32">
        <w:instrText xml:space="preserve"> ADDIN ZOTERO_ITEM CSL_CITATION {"citationID":"00000049","properties":{"unsorted":false,"formattedCitation":"[82]","plainCitation":"[82]","noteIndex":0},"citationItems":[{"id":3257,"uris":["http://zotero.org/users/6749620/items/4TC8R3L8"],"itemData":{"id":3257,"type":"paper-conference","abstract":"Large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baseline.","collection-title":"NIPS '20","container-title":"Proceedings of the 34th International Conference on Neural Information Processing Systems","event-place":"Red Hook, NY, USA","ISBN":"978-1-71382-954-6","page":"9459–9474","publisher":"Curran Associates Inc.","publisher-place":"Red Hook, NY, USA","source":"ACM Digital Library","title":"Retrieval-augmented generation for knowledge-intensive NLP tasks","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2025",5,25]]},"issued":{"date-parts":[["2020",12,6]]},"citation-key":"lewisRetrievalaugmentedGenerationKnowledgeintensive2020"},"prefix":""}],"schema":"https://github.com/citation-style-language/schema/raw/master/csl-citation.json"} </w:instrText>
      </w:r>
      <w:r>
        <w:fldChar w:fldCharType="separate"/>
      </w:r>
      <w:r w:rsidR="00F14B32">
        <w:rPr>
          <w:noProof/>
        </w:rPr>
        <w:t>[82]</w:t>
      </w:r>
      <w:r>
        <w:fldChar w:fldCharType="end"/>
      </w:r>
      <w:r>
        <w:t xml:space="preserve">) may improve model accuracy </w:t>
      </w:r>
      <w:r>
        <w:fldChar w:fldCharType="begin"/>
      </w:r>
      <w:r w:rsidR="00F14B32">
        <w:instrText xml:space="preserve"> ADDIN ZOTERO_ITEM CSL_CITATION {"citationID":"00000050","properties":{"unsorted":false,"formattedCitation":"[83]","plainCitation":"[83]","noteIndex":0},"citationItems":[{"id":2784,"uris":["http://zotero.org/users/6749620/items/JXX7XP8R"],"itemData":{"id":2784,"type":"article-journal","container-title":"Journal of medical Internet research","note":"publisher: JMIR Publications Toronto, Canada","page":"e50638","source":"Google Scholar","title":"Prompt engineering as an important emerging skill for medical professionals: tutorial","title-short":"Prompt engineering as an important emerging skill for medical professionals","volume":"25","author":[{"family":"Meskó","given":"Bertalan"}],"issued":{"date-parts":[["2023"]]},"citation-key":"meskoPromptEngineeringImportant2023"},"prefix":""}],"schema":"https://github.com/citation-style-language/schema/raw/master/csl-citation.json"} </w:instrText>
      </w:r>
      <w:r>
        <w:fldChar w:fldCharType="separate"/>
      </w:r>
      <w:r w:rsidR="00F14B32">
        <w:rPr>
          <w:noProof/>
        </w:rPr>
        <w:t>[83]</w:t>
      </w:r>
      <w:r>
        <w:fldChar w:fldCharType="end"/>
      </w:r>
      <w:r>
        <w:t xml:space="preserve">. Sensitivity analyses can evaluate how prompt modifications affect performance and output consistency on a cause-specific basis. Additionally, GPT models can be customized to specific domains or contexts, adjusting objectives, behavior, data inputs, privacy considerations, and evaluation criteria to create specialized models optimized for particular CODs or settings </w:t>
      </w:r>
      <w:r>
        <w:fldChar w:fldCharType="begin"/>
      </w:r>
      <w:r w:rsidR="00F14B32">
        <w:instrText xml:space="preserve"> ADDIN ZOTERO_ITEM CSL_CITATION {"citationID":"00000051","properties":{"unsorted":false,"formattedCitation":"[84]","plainCitation":"[84]","noteIndex":0},"citationItems":[{"id":2781,"uris":["http://zotero.org/users/6749620/items/J34WFIDD"],"itemData":{"id":2781,"type":"article-journal","abstract":"The recent advancements in the fields of AI technology, generative AI, and Large Language Models (LLMs) have increased the potential of the deployment of such tools in educational environments, especially in contexts where student assessment fairness, quality, and automation are a priority. This study introduces an AI-enhanced evaluation tool that utilizes OpenAI’s GPT-4 and the recently released custom GPT feature to evaluate the typography designs of 25 students enrolled in the Visual Media diploma offered by King Abdulaziz University. A mixed methods approach is adopted to evaluate the performance of this tool against the rubric-based evaluations offered by two human evaluators, considering both grading and text feedback. The results indicate that there are statistically significant differences between the AI tool’s grading and feedback when compared to that of Evaluator 2; however, none is reported with Evaluator 1. The study presents a qualitative interpretation of the comprehensive feedback by the evaluator and reflects in further research in this area.","container-title":"Education Sciences","DOI":"10.3390/educsci14020148","ISSN":"2227-7102","issue":"2","language":"en","license":"http://creativecommons.org/licenses/by/3.0/","note":"number: 2\npublisher: Multidisciplinary Digital Publishing Institute","page":"148","source":"www.mdpi.com","title":"Development and Evaluation of a Custom GPT for the Assessment of Students’ Designs in a Typography Course","volume":"14","author":[{"family":"Almasre","given":"Miada"}],"issued":{"date-parts":[["2024",2]]},"citation-key":"almasreDevelopmentEvaluationCustom2024"},"prefix":""}],"schema":"https://github.com/citation-style-language/schema/raw/master/csl-citation.json"} </w:instrText>
      </w:r>
      <w:r>
        <w:fldChar w:fldCharType="separate"/>
      </w:r>
      <w:r w:rsidR="00F14B32">
        <w:rPr>
          <w:noProof/>
        </w:rPr>
        <w:t>[84]</w:t>
      </w:r>
      <w:r>
        <w:fldChar w:fldCharType="end"/>
      </w:r>
      <w:r>
        <w:t>.</w:t>
      </w:r>
    </w:p>
    <w:p w:rsidR="00260484" w:rsidRDefault="00000000">
      <w:pPr>
        <w:pStyle w:val="Heading3"/>
      </w:pPr>
      <w:bookmarkStart w:id="33" w:name="discuss-opp-gsurveys"/>
      <w:bookmarkEnd w:id="32"/>
      <w:r>
        <w:t>Guided and Monitored Household Surveys</w:t>
      </w:r>
    </w:p>
    <w:p w:rsidR="00260484" w:rsidRDefault="00000000">
      <w:pPr>
        <w:pStyle w:val="FirstParagraph"/>
      </w:pPr>
      <w:r>
        <w:t xml:space="preserve">Verbal autopsies involve surveyors visiting households to collect information about the deceased from family, friends, or community members. While standardized questionnaires are used, important latent information within free-text narratives often goes uncaptured </w:t>
      </w:r>
      <w:r>
        <w:fldChar w:fldCharType="begin"/>
      </w:r>
      <w:r w:rsidR="00F14B32">
        <w:instrText xml:space="preserve"> ADDIN ZOTERO_ITEM CSL_CITATION {"citationID":"00000052","properties":{"unsorted":false,"formattedCitation":"[26, 28]","plainCitation":"[26, 28]","noteIndex":0},"citationItems":[{"id":2557,"uris":["http://zotero.org/users/6749620/items/IMY94F34"],"itemData":{"id":2557,"type":"article-journal","abstract":"Verbal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Consortium"}],"issued":{"date-parts":[["2016",2,1]]},"citation-key":"kingQualityDiagnosticValue2016"},"prefix":""},{"id":2539,"uris":["http://zotero.org/users/6749620/items/T3TI6D5R"],"itemData":{"id":2539,"type":"article-journal","abstract":"A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schema":"https://github.com/citation-style-language/schema/raw/master/csl-citation.json"} </w:instrText>
      </w:r>
      <w:r>
        <w:fldChar w:fldCharType="separate"/>
      </w:r>
      <w:r w:rsidR="00F14B32">
        <w:rPr>
          <w:noProof/>
        </w:rPr>
        <w:t>[26, 28]</w:t>
      </w:r>
      <w:r>
        <w:fldChar w:fldCharType="end"/>
      </w:r>
      <w:r>
        <w:t xml:space="preserve">. Narrative quality depends heavily on the surveyor’s social skills, cultural understanding, emotional capacity, and medical knowledge, all of which influence data completeness and potential bias </w:t>
      </w:r>
      <w:r>
        <w:fldChar w:fldCharType="begin"/>
      </w:r>
      <w:r w:rsidR="00F14B32">
        <w:instrText xml:space="preserve"> ADDIN ZOTERO_ITEM CSL_CITATION {"citationID":"00000053","properties":{"unsorted":false,"formattedCitation":"[19, 85]","plainCitation":"[19, 85]","noteIndex":0},"citationItems":[{"id":2637,"uris":["http://zotero.org/users/6749620/items/RKA3T55R"],"itemData":{"id":2637,"type":"article-journal","container-title":"Bulletin of the World Health Organization","issue":"3","note":"publisher: SciELO Public Health","page":"239–245","source":"Google Scholar","title":"Verbal autopsy: current practices and challenges","title-short":"Verbal autopsy","volume":"84","author":[{"family":"Soleman","given":"Nadia"},{"family":"Chandramohan","given":"Daniel"},{"family":"Shibuya","given":"Kenji"}],"issued":{"date-parts":[["2006"]]},"citation-key":"solemanVerbalAutopsyCurrent2006"},"prefix":""},{"id":3254,"uris":["http://zotero.org/users/6749620/items/B4P7J5CK"],"itemData":{"id":3254,"type":"article-journal","abstract":"Background\nThe WHO standardised verbal autopsy (VA) instrument includes closed questions, ascertaining signs and symptoms of illness preceding death, and an optional open narrative. As VA analyses increasingly use automated algorithms, inclusion of narratives should be justified. We evaluated the role of open narratives on VA processes, data quality and respondent’s emotional stress.\n\nMethods\nA mixed-methods analysis was conducted using VA data for child deaths (0–59 months), between April 2013 and November 2016 in Mchinji district, Malawi. Deaths were prospectively randomised to receive closed questions only or open narrative followed by closed questions. On concluding the VA, interviewers self-completed questions on respondents’ emotional stress. Logistic regression was used to determine associations with visible emotional distress during VAs. A group discussion with interviewers was conducted at the project end, to understand field experiences and explore future recommendations; data were coded using deductive themes.\n\nResults\n2509 VAs were included, with 49.8% (n=1341) randomised to open narratives. Narratives lasted a median of 7 minuntes (range: 1–113). Interviewers described improved rapport and felt narratives improved data quality, although there was no difference in the proportion of deaths with an indeterminate cause using an automated algorithm (5.3% vs 6.1%). The majority of respondents did not display visible emotional stress (81%). Those with a narrative had higher, but not statistically significant, odds of emotional distress (adjusted OR: 1.20; 95% CI: 0.98 to 1.47). Factors associated with emotional stress were: infant deaths versus neonates; deaths at a health centre or en-route to hospital versus home; and higher socioeconomic status. Non-parental respondents and increased time between death and interview were associated with lower odds of emotional distress.\n\nConclusion\nConducting an open narrative may help build rapport, something valued by the interviewers. However, additional time and emotional burdens should be further justified, with quality and utility of narratives promoted through standardised recommendations.","container-title":"BMJ Paediatrics Open","DOI":"10.1136/bmjpo-2020-000961","ISSN":"2399-9772","issue":"1","journalAbbreviation":"BMJ Paediatr Open","note":"PMID: 33614993\nPMCID: PMC7871275","page":"e000961","source":"PubMed Central","title":"Added value of an open narrative in verbal autopsies: a mixed-methods evaluation from Malawi","title-short":"Added value of an open narrative in verbal autopsies","volume":"5","author":[{"family":"Loh","given":"Patricia"},{"family":"Fottrell","given":"Edward"},{"family":"Beard","given":"James"},{"family":"Bar-Zeev","given":"Naor"},{"family":"Phiri","given":"Tambosi"},{"family":"Banda","given":"Masford"},{"family":"Makwenda","given":"Charles"},{"family":"Bird","given":"Jon"},{"family":"King","given":"Carina"}],"issued":{"date-parts":[["2021",2,5]]},"citation-key":"lohAddedValueOpen2021"},"prefix":""}],"schema":"https://github.com/citation-style-language/schema/raw/master/csl-citation.json"} </w:instrText>
      </w:r>
      <w:r>
        <w:fldChar w:fldCharType="separate"/>
      </w:r>
      <w:r w:rsidR="00F14B32">
        <w:rPr>
          <w:noProof/>
        </w:rPr>
        <w:t>[19, 85]</w:t>
      </w:r>
      <w:r>
        <w:fldChar w:fldCharType="end"/>
      </w:r>
      <w:r>
        <w:t>. GPT models may support surveyors by suggesting improved or overlooked questions during interviews to elicit richer narratives. Moreover, as these models can assign CODs in real-time, they offer the opportunity to monitor data quality during collection. For example, by comparing estimated COD distributions with expected patterns for specific regions as a form of immediate quality control, where surveyors may be required to undergo review when estimated and expected COD distributions diverge significantly.</w:t>
      </w:r>
    </w:p>
    <w:p w:rsidR="00260484" w:rsidRDefault="00000000">
      <w:pPr>
        <w:pStyle w:val="Heading3"/>
      </w:pPr>
      <w:bookmarkStart w:id="34" w:name="discuss-opp-cava"/>
      <w:bookmarkEnd w:id="33"/>
      <w:r>
        <w:t>Computer Assisted Verbal Autopsy (CAVA)</w:t>
      </w:r>
    </w:p>
    <w:p w:rsidR="00260484" w:rsidRDefault="00000000">
      <w:pPr>
        <w:pStyle w:val="FirstParagraph"/>
      </w:pPr>
      <w:r>
        <w:t xml:space="preserve">This study establishes a basis for integrating GPT, InterVA-5, and InSilicoVA models into VA systems to support physicians in assigning CODs. In dual-coded VA systems (Section </w:t>
      </w:r>
      <w:hyperlink w:anchor="methods-data">
        <w:r>
          <w:rPr>
            <w:rStyle w:val="Hyperlink"/>
          </w:rPr>
          <w:t>2.1</w:t>
        </w:r>
      </w:hyperlink>
      <w:r>
        <w:t xml:space="preserve">), two physicians independently assign CODs for each record and review each other’s assignments (reconciliation), while a senior physician adjudicates if disagreements persist. As noted in Section </w:t>
      </w:r>
      <w:hyperlink w:anchor="discuss-adv-hscav">
        <w:r>
          <w:rPr>
            <w:rStyle w:val="Hyperlink"/>
          </w:rPr>
          <w:t>4.1.3</w:t>
        </w:r>
      </w:hyperlink>
      <w:r>
        <w:t xml:space="preserve">, presenting alternative COD suggestions from GPT and InSilicoVA models may reduce physician disagreement and the frequency of ill-defined records, allowing physicians to focus on more complex cases. Model-generated COD suggestions can be offered to physicians after their initial assignment, enabling reconsideration or confirmation of CODs (step 2 and option 2b in Figure </w:t>
      </w:r>
      <w:hyperlink w:anchor="fig-discuss-phyassist">
        <w:r>
          <w:rPr>
            <w:rStyle w:val="Hyperlink"/>
          </w:rPr>
          <w:t>8</w:t>
        </w:r>
      </w:hyperlink>
      <w:r>
        <w:t xml:space="preserve">). Future work will evaluate the impact of these suggestions on improving VA data quality, including increasing physician agreement and reducing ill-defined deaths. GPT-4, InterVA-5, and InSilicoVA suggestions have been incorporated into the ongoing HEAL-SL study </w:t>
      </w:r>
      <w:r>
        <w:fldChar w:fldCharType="begin"/>
      </w:r>
      <w:r w:rsidR="00F14B32">
        <w:instrText xml:space="preserve"> ADDIN ZOTERO_ITEM CSL_CITATION {"citationID":"00000054","properties":{"unsorted":false,"formattedCitation":"[35]","plainCitation":"[35]","noteIndex":0},"citationItems":[{"id":2580,"uris":["http://zotero.org/users/6749620/items/LB3E3IVG"],"itemData":{"id":2580,"type":"webpage","title":"Healthy Sierra Leone","URL":"https://healsl.org/","author":[{"literal":"Njala University"}],"accessed":{"date-parts":[["2024",1,7]]},"issued":{"date-parts":[["2023"]]},"citation-key":"njalauniversityHealthySierraLeone2023"},"prefix":""}],"schema":"https://github.com/citation-style-language/schema/raw/master/csl-citation.json"} </w:instrText>
      </w:r>
      <w:r>
        <w:fldChar w:fldCharType="separate"/>
      </w:r>
      <w:r w:rsidR="00F14B32">
        <w:rPr>
          <w:noProof/>
        </w:rPr>
        <w:t>[35]</w:t>
      </w:r>
      <w:r>
        <w:fldChar w:fldCharType="end"/>
      </w:r>
      <w:r>
        <w:t>, aiming to improve physician agreement and lower ill-defined COD assignments.</w:t>
      </w:r>
    </w:p>
    <w:tbl>
      <w:tblPr>
        <w:tblStyle w:val="Table"/>
        <w:tblW w:w="0" w:type="auto"/>
        <w:jc w:val="center"/>
        <w:tblLook w:val="0600" w:firstRow="0" w:lastRow="0" w:firstColumn="0" w:lastColumn="0" w:noHBand="1" w:noVBand="1"/>
      </w:tblPr>
      <w:tblGrid>
        <w:gridCol w:w="222"/>
      </w:tblGrid>
      <w:tr w:rsidR="00260484">
        <w:trPr>
          <w:jc w:val="center"/>
        </w:trPr>
        <w:tc>
          <w:tcPr>
            <w:tcW w:w="0" w:type="auto"/>
          </w:tcPr>
          <w:p w:rsidR="00260484" w:rsidRDefault="00260484">
            <w:pPr>
              <w:pStyle w:val="Compact"/>
              <w:jc w:val="center"/>
            </w:pPr>
            <w:bookmarkStart w:id="35" w:name="fig-discuss-phyassist"/>
          </w:p>
        </w:tc>
      </w:tr>
    </w:tbl>
    <w:p w:rsidR="00260484" w:rsidRDefault="00000000">
      <w:pPr>
        <w:pStyle w:val="ImageCaption"/>
      </w:pPr>
      <w:r>
        <w:t>Model suggestions integrated in the physician assignment process.</w:t>
      </w:r>
    </w:p>
    <w:p w:rsidR="00260484" w:rsidRDefault="00000000">
      <w:pPr>
        <w:pStyle w:val="Heading1"/>
      </w:pPr>
      <w:bookmarkStart w:id="36" w:name="conclude"/>
      <w:bookmarkEnd w:id="17"/>
      <w:bookmarkEnd w:id="31"/>
      <w:bookmarkEnd w:id="34"/>
      <w:bookmarkEnd w:id="35"/>
      <w:r>
        <w:lastRenderedPageBreak/>
        <w:t>Conclusion</w:t>
      </w:r>
    </w:p>
    <w:p w:rsidR="00260484" w:rsidRDefault="00000000">
      <w:pPr>
        <w:pStyle w:val="FirstParagraph"/>
      </w:pPr>
      <w:r>
        <w:t>This study evaluated the performance of GPT-3.5, GPT-4, InterVA-5, and InSilicoVA models against physicians in assigning CODs for 6,939 VA records from Sierra Leone (2019–2022). At the population level, all models achieved similar CSMF accuracy (0.74–0.79). At the individual level, GPT-4 had the highest performance (0.61 PCCC), followed by GPT-3.5 (0.58), and InSilicoVA/InterVA-5 (0.44). By COD, GPT-4 performed best for 10 of 17 adult, 4 of 8 child, and 3 of 5 neonatal causes, while GPT-3.5 led in 5 adult, 3 child, and 1 neonatal CODs, and InSilicoVA led in 2 adult, 1 child, and 1 neonatal cause. Performance increased (</w:t>
      </w:r>
      <m:oMath>
        <m:r>
          <m:rPr>
            <m:sty m:val="p"/>
          </m:rPr>
          <w:rPr>
            <w:rFonts w:ascii="Cambria Math" w:hAnsi="Cambria Math"/>
          </w:rPr>
          <m:t>∼</m:t>
        </m:r>
      </m:oMath>
      <w:r>
        <w:t>0.1–0.75 PCCC) as children and neonates matured (0 days to 14 years) and decreased (</w:t>
      </w:r>
      <m:oMath>
        <m:r>
          <m:rPr>
            <m:sty m:val="p"/>
          </m:rPr>
          <w:rPr>
            <w:rFonts w:ascii="Cambria Math" w:hAnsi="Cambria Math"/>
          </w:rPr>
          <m:t>∼</m:t>
        </m:r>
      </m:oMath>
      <w:r>
        <w:t>0.7–0.35) with adult aging (15 to 69 years). These findings suggest that combining models tailored to specific CODs and age groups may optimize performance relative to physicians. All models demonstrated scalability and on-demand availability, enabling COD estimation and alternative diagnoses in low-resource or physician-scarce settings. GPT models’ natural language processing capability allowed flexible data input and output, aligning closer to physician reasoning, but issues remain with reproducibility, reliance on historical training data, computational demands, and data privacy. Study limitations included challenges comparing ICD-10 codes across models, limited sensitivity analyses due to costs, and exclusion of multiple COD assignment evaluation. Future research opportunities include prompt engineering and custom GPT models to improve accuracy, guided household surveys to enhance narrative quality, and CAVA systems integrating GPT and other models to support physicians by suggesting alternative COD assignments. GPT-4, InterVA-5, and InSilicoVA have been incorporated into ongoing HEAL-SL study since 2022 to provide second-opinion support for physician COD assignment. Evaluating the impact of computer-assisted VA on physician agreement and reduction of ill-defined deaths will be critical to advancing accurate, efficient VA systems worldwide.</w:t>
      </w:r>
    </w:p>
    <w:p w:rsidR="00260484" w:rsidRDefault="00000000">
      <w:pPr>
        <w:pStyle w:val="BodyText"/>
      </w:pPr>
      <w:r>
        <w:t>Additional files were used to supplement this paper:</w:t>
      </w:r>
    </w:p>
    <w:p w:rsidR="00260484" w:rsidRDefault="00000000">
      <w:pPr>
        <w:numPr>
          <w:ilvl w:val="0"/>
          <w:numId w:val="2"/>
        </w:numPr>
      </w:pPr>
      <w:r>
        <w:t>Additional file 1: Centre for Global Health Research 10 (CGHR-10) codes. Codes grouping ICD-10 code ranges into generalized categories. (.csv)</w:t>
      </w:r>
    </w:p>
    <w:p w:rsidR="00260484" w:rsidRDefault="00000000">
      <w:pPr>
        <w:numPr>
          <w:ilvl w:val="0"/>
          <w:numId w:val="2"/>
        </w:numPr>
      </w:pPr>
      <w:r>
        <w:t>Additional file 2: Central Medical Evaluation Agreement 10 (CMEA-10) codes. ICD-10 code ranges considered in physician agreement. (.csv)</w:t>
      </w:r>
    </w:p>
    <w:p w:rsidR="00260484" w:rsidRDefault="00000000">
      <w:pPr>
        <w:pStyle w:val="FirstParagraph"/>
      </w:pPr>
      <w:r>
        <w:t>TBD.</w:t>
      </w:r>
    </w:p>
    <w:p w:rsidR="00260484" w:rsidRDefault="00000000">
      <w:pPr>
        <w:pStyle w:val="Heading1"/>
      </w:pPr>
      <w:bookmarkStart w:id="37" w:name="declarations"/>
      <w:bookmarkEnd w:id="36"/>
      <w:r>
        <w:t>Declarations</w:t>
      </w:r>
    </w:p>
    <w:p w:rsidR="00260484" w:rsidRDefault="00000000">
      <w:pPr>
        <w:pStyle w:val="Heading2"/>
      </w:pPr>
      <w:bookmarkStart w:id="38" w:name="funding"/>
      <w:r>
        <w:t>Funding</w:t>
      </w:r>
    </w:p>
    <w:p w:rsidR="00260484" w:rsidRDefault="00000000">
      <w:pPr>
        <w:pStyle w:val="FirstParagraph"/>
      </w:pPr>
      <w:r>
        <w:t>TBD.</w:t>
      </w:r>
    </w:p>
    <w:p w:rsidR="00260484" w:rsidRDefault="00000000">
      <w:pPr>
        <w:pStyle w:val="Heading2"/>
      </w:pPr>
      <w:bookmarkStart w:id="39" w:name="competing-interests"/>
      <w:bookmarkEnd w:id="38"/>
      <w:r>
        <w:lastRenderedPageBreak/>
        <w:t>Competing interests</w:t>
      </w:r>
    </w:p>
    <w:p w:rsidR="00260484" w:rsidRDefault="00000000">
      <w:pPr>
        <w:pStyle w:val="FirstParagraph"/>
      </w:pPr>
      <w:r>
        <w:t>Not applicable.</w:t>
      </w:r>
    </w:p>
    <w:p w:rsidR="00260484" w:rsidRDefault="00000000">
      <w:pPr>
        <w:pStyle w:val="Heading2"/>
      </w:pPr>
      <w:bookmarkStart w:id="40" w:name="ethics-approval"/>
      <w:bookmarkEnd w:id="39"/>
      <w:r>
        <w:t>Ethics approval</w:t>
      </w:r>
    </w:p>
    <w:p w:rsidR="00260484" w:rsidRDefault="00000000">
      <w:pPr>
        <w:pStyle w:val="FirstParagraph"/>
      </w:pPr>
      <w:r>
        <w:t>Not applicable.</w:t>
      </w:r>
    </w:p>
    <w:p w:rsidR="00260484" w:rsidRDefault="00000000">
      <w:pPr>
        <w:pStyle w:val="Heading2"/>
      </w:pPr>
      <w:bookmarkStart w:id="41" w:name="consent-for-publication"/>
      <w:bookmarkEnd w:id="40"/>
      <w:r>
        <w:t>Consent for publication</w:t>
      </w:r>
    </w:p>
    <w:p w:rsidR="00260484" w:rsidRDefault="00000000">
      <w:pPr>
        <w:pStyle w:val="FirstParagraph"/>
      </w:pPr>
      <w:r>
        <w:t>Not applicable.</w:t>
      </w:r>
    </w:p>
    <w:p w:rsidR="00260484" w:rsidRDefault="00000000">
      <w:pPr>
        <w:pStyle w:val="Heading2"/>
      </w:pPr>
      <w:bookmarkStart w:id="42" w:name="availability-of-data-and-materials"/>
      <w:bookmarkEnd w:id="41"/>
      <w:r>
        <w:t>Availability of data and materials</w:t>
      </w:r>
    </w:p>
    <w:p w:rsidR="00260484" w:rsidRDefault="00000000">
      <w:pPr>
        <w:pStyle w:val="FirstParagraph"/>
      </w:pPr>
      <w:r>
        <w:t xml:space="preserve">The datasets supporting the conclusions of this article are included within the article (and its additional files), at </w:t>
      </w:r>
      <w:hyperlink r:id="rId5">
        <w:r>
          <w:rPr>
            <w:rStyle w:val="Hyperlink"/>
          </w:rPr>
          <w:t>https://openmortality.org</w:t>
        </w:r>
      </w:hyperlink>
      <w:r>
        <w:t xml:space="preserve"> (available upon request). Verbal Autopsy (VA) and narrative data by age group and survey rounds 1 and 2 available at </w:t>
      </w:r>
      <w:hyperlink r:id="rId6">
        <w:r>
          <w:rPr>
            <w:rStyle w:val="Hyperlink"/>
          </w:rPr>
          <w:t>https://openmortality.org/dataset/heal-sl</w:t>
        </w:r>
      </w:hyperlink>
      <w:r>
        <w:t xml:space="preserve">. Cause of death code mappings to convert between ICD-10, WVA-2016, and CGHR-10 codes available at </w:t>
      </w:r>
      <w:hyperlink r:id="rId7">
        <w:r>
          <w:rPr>
            <w:rStyle w:val="Hyperlink"/>
          </w:rPr>
          <w:t>https://openmortality.org/dataset/icd</w:t>
        </w:r>
      </w:hyperlink>
      <w:r>
        <w:t>.</w:t>
      </w:r>
    </w:p>
    <w:p w:rsidR="00260484" w:rsidRDefault="00000000">
      <w:pPr>
        <w:pStyle w:val="Heading2"/>
      </w:pPr>
      <w:bookmarkStart w:id="43" w:name="code-availability"/>
      <w:bookmarkEnd w:id="42"/>
      <w:r>
        <w:t>Code availability</w:t>
      </w:r>
    </w:p>
    <w:p w:rsidR="00260484" w:rsidRDefault="00000000">
      <w:pPr>
        <w:pStyle w:val="FirstParagraph"/>
      </w:pPr>
      <w:r>
        <w:t xml:space="preserve">All code for this paper is available at </w:t>
      </w:r>
      <w:hyperlink r:id="rId8">
        <w:r>
          <w:rPr>
            <w:rStyle w:val="Hyperlink"/>
          </w:rPr>
          <w:t>https://github.com/cghr-toronto/healsl-gpt-paper</w:t>
        </w:r>
      </w:hyperlink>
      <w:r>
        <w:t>.</w:t>
      </w:r>
    </w:p>
    <w:p w:rsidR="00260484" w:rsidRDefault="00000000">
      <w:pPr>
        <w:pStyle w:val="Heading2"/>
      </w:pPr>
      <w:bookmarkStart w:id="44" w:name="authors-contributions"/>
      <w:bookmarkEnd w:id="43"/>
      <w:r>
        <w:t>Authors’ contributions</w:t>
      </w:r>
    </w:p>
    <w:p w:rsidR="00260484" w:rsidRDefault="00000000">
      <w:pPr>
        <w:pStyle w:val="FirstParagraph"/>
      </w:pPr>
      <w:r>
        <w:t>PJ and PB are the study Principal Investigators. ATA and RK implemented the data collection procedures. RW, and TKSN processed, documented, and prepared the data. RW, ASL, and RK ran the models. RW wrote the paper and conducted the analysis. AB and RCM provided medical domain guidance and feedback. All authors reviewed the results and contributed to the report. All authors read and approved the final manuscript.</w:t>
      </w:r>
    </w:p>
    <w:p w:rsidR="00260484" w:rsidRDefault="00000000">
      <w:pPr>
        <w:pStyle w:val="Heading1"/>
      </w:pPr>
      <w:bookmarkStart w:id="45" w:name="app-methods"/>
      <w:bookmarkEnd w:id="37"/>
      <w:bookmarkEnd w:id="44"/>
      <w:r>
        <w:t>Details on Methods</w:t>
      </w:r>
    </w:p>
    <w:p w:rsidR="00260484" w:rsidRDefault="00000000">
      <w:pPr>
        <w:pStyle w:val="FirstParagraph"/>
      </w:pPr>
      <w:r>
        <w:t xml:space="preserve">This section provides additional details on the methods described in Section </w:t>
      </w:r>
      <w:hyperlink w:anchor="methods">
        <w:r>
          <w:rPr>
            <w:rStyle w:val="Hyperlink"/>
          </w:rPr>
          <w:t>2</w:t>
        </w:r>
      </w:hyperlink>
      <w:r>
        <w:t xml:space="preserve">. An overview of the methods used in this study is seen in Figure </w:t>
      </w:r>
      <w:hyperlink w:anchor="fig-methods">
        <w:r>
          <w:rPr>
            <w:rStyle w:val="Hyperlink"/>
          </w:rPr>
          <w:t>9</w:t>
        </w:r>
      </w:hyperlink>
      <w:r>
        <w:t xml:space="preserve"> as a five-step process. Section </w:t>
      </w:r>
      <w:hyperlink w:anchor="app-methods-data">
        <w:r>
          <w:rPr>
            <w:rStyle w:val="Hyperlink"/>
          </w:rPr>
          <w:t>6.1</w:t>
        </w:r>
      </w:hyperlink>
      <w:r>
        <w:t xml:space="preserve"> provides details on the preprocessed data used for modelling. Section </w:t>
      </w:r>
      <w:hyperlink w:anchor="app-methods-model">
        <w:r>
          <w:rPr>
            <w:rStyle w:val="Hyperlink"/>
          </w:rPr>
          <w:t>6.2</w:t>
        </w:r>
      </w:hyperlink>
      <w:r>
        <w:t xml:space="preserve"> describes the data and parameter inputs and outputs for each model, while Section </w:t>
      </w:r>
      <w:hyperlink w:anchor="app-methods-eval">
        <w:r>
          <w:rPr>
            <w:rStyle w:val="Hyperlink"/>
          </w:rPr>
          <w:t>6.3</w:t>
        </w:r>
      </w:hyperlink>
      <w:r>
        <w:t xml:space="preserve"> details the evaluation of model outputs at the individual and population level across different CODs, age groups, and ages.</w:t>
      </w:r>
    </w:p>
    <w:tbl>
      <w:tblPr>
        <w:tblStyle w:val="Table"/>
        <w:tblW w:w="0" w:type="auto"/>
        <w:jc w:val="center"/>
        <w:tblLook w:val="0600" w:firstRow="0" w:lastRow="0" w:firstColumn="0" w:lastColumn="0" w:noHBand="1" w:noVBand="1"/>
      </w:tblPr>
      <w:tblGrid>
        <w:gridCol w:w="222"/>
      </w:tblGrid>
      <w:tr w:rsidR="00260484">
        <w:trPr>
          <w:jc w:val="center"/>
        </w:trPr>
        <w:tc>
          <w:tcPr>
            <w:tcW w:w="0" w:type="auto"/>
          </w:tcPr>
          <w:p w:rsidR="00260484" w:rsidRDefault="00260484">
            <w:pPr>
              <w:pStyle w:val="Compact"/>
              <w:jc w:val="center"/>
            </w:pPr>
            <w:bookmarkStart w:id="46" w:name="fig-methods"/>
          </w:p>
        </w:tc>
      </w:tr>
    </w:tbl>
    <w:p w:rsidR="00260484" w:rsidRDefault="00000000">
      <w:pPr>
        <w:pStyle w:val="ImageCaption"/>
      </w:pPr>
      <w:r>
        <w:t>Detailed study methods.</w:t>
      </w:r>
    </w:p>
    <w:p w:rsidR="00260484" w:rsidRDefault="00000000">
      <w:pPr>
        <w:pStyle w:val="Heading2"/>
      </w:pPr>
      <w:bookmarkStart w:id="47" w:name="app-methods-data"/>
      <w:bookmarkEnd w:id="46"/>
      <w:r>
        <w:lastRenderedPageBreak/>
        <w:t>CGHR-10 Physician Agreed Records</w:t>
      </w:r>
    </w:p>
    <w:p w:rsidR="00260484" w:rsidRDefault="00000000">
      <w:pPr>
        <w:pStyle w:val="FirstParagraph"/>
      </w:pPr>
      <w:r>
        <w:t>Initially, 11,920 records were collected from dual-coded EVA in the HEAL-SL study. Physicians were able to assign CODs for 11,820 of the 11,920 records, where 100 of these records could not be assigned a COD due to missing or inadequate information (e.g. low quality narrative, data loss). The 11,820 physician coded records were further filtered for records where both physicians agreed on the assigned codes (records that were not reconciled or adjudicated) resulting in 6942 physician agreed records (based on comparisons using CMEA-10 codes, see Additional File 2). The 6942 records were converted into CGHR-10 codes (see Additional File 1) that generalized ICD-10 codes into 19, 10, and 7 categories for the adult (12 to 69 years), child (28 days to 11 years), and neonatal (under 28 days) age groups. After conversion, a final total of 6939 physician agreed records (3826 adult, 2636 child, and 477 neonatal) were used for modelling and performance evaluation, where three records were removed as their ICD-10 codes did not have a matching CGHR-10 code.</w:t>
      </w:r>
    </w:p>
    <w:p w:rsidR="00260484" w:rsidRDefault="00000000">
      <w:pPr>
        <w:pStyle w:val="BodyText"/>
      </w:pPr>
      <w:r>
        <w:t xml:space="preserve">The 6939 physician agreed records were collected using VA from the HEAL-SL study between 2019-2022, where records were collected using nation wide samples across Sierra Leone provinces seen in Figure </w:t>
      </w:r>
      <w:hyperlink w:anchor="fig-map">
        <w:r>
          <w:rPr>
            <w:rStyle w:val="Hyperlink"/>
          </w:rPr>
          <w:t>10</w:t>
        </w:r>
      </w:hyperlink>
      <w:r>
        <w:t xml:space="preserve">. More populous areas (e.g. southern and north east provinces with </w:t>
      </w:r>
      <m:oMath>
        <m:r>
          <m:rPr>
            <m:sty m:val="p"/>
          </m:rPr>
          <w:rPr>
            <w:rFonts w:ascii="Cambria Math" w:hAnsi="Cambria Math"/>
          </w:rPr>
          <m:t>∼</m:t>
        </m:r>
      </m:oMath>
      <w:r>
        <w:t xml:space="preserve">197,000 and </w:t>
      </w:r>
      <m:oMath>
        <m:r>
          <m:rPr>
            <m:sty m:val="p"/>
          </m:rPr>
          <w:rPr>
            <w:rFonts w:ascii="Cambria Math" w:hAnsi="Cambria Math"/>
          </w:rPr>
          <m:t>∼</m:t>
        </m:r>
      </m:oMath>
      <w:r>
        <w:t xml:space="preserve">135,000 population respectively) had more sampling areas versus less populous areas (e.g. north west and eastern provinces with </w:t>
      </w:r>
      <m:oMath>
        <m:r>
          <m:rPr>
            <m:sty m:val="p"/>
          </m:rPr>
          <w:rPr>
            <w:rFonts w:ascii="Cambria Math" w:hAnsi="Cambria Math"/>
          </w:rPr>
          <m:t>∼</m:t>
        </m:r>
      </m:oMath>
      <w:r>
        <w:t xml:space="preserve">50,000 and </w:t>
      </w:r>
      <m:oMath>
        <m:r>
          <m:rPr>
            <m:sty m:val="p"/>
          </m:rPr>
          <w:rPr>
            <w:rFonts w:ascii="Cambria Math" w:hAnsi="Cambria Math"/>
          </w:rPr>
          <m:t>∼</m:t>
        </m:r>
      </m:oMath>
      <w:r>
        <w:t xml:space="preserve">69,000 people respectively). The distribution of the study data are shown by CGHR-10 causes of death in Table </w:t>
      </w:r>
      <w:hyperlink w:anchor="tab-data-cod">
        <w:r>
          <w:rPr>
            <w:rStyle w:val="Hyperlink"/>
          </w:rPr>
          <w:t>[tab-data-cod]</w:t>
        </w:r>
      </w:hyperlink>
      <w:r>
        <w:t xml:space="preserve">. All age groups had relatively evenly distributed female and male records (44-55% of 6939 records each). Across CODs, there were noticeably more female records for cancers (65%), and maternal conditions (100%), while more male records for chronic respiratory diseases (61%), other noncommunicable diseases (61%), other injuries (77%), road and transport injuries (71%), and tuberculosis (68%). Most records were coded by physicians as malaria for adults (20%) and children (52%), and stillbirth (36%) and neonatal infections (21%) for neonates. Suicide, congenital anomalies, nutritional deficiencies, and other had low sample sizes for each age group (&lt;1% of total records for each age group). Table </w:t>
      </w:r>
      <w:hyperlink w:anchor="tab-data-age">
        <w:r>
          <w:rPr>
            <w:rStyle w:val="Hyperlink"/>
          </w:rPr>
          <w:t>[tab-data-age]</w:t>
        </w:r>
      </w:hyperlink>
      <w:r>
        <w:t xml:space="preserve"> shows the distribution of the study data by age. Across ages, there were more male records for 50-59 years (60-62%), while all other records had between 49-59% female and male records. Most records were in the 65-69 years age range for adults (15%), 1-5 years for children (62%), and 0-6 days for neonates (83%).</w:t>
      </w:r>
    </w:p>
    <w:tbl>
      <w:tblPr>
        <w:tblStyle w:val="Table"/>
        <w:tblW w:w="0" w:type="auto"/>
        <w:jc w:val="center"/>
        <w:tblLook w:val="0600" w:firstRow="0" w:lastRow="0" w:firstColumn="0" w:lastColumn="0" w:noHBand="1" w:noVBand="1"/>
      </w:tblPr>
      <w:tblGrid>
        <w:gridCol w:w="222"/>
      </w:tblGrid>
      <w:tr w:rsidR="00260484">
        <w:trPr>
          <w:jc w:val="center"/>
        </w:trPr>
        <w:tc>
          <w:tcPr>
            <w:tcW w:w="0" w:type="auto"/>
          </w:tcPr>
          <w:p w:rsidR="00260484" w:rsidRDefault="00260484">
            <w:pPr>
              <w:pStyle w:val="Compact"/>
              <w:jc w:val="center"/>
            </w:pPr>
            <w:bookmarkStart w:id="48" w:name="fig-map"/>
          </w:p>
        </w:tc>
      </w:tr>
    </w:tbl>
    <w:p w:rsidR="00260484" w:rsidRDefault="00000000">
      <w:pPr>
        <w:pStyle w:val="ImageCaption"/>
      </w:pPr>
      <w:r>
        <w:t>Study data sampling areas.</w:t>
      </w:r>
    </w:p>
    <w:bookmarkEnd w:id="48"/>
    <w:p w:rsidR="00260484" w:rsidRDefault="00000000">
      <w:pPr>
        <w:pStyle w:val="BodyText"/>
      </w:pPr>
      <w:r>
        <w:t>@lllll@ Age Group &amp; CGHR-10 Cause of Death (COD) &amp; Female &amp; Male &amp; Total</w:t>
      </w:r>
      <w:r>
        <w:br/>
        <w:t>&amp; Acute Respiratory Infections &amp; 48 (45.7%) &amp; 57 (54.3%) &amp; 105 (2.7%)</w:t>
      </w:r>
      <w:r>
        <w:br/>
        <w:t>&amp; Cancers &amp; 32 (65.3%) &amp; 17 (34.7%) &amp; 49 (1.3%)</w:t>
      </w:r>
      <w:r>
        <w:br/>
        <w:t>&amp; Chronic Respiratory Diseases &amp; 29 (38.7%) &amp; 46 (61.3%) &amp; 75 (2%)</w:t>
      </w:r>
      <w:r>
        <w:br/>
        <w:t>&amp; Diabetes Mellitus &amp; 14 (51.9%) &amp; 13 (48.1%) &amp; 27 (0.7%)</w:t>
      </w:r>
      <w:r>
        <w:br/>
        <w:t>&amp; Diarrhoeal Diseases &amp; 102 (49.8%) &amp; 103 (50.2%) &amp; 205 (5.4%)</w:t>
      </w:r>
      <w:r>
        <w:br/>
      </w:r>
      <w:r>
        <w:lastRenderedPageBreak/>
        <w:t>&amp; Ill-Defined &amp; 56 (47.9%) &amp; 61 (52.1%) &amp; 117 (3.1%)</w:t>
      </w:r>
      <w:r>
        <w:br/>
        <w:t>&amp; Ischemic Heart Disease &amp; 89 (53%) &amp; 79 (47%) &amp; 168 (4.4%)</w:t>
      </w:r>
      <w:r>
        <w:br/>
        <w:t>&amp; Liver And Alcohol Related Diseases &amp; 58 (45.3%) &amp; 70 (54.7%) &amp; 128 (3.3%)</w:t>
      </w:r>
      <w:r>
        <w:br/>
        <w:t>&amp; Malaria &amp; 372 (46.6%) &amp; 427 (53.4%) &amp; 799 (20.9%)</w:t>
      </w:r>
      <w:r>
        <w:br/>
        <w:t>&amp; Maternal Conditions &amp; 130 (100%) &amp; N/A &amp; 130 (3.4%)</w:t>
      </w:r>
      <w:r>
        <w:br/>
        <w:t>&amp; Other Cardiovascular Diseases &amp; 59 (55.1%) &amp; 48 (44.9%) &amp; 107 (2.8%)</w:t>
      </w:r>
      <w:r>
        <w:br/>
        <w:t>&amp; Other Noncommunicable Diseases &amp; 160 (38.6%) &amp; 254 (61.4%) &amp; 414 (10.8%)</w:t>
      </w:r>
      <w:r>
        <w:br/>
        <w:t>&amp; Other Injuries &amp; 83 (23.2%) &amp; 274 (76.8%) &amp; 357 (9.3%)</w:t>
      </w:r>
      <w:r>
        <w:br/>
        <w:t>&amp; Road And Transport Injuries &amp; 73 (29.1%) &amp; 178 (70.9%) &amp; 251 (6.6%)</w:t>
      </w:r>
      <w:r>
        <w:br/>
        <w:t>&amp; Stroke &amp; 147 (44.4%) &amp; 184 (55.6%) &amp; 331 (8.7%)</w:t>
      </w:r>
      <w:r>
        <w:br/>
        <w:t>&amp; Suicide &amp; N/A &amp; 3 (100%) &amp; 3 (0.1%)</w:t>
      </w:r>
      <w:r>
        <w:br/>
        <w:t>&amp; Tuberculosis &amp; 54 (31.6%) &amp; 117 (68.4%) &amp; 171 (4.5%)</w:t>
      </w:r>
      <w:r>
        <w:br/>
        <w:t>&amp; Unspecified Infections &amp; 175 (45%) &amp; 214 (55%) &amp; 389 (10.2%)</w:t>
      </w:r>
      <w:r>
        <w:br/>
        <w:t>&amp; Congenital Anomalies &amp; 1 (100%) &amp; N/A &amp; 1 (0%)</w:t>
      </w:r>
      <w:r>
        <w:br/>
        <w:t>&amp; Diarrhoeal Diseases &amp; 79 (45.1%) &amp; 96 (54.9%) &amp; 175 (6.6%)</w:t>
      </w:r>
      <w:r>
        <w:br/>
        <w:t>&amp; &amp; 61 (53.5%) &amp; 53 (46.5%) &amp; 114 (4.3%)</w:t>
      </w:r>
      <w:r>
        <w:br/>
        <w:t>&amp; Ill-Defined &amp; 34 (48.6%) &amp; 36 (51.4%) &amp; 70 (2.7%)</w:t>
      </w:r>
      <w:r>
        <w:br/>
        <w:t>&amp; Injuries &amp; 51 (37.8%) &amp; 84 (62.2%) &amp; 135 (5.1%)</w:t>
      </w:r>
      <w:r>
        <w:br/>
        <w:t>&amp; Malaria &amp; 680 (49.2%) &amp; 702 (50.8%) &amp; 1382 (52.4%)</w:t>
      </w:r>
      <w:r>
        <w:br/>
        <w:t>&amp; Nutritional Deficiencies &amp; 7 (63.6%) &amp; 4 (36.4%) &amp; 11 (0.4%)</w:t>
      </w:r>
      <w:r>
        <w:br/>
        <w:t>&amp; Other Infections &amp; 338 (50.7%) &amp; 329 (49.3%) &amp; 667 (25.3%)</w:t>
      </w:r>
      <w:r>
        <w:br/>
        <w:t>&amp; Pneumonia &amp; 39 (48.1%) &amp; 42 (51.9%) &amp; 81 (3.1%)</w:t>
      </w:r>
      <w:r>
        <w:br/>
        <w:t>&amp; Birth Asphyxia And Birth Trauma &amp; 38 (36.9%) &amp; 65 (63.1%) &amp; 103 (21.6%)</w:t>
      </w:r>
      <w:r>
        <w:br/>
        <w:t>&amp; Congenital Anomalies &amp; 2 (100%) &amp; N/A &amp; 2 (0.4%)</w:t>
      </w:r>
      <w:r>
        <w:br/>
        <w:t>&amp; Ill-Defined &amp; 11 (47.8%) &amp; 12 (52.2%) &amp; 23 (4.8%)</w:t>
      </w:r>
      <w:r>
        <w:br/>
        <w:t>&amp; Neonatal Infections &amp; 49 (49.5%) &amp; 50 (50.5%) &amp; 99 (20.8%)</w:t>
      </w:r>
      <w:r>
        <w:br/>
        <w:t>&amp; Other &amp; 2 (40%) &amp; 3 (60%) &amp; 5 (1%)</w:t>
      </w:r>
      <w:r>
        <w:br/>
        <w:t>&amp; Prematurity And Low Birthweight &amp; 39 (53.4%) &amp; 34 (46.6%) &amp; 73 (15.3%)</w:t>
      </w:r>
      <w:r>
        <w:br/>
        <w:t>&amp; Stillbirth &amp; 86 (50%) &amp; 86 (50%) &amp; 172 (36.1%)</w:t>
      </w:r>
      <w:r>
        <w:br/>
      </w:r>
    </w:p>
    <w:p w:rsidR="00260484" w:rsidRDefault="00000000">
      <w:pPr>
        <w:pStyle w:val="BodyText"/>
      </w:pPr>
      <w:r>
        <w:t>@lllll@ Age Group &amp; Age Range &amp; Female &amp; Male &amp; Total</w:t>
      </w:r>
      <w:r>
        <w:br/>
        <w:t>&amp; 12-14 Years &amp; 51 (37.8%) &amp; 84 (62.2%) &amp; 135 (3.5%)</w:t>
      </w:r>
      <w:r>
        <w:br/>
        <w:t>&amp; 15-19 Years &amp; 115 (42.8%) &amp; 154 (57.2%) &amp; 269 (7%)</w:t>
      </w:r>
      <w:r>
        <w:br/>
        <w:t>&amp; 20-24 Years &amp; 146 (53.1%) &amp; 129 (46.9%) &amp; 275 (7.2%)</w:t>
      </w:r>
      <w:r>
        <w:br/>
        <w:t>&amp; 25-29 Years &amp; 159 (45.2%) &amp; 193 (54.8%) &amp; 352 (9.2%)</w:t>
      </w:r>
      <w:r>
        <w:br/>
        <w:t>&amp; 30-34 Years &amp; 174 (50.9%) &amp; 168 (49.1%) &amp; 342 (8.9%)</w:t>
      </w:r>
      <w:r>
        <w:br/>
        <w:t>&amp; 35-39 Years &amp; 153 (45.4%) &amp; 184 (54.6%) &amp; 337 (8.8%)</w:t>
      </w:r>
      <w:r>
        <w:br/>
        <w:t>&amp; 40-44 Years &amp; 134 (42%) &amp; 185 (58%) &amp; 319 (8.3%)</w:t>
      </w:r>
      <w:r>
        <w:br/>
        <w:t>&amp; 45-49 Years &amp; 148 (47%) &amp; 167 (53%) &amp; 315 (8.2%)</w:t>
      </w:r>
      <w:r>
        <w:br/>
        <w:t>&amp; 50-54 Years &amp; 134 (39.6%) &amp; 204 (60.4%) &amp; 338 (8.8%)</w:t>
      </w:r>
      <w:r>
        <w:br/>
        <w:t>&amp; 55-59 Years &amp; 96 (37.6%) &amp; 159 (62.4%) &amp; 255 (6.7%)</w:t>
      </w:r>
      <w:r>
        <w:br/>
        <w:t>&amp; 60-64 Years &amp; 128 (40.8%) &amp; 186 (59.2%) &amp; 314 (8.2%)</w:t>
      </w:r>
      <w:r>
        <w:br/>
        <w:t>&amp; 65-69 Years &amp; 243 (42.3%) &amp; 332 (57.7%) &amp; 575 (15%)</w:t>
      </w:r>
      <w:r>
        <w:br/>
      </w:r>
      <w:r>
        <w:lastRenderedPageBreak/>
        <w:t>&amp; 1-5 Months &amp; 146 (47.4%) &amp; 162 (52.6%) &amp; 308 (11.7%)</w:t>
      </w:r>
      <w:r>
        <w:br/>
        <w:t>&amp; 6-11 Months &amp; 160 (50.8%) &amp; 155 (49.2%) &amp; 315 (11.9%)</w:t>
      </w:r>
      <w:r>
        <w:br/>
        <w:t>&amp; 1-5 Years &amp; 822 (50.3%) &amp; 811 (49.7%) &amp; 1633 (61.9%)</w:t>
      </w:r>
      <w:r>
        <w:br/>
        <w:t>&amp; 6-11 Years &amp; 162 (42.6%) &amp; 218 (57.4%) &amp; 380 (14.4%)</w:t>
      </w:r>
      <w:r>
        <w:br/>
        <w:t>&amp; 0-6 Days &amp; 184 (46.6%) &amp; 211 (53.4%) &amp; 395 (82.8%)</w:t>
      </w:r>
      <w:r>
        <w:br/>
        <w:t>&amp; 7-27 Days &amp; 43 (52.4%) &amp; 39 (47.6%) &amp; 82 (17.2%)</w:t>
      </w:r>
      <w:r>
        <w:br/>
      </w:r>
      <w:r>
        <w:br/>
      </w:r>
      <w:r>
        <w:br/>
      </w:r>
    </w:p>
    <w:p w:rsidR="00260484" w:rsidRDefault="00000000">
      <w:pPr>
        <w:pStyle w:val="Heading2"/>
      </w:pPr>
      <w:bookmarkStart w:id="49" w:name="app-methods-model"/>
      <w:bookmarkEnd w:id="47"/>
      <w:r>
        <w:t>Modelling Details</w:t>
      </w:r>
    </w:p>
    <w:p w:rsidR="00260484" w:rsidRDefault="00000000">
      <w:pPr>
        <w:pStyle w:val="FirstParagraph"/>
      </w:pPr>
      <w:r>
        <w:t xml:space="preserve">Each model (GPT-3.5, GPT-4, InSilicoVA, and InterVA-5) required pre-processing of the 6939 records into input data, and standardization of output COD codes from models for performance evaluation as not all models produced comparable codes across outputs. Although each model can assign multiple CODs per record, only the first generated COD response from GPT-3.5 and GPT-4, and the most probable COD from InterVA-5 and InSilicoVA were used for evaluation. Section </w:t>
      </w:r>
      <w:hyperlink w:anchor="app-methods-input">
        <w:r>
          <w:rPr>
            <w:rStyle w:val="Hyperlink"/>
          </w:rPr>
          <w:t>6.2.1</w:t>
        </w:r>
      </w:hyperlink>
      <w:r>
        <w:t xml:space="preserve"> describes the input data and parameters for each model, while Section </w:t>
      </w:r>
      <w:hyperlink w:anchor="app-methods-output">
        <w:r>
          <w:rPr>
            <w:rStyle w:val="Hyperlink"/>
          </w:rPr>
          <w:t>6.2.3</w:t>
        </w:r>
      </w:hyperlink>
      <w:r>
        <w:t xml:space="preserve"> details the outputs from running each model.</w:t>
      </w:r>
    </w:p>
    <w:p w:rsidR="00260484" w:rsidRDefault="00000000">
      <w:pPr>
        <w:pStyle w:val="Heading3"/>
      </w:pPr>
      <w:bookmarkStart w:id="50" w:name="app-methods-input"/>
      <w:r>
        <w:t>Input Data and Preprocessing</w:t>
      </w:r>
    </w:p>
    <w:p w:rsidR="00260484" w:rsidRDefault="00000000">
      <w:pPr>
        <w:pStyle w:val="FirstParagraph"/>
      </w:pPr>
      <w:r>
        <w:t>For GPT-3.5 and GPT-4, 6939 text prompts were generated for each physician agreed record as input to instruct the models to assign CODs based on the open narratives. Two types of text prompts were used: user prompts and system prompts. System prompts contained textual instructions to assign the role of a physician ICD-10 coder with expertise in Sierra Leone. The following system prompt was used for each record:</w:t>
      </w:r>
    </w:p>
    <w:p w:rsidR="00260484" w:rsidRDefault="00000000">
      <w:pPr>
        <w:pStyle w:val="SourceCode"/>
      </w:pPr>
      <w:r>
        <w:rPr>
          <w:rStyle w:val="VerbatimChar"/>
        </w:rPr>
        <w:t>You are a physician with expertise in determining underlying causes of death in Sierra Leone by assigning the most probable ICD-10 code for each death using verbal autopsy narratives. Return only the ICD-10 code without description. E.g. A00. If there are multiple ICD-10 codes, show one code per line.</w:t>
      </w:r>
    </w:p>
    <w:p w:rsidR="00260484" w:rsidRDefault="00000000">
      <w:pPr>
        <w:pStyle w:val="FirstParagraph"/>
      </w:pPr>
      <w:r>
        <w:t xml:space="preserve">User prompts contained textual instructions to perform coding of VA records based on the age, sex, and narrative of the deceased. The following template was used to generate user prompts for each record, where </w:t>
      </w:r>
      <w:r>
        <w:rPr>
          <w:rStyle w:val="VerbatimChar"/>
        </w:rPr>
        <w:t>&lt;age&gt;</w:t>
      </w:r>
      <w:r>
        <w:t xml:space="preserve"> and </w:t>
      </w:r>
      <w:r>
        <w:rPr>
          <w:rStyle w:val="VerbatimChar"/>
        </w:rPr>
        <w:t>&lt;sex&gt;</w:t>
      </w:r>
      <w:r>
        <w:t xml:space="preserve"> from the questionnaire, and </w:t>
      </w:r>
      <w:r>
        <w:rPr>
          <w:rStyle w:val="VerbatimChar"/>
        </w:rPr>
        <w:t>&lt;narrative&gt;</w:t>
      </w:r>
      <w:r>
        <w:t xml:space="preserve"> from the narratives, were replaced with values from the data:</w:t>
      </w:r>
    </w:p>
    <w:p w:rsidR="00260484" w:rsidRDefault="00000000">
      <w:pPr>
        <w:pStyle w:val="SourceCode"/>
      </w:pPr>
      <w:r>
        <w:rPr>
          <w:rStyle w:val="VerbatimChar"/>
        </w:rPr>
        <w:t>Determine the underlying cause of death and provide the most probable ICD-10 code for a verbal autopsy narrative of a &lt;age&gt; years old &lt;sex&gt; death in Sierra Leone:  &lt;narrative&gt;</w:t>
      </w:r>
    </w:p>
    <w:p w:rsidR="00260484" w:rsidRDefault="00000000">
      <w:pPr>
        <w:pStyle w:val="FirstParagraph"/>
      </w:pPr>
      <w:r>
        <w:t xml:space="preserve">For InterVA-5 and InSilicoVA, the standardized questionnaire data from the HEAL-SL EVA were first converted into 2016 World Health Organization (WHO) VA questionnaire revision 1.5.1 Open Data Kit (ODK) format </w:t>
      </w:r>
      <w:r>
        <w:fldChar w:fldCharType="begin"/>
      </w:r>
      <w:r w:rsidR="00F14B32">
        <w:instrText xml:space="preserve"> ADDIN ZOTERO_ITEM CSL_CITATION {"citationID":"00000055","properties":{"unsorted":false,"formattedCitation":"[86, 87]","plainCitation":"[86, 87]","noteIndex":0},"citationItems":[{"id":2670,"uris":["http://zotero.org/users/6749620/items/GD6ZFPJW"],"itemData":{"id":2670,"type":"webpage","abstract":"Publications of the World Health Organization","language":"en","title":"ODK for verbal autopsy: A quick guide","title-short":"ODK for verbal autopsy","URL":"https://www.who.int/publications/m/item/odk-for-verbal-autopsy--a-quick-guide","author":[{"literal":"World Health Organization"}],"accessed":{"date-parts":[["2024",1,24]]},"issued":{"date-parts":[["2022"]]},"citation-key":"worldhealthorganizationODKVerbalAutopsy2022"},"prefix":""},{"id":2600,"uris":["http://zotero.org/users/6749620/items/RD3U84K3"],"itemData":{"id":2600,"type":"software","abstract":"Powerful forms to collect the data you need wherever it is. Join the researchers, field teams, and other professionals using ODK to collect data that matters.","title":"ODK - Collect data anywhere","URL":"https://getodk.org","author":[{"literal":"Nafundi"}],"accessed":{"date-parts":[["2024",1,10]]},"issued":{"date-parts":[["2023"]]},"citation-key":"nafundiODKCollectData2023"},"prefix":""}],"schema":"https://github.com/citation-style-language/schema/raw/master/csl-citation.json"} </w:instrText>
      </w:r>
      <w:r>
        <w:fldChar w:fldCharType="separate"/>
      </w:r>
      <w:r w:rsidR="00F14B32">
        <w:rPr>
          <w:noProof/>
        </w:rPr>
        <w:t>[86, 87]</w:t>
      </w:r>
      <w:r>
        <w:fldChar w:fldCharType="end"/>
      </w:r>
      <w:r>
        <w:t xml:space="preserve"> consisting of 526 variables </w:t>
      </w:r>
      <w:r>
        <w:fldChar w:fldCharType="begin"/>
      </w:r>
      <w:r w:rsidR="00F14B32">
        <w:instrText xml:space="preserve"> ADDIN ZOTERO_ITEM CSL_CITATION {"citationID":"00000056","properties":{"unsorted":false,"formattedCitation":"[88]","plainCitation":"[88]","noteIndex":0},"citationItems":[{"id":2672,"uris":["http://zotero.org/users/6749620/items/ZGTAVBVF"],"itemData":{"id":2672,"type":"software","abstract":"Release 1.1 including extended hints","publisher":"Swiss Tropical and Public Health Institute","title":"Release ODK 2016 WHO VA instrument 1.5.1 SwissTPH/WHO-VA","URL":"https://github.com/SwissTPH/WHO-VA/releases/tag/1.5%2C1","version":"1.5.1","author":[{"family":"DiPasquale","given":"Aurelio"},{"family":"Maire","given":"Nicolas"},{"family":"Bratschi","given":"Martin"}],"accessed":{"date-parts":[["2024",1,24]]},"issued":{"date-parts":[["2016"]]},"citation-key":"dipasqualeReleaseODK20162016"},"prefix":""}],"schema":"https://github.com/citation-style-language/schema/raw/master/csl-citation.json"} </w:instrText>
      </w:r>
      <w:r>
        <w:fldChar w:fldCharType="separate"/>
      </w:r>
      <w:r w:rsidR="00F14B32">
        <w:rPr>
          <w:noProof/>
        </w:rPr>
        <w:t>[88]</w:t>
      </w:r>
      <w:r>
        <w:fldChar w:fldCharType="end"/>
      </w:r>
      <w:r>
        <w:t xml:space="preserve">, followed by further conversion into OpenVA format </w:t>
      </w:r>
      <w:r>
        <w:fldChar w:fldCharType="begin"/>
      </w:r>
      <w:r w:rsidR="00F14B32">
        <w:instrText xml:space="preserve"> ADDIN ZOTERO_ITEM CSL_CITATION {"citationID":"00000057","properties":{"unsorted":false,"formattedCitation":"[43]","plainCitation":"[43]","noteIndex":0},"citationItems":[{"id":2598,"uris":["http://zotero.org/users/6749620/items/9K6D3V3X"],"itemData":{"id":2598,"type":"article-journal","abstract":"Verbal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fldChar w:fldCharType="separate"/>
      </w:r>
      <w:r w:rsidR="00F14B32">
        <w:rPr>
          <w:noProof/>
        </w:rPr>
        <w:t>[43]</w:t>
      </w:r>
      <w:r>
        <w:fldChar w:fldCharType="end"/>
      </w:r>
      <w:r>
        <w:t xml:space="preserve"> consisting of 353 variables </w:t>
      </w:r>
      <w:r>
        <w:fldChar w:fldCharType="begin"/>
      </w:r>
      <w:r w:rsidR="00F14B32">
        <w:instrText xml:space="preserve"> ADDIN ZOTERO_ITEM CSL_CITATION {"citationID":"00000058","properties":{"unsorted":false,"formattedCitation":"[89]","plainCitation":"[89]","noteIndex":0},"citationItems":[{"id":2673,"uris":["http://zotero.org/users/6749620/items/PGB6BLS6"],"itemData":{"id":2673,"type":"document","license":"GPL-3","note":"Column descriptions for the OpenVA format shown in Appendix 1 of the User Guide.","title":"InterVA-5.1 User Guide","URL":"http://www.byass.uk/interva/products","author":[{"family":"Byass","given":"Peter"}],"accessed":{"date-parts":[["2024",1,25]]},"issued":{"date-parts":[["2020",4]]},"citation-key":"byassInterVA5UserGuide2020"},"prefix":""}],"schema":"https://github.com/citation-style-language/schema/raw/master/csl-citation.json"} </w:instrText>
      </w:r>
      <w:r>
        <w:fldChar w:fldCharType="separate"/>
      </w:r>
      <w:r w:rsidR="00F14B32">
        <w:rPr>
          <w:noProof/>
        </w:rPr>
        <w:t>[89]</w:t>
      </w:r>
      <w:r>
        <w:fldChar w:fldCharType="end"/>
      </w:r>
      <w:r>
        <w:t xml:space="preserve"> using the </w:t>
      </w:r>
      <w:r>
        <w:rPr>
          <w:rStyle w:val="VerbatimChar"/>
        </w:rPr>
        <w:lastRenderedPageBreak/>
        <w:t>pyCrossVA</w:t>
      </w:r>
      <w:r>
        <w:t xml:space="preserve"> version 0.97 Python package </w:t>
      </w:r>
      <w:r>
        <w:fldChar w:fldCharType="begin"/>
      </w:r>
      <w:r w:rsidR="00F14B32">
        <w:instrText xml:space="preserve"> ADDIN ZOTERO_ITEM CSL_CITATION {"citationID":"00000059","properties":{"unsorted":false,"formattedCitation":"[90]","plainCitation":"[90]","noteIndex":0},"citationItems":[{"id":2599,"uris":["http://zotero.org/users/6749620/items/YZX52E9C"],"itemData":{"id":2599,"type":"software","genre":"Python","license":"GNU General Public License v3","medium":"OS Independent","source":"PyPI","title":"pycrossva: Prepare data from WHO and PHRMC instruments for verbal autopsy algorithms","title-short":"pycrossva","URL":"https://pypi.org/project/pycrossva/","version":"0.97","author":[{"family":"Thomas","given":"Jason"},{"literal":"ekarpinskiMITRE"},{"literal":"pkmitre"},{"literal":"owentrigueros"},{"family":"Choi","given":"Peter"},{"family":"Chu","given":"Yue"}],"accessed":{"date-parts":[["2024",1,10]]},"citation-key":"thomasPycrossvaPrepareData"},"prefix":""}],"schema":"https://github.com/citation-style-language/schema/raw/master/csl-citation.json"} </w:instrText>
      </w:r>
      <w:r>
        <w:fldChar w:fldCharType="separate"/>
      </w:r>
      <w:r w:rsidR="00F14B32">
        <w:rPr>
          <w:noProof/>
        </w:rPr>
        <w:t>[90]</w:t>
      </w:r>
      <w:r>
        <w:fldChar w:fldCharType="end"/>
      </w:r>
      <w:r>
        <w:t>. The 6939 records were all converted into OpenVA formatted records for InterVA-5 and InSilicoVA.</w:t>
      </w:r>
    </w:p>
    <w:p w:rsidR="00260484" w:rsidRDefault="00000000">
      <w:pPr>
        <w:pStyle w:val="Heading3"/>
      </w:pPr>
      <w:bookmarkStart w:id="51" w:name="methods-models-params"/>
      <w:bookmarkEnd w:id="50"/>
      <w:r>
        <w:t>Models and Parameters</w:t>
      </w:r>
    </w:p>
    <w:p w:rsidR="00260484" w:rsidRDefault="00000000">
      <w:pPr>
        <w:pStyle w:val="FirstParagraph"/>
      </w:pPr>
      <w:r>
        <w:t xml:space="preserve">The GPT-3.5 and GPT-4 Application Programming Interface (API) was accessed using Python version 3.11.4 and used to assign CODs for each record. GPT-3.5 used the </w:t>
      </w:r>
      <w:r>
        <w:rPr>
          <w:rStyle w:val="VerbatimChar"/>
        </w:rPr>
        <w:t>gpt-3.5-turbo</w:t>
      </w:r>
      <w:r>
        <w:t xml:space="preserve"> model, while GPT-4 used the </w:t>
      </w:r>
      <w:r>
        <w:rPr>
          <w:rStyle w:val="VerbatimChar"/>
        </w:rPr>
        <w:t>gpt-4-0613</w:t>
      </w:r>
      <w:r>
        <w:t xml:space="preserve"> model. The parameter </w:t>
      </w:r>
      <w:r>
        <w:rPr>
          <w:rStyle w:val="VerbatimChar"/>
        </w:rPr>
        <w:t>temperature</w:t>
      </w:r>
      <w:r>
        <w:t xml:space="preserve"> for GPT-3.5 and GPT-4, representing the sampling temperature ranging from 0 to 2 (default of 1), was set to 0 to produce more deterministic outputs </w:t>
      </w:r>
      <w:r>
        <w:fldChar w:fldCharType="begin"/>
      </w:r>
      <w:r w:rsidR="00F14B32">
        <w:instrText xml:space="preserve"> ADDIN ZOTERO_ITEM CSL_CITATION {"citationID":"00000060","properties":{"unsorted":false,"formattedCitation":"[68]","plainCitation":"[68]","noteIndex":0},"citationItems":[{"id":2679,"uris":["http://zotero.org/users/6749620/items/FBSTJZ9N"],"itemData":{"id":2679,"type":"webpage","abstract":"Explore developer resources, tutorials, API docs, and dynamic examples to get the most out of OpenAI's platform.","language":"en","title":"OpenAI Platform: API Reference (temperature parameter).","URL":"https://platform.openai.com/docs/api-reference/completions/create#completions-create-temperature","author":[{"literal":"OpenAI"}],"accessed":{"date-parts":[["2024",1,26]]},"issued":{"date-parts":[["2024"]]},"citation-key":"openaiOpenAIPlatformAPI2024"},"prefix":""}],"schema":"https://github.com/citation-style-language/schema/raw/master/csl-citation.json"} </w:instrText>
      </w:r>
      <w:r>
        <w:fldChar w:fldCharType="separate"/>
      </w:r>
      <w:r w:rsidR="00F14B32">
        <w:rPr>
          <w:noProof/>
        </w:rPr>
        <w:t>[68]</w:t>
      </w:r>
      <w:r>
        <w:fldChar w:fldCharType="end"/>
      </w:r>
      <w:r>
        <w:t>. Higher values closer to 2 may produce less deterministic outputs, while lower values closer to 0 produce more deterministic outputs.</w:t>
      </w:r>
    </w:p>
    <w:p w:rsidR="00260484" w:rsidRDefault="00000000">
      <w:pPr>
        <w:pStyle w:val="BodyText"/>
      </w:pPr>
      <w:r>
        <w:t xml:space="preserve">The </w:t>
      </w:r>
      <w:r>
        <w:rPr>
          <w:rStyle w:val="VerbatimChar"/>
        </w:rPr>
        <w:t>openVA</w:t>
      </w:r>
      <w:r>
        <w:t xml:space="preserve"> R package was used to run InterVA-5 and InSilicoVA models to assign CODs for each record in R version 4.3.1. The </w:t>
      </w:r>
      <w:r>
        <w:rPr>
          <w:rStyle w:val="VerbatimChar"/>
        </w:rPr>
        <w:t>openVA</w:t>
      </w:r>
      <w:r>
        <w:t xml:space="preserve"> package version 1.1.1 used dependent packages </w:t>
      </w:r>
      <w:r>
        <w:rPr>
          <w:rStyle w:val="VerbatimChar"/>
        </w:rPr>
        <w:t>InterVA5</w:t>
      </w:r>
      <w:r>
        <w:t xml:space="preserve"> version 1.1.3 and </w:t>
      </w:r>
      <w:r>
        <w:rPr>
          <w:rStyle w:val="VerbatimChar"/>
        </w:rPr>
        <w:t>InSilicoVA</w:t>
      </w:r>
      <w:r>
        <w:t xml:space="preserve"> version 1.4.0. The </w:t>
      </w:r>
      <w:r>
        <w:rPr>
          <w:rStyle w:val="VerbatimChar"/>
        </w:rPr>
        <w:t>Nsim</w:t>
      </w:r>
      <w:r>
        <w:t xml:space="preserve"> (number of iterations to run) parameter </w:t>
      </w:r>
      <w:r>
        <w:fldChar w:fldCharType="begin"/>
      </w:r>
      <w:r w:rsidR="00F14B32">
        <w:instrText xml:space="preserve"> ADDIN ZOTERO_ITEM CSL_CITATION {"citationID":"00000061","properties":{"unsorted":false,"formattedCitation":"[91]","plainCitation":"[91]","noteIndex":0},"citationItems":[{"id":2678,"uris":["http://zotero.org/users/6749620/items/UNZTHC6N"],"itemData":{"id":2678,"type":"software","abstract":"Computes individual causes of death and population cause-specific mortality fractions using the 'InSilicoVA' algorithm from McCormick et al. (2016) &lt;doi:10.1080/01621459.2016.1152191&gt;. It uses data derived from verbal autopsy (VA) interviews, in a format similar to the input of the widely used 'InterVA' method. This package provides general model fitting and customization for 'InSilicoVA' algorithm and basic graphical visualization of the output.","license":"GPL-2","source":"R-Packages","title":"InSilicoVA: Probabilistic Verbal Autopsy Coding with 'InSilicoVA' Algorithm","title-short":"InSilicoVA","URL":"https://cran.r-project.org/package=InSilicoVA","version":"1.4.0","author":[{"family":"Li","given":"Zehang Richard"},{"family":"McCormick","given":"Tyler"},{"family":"Clark","given":"Sam"}],"accessed":{"date-parts":[["2024",1,26]]},"issued":{"date-parts":[["2022",9,29]]},"citation-key":"liInSilicoVAProbabilisticVerbal2022"},"prefix":""}],"schema":"https://github.com/citation-style-language/schema/raw/master/csl-citation.json"} </w:instrText>
      </w:r>
      <w:r>
        <w:fldChar w:fldCharType="separate"/>
      </w:r>
      <w:r w:rsidR="00F14B32">
        <w:rPr>
          <w:noProof/>
        </w:rPr>
        <w:t>[91]</w:t>
      </w:r>
      <w:r>
        <w:fldChar w:fldCharType="end"/>
      </w:r>
      <w:r>
        <w:t xml:space="preserve"> for InSilicoVA was set to 9500, while the </w:t>
      </w:r>
      <w:r>
        <w:rPr>
          <w:rStyle w:val="VerbatimChar"/>
        </w:rPr>
        <w:t>HIV</w:t>
      </w:r>
      <w:r>
        <w:t xml:space="preserve"> (level of prevalence of human immunodeficiency virus) and </w:t>
      </w:r>
      <w:r>
        <w:rPr>
          <w:rStyle w:val="VerbatimChar"/>
        </w:rPr>
        <w:t>Malaria</w:t>
      </w:r>
      <w:r>
        <w:t xml:space="preserve"> (level of prevalence of Malaria) parameters </w:t>
      </w:r>
      <w:r>
        <w:fldChar w:fldCharType="begin"/>
      </w:r>
      <w:r w:rsidR="00F14B32">
        <w:instrText xml:space="preserve"> ADDIN ZOTERO_ITEM CSL_CITATION {"citationID":"00000062","properties":{"unsorted":false,"formattedCitation":"[92]","plainCitation":"[92]","noteIndex":0},"citationItems":[{"id":2677,"uris":["http://zotero.org/users/6749620/items/INHUNZC5"],"itemData":{"id":2677,"type":"software","abstract":"Provides an R version of the 'InterVA5' software (&lt;http://www.byass.uk/interva/&gt;) for coding cause of death from verbal autopsies. It also provides simple graphical representation of individual and population level statistics.","license":"GPL-3","source":"R-Packages","title":"InterVA5: Replicate and Analyse 'InterVA5'","title-short":"InterVA5","URL":"https://cran.r-project.org/package=InterVA5","version":"1.1.3","author":[{"family":"Thomas","given":"Jason"},{"family":"Li","given":"Zehang"},{"family":"Byass","given":"Peter"},{"family":"McCormick","given":"Tyler"},{"family":"Boyas","given":"Matthew"},{"family":"Clark","given":"Sam"}],"accessed":{"date-parts":[["2024",1,26]]},"issued":{"date-parts":[["2021",7,21]]},"citation-key":"thomasInterVA5ReplicateAnalyse2021"},"prefix":""}],"schema":"https://github.com/citation-style-language/schema/raw/master/csl-citation.json"} </w:instrText>
      </w:r>
      <w:r>
        <w:fldChar w:fldCharType="separate"/>
      </w:r>
      <w:r w:rsidR="00F14B32">
        <w:rPr>
          <w:noProof/>
        </w:rPr>
        <w:t>[92]</w:t>
      </w:r>
      <w:r>
        <w:fldChar w:fldCharType="end"/>
      </w:r>
      <w:r>
        <w:t xml:space="preserve"> for InterVA-5 were both set to </w:t>
      </w:r>
      <w:r>
        <w:rPr>
          <w:rStyle w:val="VerbatimChar"/>
        </w:rPr>
        <w:t>'h'</w:t>
      </w:r>
      <w:r>
        <w:t xml:space="preserve"> (high) reflecting HIV and Malaria disease assumptions in Sierra Leone </w:t>
      </w:r>
      <w:r>
        <w:fldChar w:fldCharType="begin"/>
      </w:r>
      <w:r w:rsidR="00F14B32">
        <w:instrText xml:space="preserve"> ADDIN ZOTERO_ITEM CSL_CITATION {"citationID":"00000063","properties":{"unsorted":false,"formattedCitation":"[93, 94]","plainCitation":"[93, 94]","noteIndex":0},"citationItems":[{"id":2676,"uris":["http://zotero.org/users/6749620/items/Z3E8H5W3"],"itemData":{"id":2676,"type":"article-journal","container-title":"AIDS reviews","issue":"2","source":"Google Scholar","title":"HIV/AIDS in Sierra Leone: Characterizing the Hidden Epidemic.","title-short":"HIV/AIDS in Sierra Leone","URL":"https://www.researchgate.net/profile/George-Yendewa/publication/325996407_HIVAIDS_in_Sierra_Leone_Characterizing_the_Hidden_Epidemic/links/5b843e4f4585151fd136071a/HIV-AIDS-in-Sierra-Leone-Characterizing-the-Hidden-Epidemic.pdf","volume":"20","author":[{"family":"Yendewa","given":"George A."},{"family":"Poveda","given":"Eva"},{"family":"Yendewa","given":"Sahr A."},{"family":"Sahr","given":"Foday"},{"family":"Quiñones-Mateu","given":"Miguel E."},{"family":"Salata","given":"Robert A."}],"accessed":{"date-parts":[["2024",1,26]]},"issued":{"date-parts":[["2018"]]},"citation-key":"yendewaHIVAIDSSierra2018"},"prefix":""},{"id":2675,"uris":["http://zotero.org/users/6749620/items/AKC4AQ6W"],"itemData":{"id":2675,"type":"article-journal","container-title":"The Lancet Infectious Diseases","issue":"7","note":"publisher: Elsevier","page":"825–832","source":"Google Scholar","title":"Malaria morbidity and mortality in Ebola-affected countries caused by decreased health-care capacity, and the potential effect of mitigation strategies: a modelling analysis","title-short":"Malaria morbidity and mortality in Ebola-affected countries caused by decreased health-care capacity, and the potential effect of mitigation strategies","volume":"15","author":[{"family":"Walker","given":"Patrick GT"},{"family":"White","given":"Michael T."},{"family":"Griffin","given":"Jamie T."},{"family":"Reynolds","given":"Alison"},{"family":"Ferguson","given":"Neil M."},{"family":"Ghani","given":"Azra C."}],"issued":{"date-parts":[["2015"]]},"citation-key":"walkerMalariaMorbidityMortality2015"},"prefix":""}],"schema":"https://github.com/citation-style-language/schema/raw/master/csl-citation.json"} </w:instrText>
      </w:r>
      <w:r>
        <w:fldChar w:fldCharType="separate"/>
      </w:r>
      <w:r w:rsidR="00F14B32">
        <w:rPr>
          <w:noProof/>
        </w:rPr>
        <w:t>[93, 94]</w:t>
      </w:r>
      <w:r>
        <w:fldChar w:fldCharType="end"/>
      </w:r>
      <w:r>
        <w:t xml:space="preserve">. Note that the default value of </w:t>
      </w:r>
      <w:r>
        <w:rPr>
          <w:rStyle w:val="VerbatimChar"/>
        </w:rPr>
        <w:t>Nsim=10000</w:t>
      </w:r>
      <w:r>
        <w:t xml:space="preserve"> for InSilicoVA ran until 9500 iterations before it stopped due to errors, thus </w:t>
      </w:r>
      <w:r>
        <w:rPr>
          <w:rStyle w:val="VerbatimChar"/>
        </w:rPr>
        <w:t>Nsim=9500</w:t>
      </w:r>
      <w:r>
        <w:t xml:space="preserve"> was used and ran successfully for all iterations.</w:t>
      </w:r>
    </w:p>
    <w:p w:rsidR="00260484" w:rsidRDefault="00000000">
      <w:pPr>
        <w:pStyle w:val="Heading3"/>
      </w:pPr>
      <w:bookmarkStart w:id="52" w:name="app-methods-output"/>
      <w:bookmarkEnd w:id="51"/>
      <w:r>
        <w:t>Output Data and Code Conversion</w:t>
      </w:r>
    </w:p>
    <w:p w:rsidR="00260484" w:rsidRDefault="00000000">
      <w:pPr>
        <w:pStyle w:val="FirstParagraph"/>
      </w:pPr>
      <w:r>
        <w:t xml:space="preserve">Of the 6939 input records, GPT-3.5, GPT-4, InterVA-5, and InSilicoVA were able to assign CODs for 6939 (100%), 6935 (&gt;99%), 6830 (98%), 6830 (98%) records respectively. All 6830 (100%) InterVA-5 and InSilicoVA records with WHO VA 2016 v1.5 output codes </w:t>
      </w:r>
      <w:r>
        <w:fldChar w:fldCharType="begin"/>
      </w:r>
      <w:r w:rsidR="00F14B32">
        <w:instrText xml:space="preserve"> ADDIN ZOTERO_ITEM CSL_CITATION {"citationID":"00000064","properties":{"unsorted":false,"formattedCitation":"[55]","plainCitation":"[55]","noteIndex":0},"citationItems":[{"id":2613,"uris":["http://zotero.org/users/6749620/items/IIYGENXN"],"itemData":{"id":2613,"type":"webpage","abstract":"Publications of the World Health Organization","language":"en","title":"Verbal autopsy standards: The 2016 WHO verbal autopsy instrument","title-short":"Verbal autopsy standards","URL":"https://www.who.int/publications/m/item/verbal-autopsy-standards-the-2016-who-verbal-autopsy-instrument","author":[{"literal":"World Health Organization"}],"accessed":{"date-parts":[["2024",1,17]]},"issued":{"date-parts":[["2016"]]},"citation-key":"worldhealthorganizationVerbalAutopsyStandards2016"},"prefix":""}],"schema":"https://github.com/citation-style-language/schema/raw/master/csl-citation.json"} </w:instrText>
      </w:r>
      <w:r>
        <w:fldChar w:fldCharType="separate"/>
      </w:r>
      <w:r w:rsidR="00F14B32">
        <w:rPr>
          <w:noProof/>
        </w:rPr>
        <w:t>[55]</w:t>
      </w:r>
      <w:r>
        <w:fldChar w:fldCharType="end"/>
      </w:r>
      <w:r>
        <w:t xml:space="preserve"> were converted into ICD-10 codes respectively. After all model outputs were converted to ICD-10 codes, they were further converted to CGHR-10 codes. The 6939 GPT-3.5 and 6935 GPT-4 output records with ICD-10 codes were converted into 6930 (&gt;99%) and 6931 (&gt;99) records with CGHR-10 codes, where &lt;1% (9 and 8) records did not have matching CGHR-10 codes respectively. The 6830 InterVA-5 and InSilicoVA records with ICD-10 codes were converted into 6802 (&gt;99%) and 6726 (98%) records with CGHR-10 codes respectively, where 28 (&lt;1%) and 104 (1%) of records could not be converted into CGHR-10 codes.</w:t>
      </w:r>
    </w:p>
    <w:p w:rsidR="00260484" w:rsidRDefault="00000000">
      <w:pPr>
        <w:pStyle w:val="Heading2"/>
      </w:pPr>
      <w:bookmarkStart w:id="53" w:name="app-methods-eval"/>
      <w:bookmarkEnd w:id="49"/>
      <w:bookmarkEnd w:id="52"/>
      <w:r>
        <w:t>Performance Evaluation Details</w:t>
      </w:r>
    </w:p>
    <w:p w:rsidR="00260484" w:rsidRDefault="00000000">
      <w:pPr>
        <w:pStyle w:val="FirstParagraph"/>
      </w:pPr>
      <w:r>
        <w:t xml:space="preserve">The performance of GPT-3.5, GPT-4, InSilicoVA, and InterVA-5 models were evaluated with metrics at the population and individual level by comparing their CGHR-10 COD outputs for 6939 records to physician COD assignments. Section </w:t>
      </w:r>
      <w:hyperlink w:anchor="app-methods-csmfa">
        <w:r>
          <w:rPr>
            <w:rStyle w:val="Hyperlink"/>
          </w:rPr>
          <w:t>6.3.1</w:t>
        </w:r>
      </w:hyperlink>
      <w:r>
        <w:t xml:space="preserve"> describes CSMF accuracy in detail for evaluating models on the population level, Section </w:t>
      </w:r>
      <w:hyperlink w:anchor="app-methods-pccc">
        <w:r>
          <w:rPr>
            <w:rStyle w:val="Hyperlink"/>
          </w:rPr>
          <w:t>6.3.2</w:t>
        </w:r>
      </w:hyperlink>
      <w:r>
        <w:t xml:space="preserve"> describes PCCC for evaluating models on the individual level. Records that were assigned a COD by physicians, but not by a model were considered to be an incorrect COD assignment by the model. CSMF accuracy and PCCC were calculated for each model overall and by three age groups (adult, child, and neonatal), then further into age and COD for each age group.</w:t>
      </w:r>
    </w:p>
    <w:p w:rsidR="00260484" w:rsidRDefault="00000000">
      <w:pPr>
        <w:pStyle w:val="Heading3"/>
      </w:pPr>
      <w:bookmarkStart w:id="54" w:name="app-methods-csmfa"/>
      <w:r>
        <w:lastRenderedPageBreak/>
        <w:t>Cause Specific Mortality Fraction (CSMF) Accuracy</w:t>
      </w:r>
    </w:p>
    <w:p w:rsidR="00260484" w:rsidRDefault="00000000">
      <w:pPr>
        <w:pStyle w:val="FirstParagraph"/>
      </w:pPr>
      <w:r>
        <w:t xml:space="preserve">CSMF accuracy measures the performance of models at the population level, comparing distributions of CODs between the physicians and the models </w:t>
      </w:r>
      <w:r>
        <w:fldChar w:fldCharType="begin"/>
      </w:r>
      <w:r w:rsidR="00F14B32">
        <w:instrText xml:space="preserve"> ADDIN ZOTERO_ITEM CSL_CITATION {"citationID":"00000065","properties":{"unsorted":false,"formattedCitation":"[56]","plainCitation":"[56]","noteIndex":0},"citationItems":[{"id":2622,"uris":["http://zotero.org/users/6749620/items/532V639L"],"itemData":{"id":2622,"type":"article-journal","abstract":"Verbal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fldChar w:fldCharType="separate"/>
      </w:r>
      <w:r w:rsidR="00F14B32">
        <w:rPr>
          <w:noProof/>
        </w:rPr>
        <w:t>[56]</w:t>
      </w:r>
      <w:r>
        <w:fldChar w:fldCharType="end"/>
      </w:r>
      <w:r>
        <w:t xml:space="preserve">. To calculate CSMF accuracy, </w:t>
      </w:r>
      <m:oMath>
        <m:r>
          <w:rPr>
            <w:rFonts w:ascii="Cambria Math" w:hAnsi="Cambria Math"/>
          </w:rPr>
          <m:t>CSM</m:t>
        </m:r>
        <m:sSub>
          <m:sSubPr>
            <m:ctrlPr>
              <w:rPr>
                <w:rFonts w:ascii="Cambria Math" w:hAnsi="Cambria Math"/>
              </w:rPr>
            </m:ctrlPr>
          </m:sSubPr>
          <m:e>
            <m:r>
              <w:rPr>
                <w:rFonts w:ascii="Cambria Math" w:hAnsi="Cambria Math"/>
              </w:rPr>
              <m:t>F</m:t>
            </m:r>
          </m:e>
          <m:sub>
            <m:r>
              <w:rPr>
                <w:rFonts w:ascii="Cambria Math" w:hAnsi="Cambria Math"/>
              </w:rPr>
              <m:t>j</m:t>
            </m:r>
          </m:sub>
        </m:sSub>
      </m:oMath>
      <w:r>
        <w:t xml:space="preserve"> was calculated as is the fraction of physician or model records for cause </w:t>
      </w:r>
      <m:oMath>
        <m:r>
          <w:rPr>
            <w:rFonts w:ascii="Cambria Math" w:hAnsi="Cambria Math"/>
          </w:rPr>
          <m:t>j</m:t>
        </m:r>
      </m:oMath>
      <w:r>
        <w:t xml:space="preserve">, given by dividing the number of records for cause </w:t>
      </w:r>
      <m:oMath>
        <m:r>
          <w:rPr>
            <w:rFonts w:ascii="Cambria Math" w:hAnsi="Cambria Math"/>
          </w:rPr>
          <m:t>j</m:t>
        </m:r>
      </m:oMath>
      <w:r>
        <w:t xml:space="preserve"> with the total number of records as seen in Equation </w:t>
      </w:r>
      <w:hyperlink w:anchor="eq-csmf">
        <w:r>
          <w:rPr>
            <w:rStyle w:val="Hyperlink"/>
          </w:rPr>
          <w:t>[eq-csmf]</w:t>
        </w:r>
      </w:hyperlink>
      <w:r>
        <w:t xml:space="preserve">. Then, the </w:t>
      </w:r>
      <m:oMath>
        <m:r>
          <w:rPr>
            <w:rFonts w:ascii="Cambria Math" w:hAnsi="Cambria Math"/>
          </w:rPr>
          <m:t>CSMFMaximumError</m:t>
        </m:r>
      </m:oMath>
      <w:r>
        <w:t xml:space="preserve">, representing the worst possible model, is calculated using Equation </w:t>
      </w:r>
      <w:hyperlink w:anchor="eq-csmferr">
        <w:r>
          <w:rPr>
            <w:rStyle w:val="Hyperlink"/>
          </w:rPr>
          <w:t>[eq-csmferr]</w:t>
        </w:r>
      </w:hyperlink>
      <w:r>
        <w:t xml:space="preserve">. Finally, the CSMF accuracy is given by Equation </w:t>
      </w:r>
      <w:hyperlink w:anchor="eq-csmfa">
        <w:r>
          <w:rPr>
            <w:rStyle w:val="Hyperlink"/>
          </w:rPr>
          <w:t>[eq-csmfa]</w:t>
        </w:r>
      </w:hyperlink>
      <w:r>
        <w:t xml:space="preserve">, where </w:t>
      </w:r>
      <m:oMath>
        <m:r>
          <w:rPr>
            <w:rFonts w:ascii="Cambria Math" w:hAnsi="Cambria Math"/>
          </w:rPr>
          <m:t>k</m:t>
        </m:r>
      </m:oMath>
      <w:r>
        <w:t xml:space="preserve"> is the number of causes, </w:t>
      </w:r>
      <m:oMath>
        <m:r>
          <w:rPr>
            <w:rFonts w:ascii="Cambria Math" w:hAnsi="Cambria Math"/>
          </w:rPr>
          <m:t>j</m:t>
        </m:r>
      </m:oMath>
      <w:r>
        <w:t xml:space="preserve"> is a cause, </w:t>
      </w:r>
      <m:oMath>
        <m:r>
          <w:rPr>
            <w:rFonts w:ascii="Cambria Math" w:hAnsi="Cambria Math"/>
          </w:rPr>
          <m:t>CSM</m:t>
        </m:r>
        <m:sSubSup>
          <m:sSubSupPr>
            <m:ctrlPr>
              <w:rPr>
                <w:rFonts w:ascii="Cambria Math" w:hAnsi="Cambria Math"/>
              </w:rPr>
            </m:ctrlPr>
          </m:sSubSupPr>
          <m:e>
            <m:r>
              <w:rPr>
                <w:rFonts w:ascii="Cambria Math" w:hAnsi="Cambria Math"/>
              </w:rPr>
              <m:t>F</m:t>
            </m:r>
          </m:e>
          <m:sub>
            <m:r>
              <w:rPr>
                <w:rFonts w:ascii="Cambria Math" w:hAnsi="Cambria Math"/>
              </w:rPr>
              <m:t>j</m:t>
            </m:r>
          </m:sub>
          <m:sup>
            <m:r>
              <w:rPr>
                <w:rFonts w:ascii="Cambria Math" w:hAnsi="Cambria Math"/>
              </w:rPr>
              <m:t>true</m:t>
            </m:r>
          </m:sup>
        </m:sSubSup>
      </m:oMath>
      <w:r>
        <w:t xml:space="preserve"> is the true physician CSMF for cause </w:t>
      </w:r>
      <m:oMath>
        <m:r>
          <w:rPr>
            <w:rFonts w:ascii="Cambria Math" w:hAnsi="Cambria Math"/>
          </w:rPr>
          <m:t>j</m:t>
        </m:r>
      </m:oMath>
      <w:r>
        <w:t xml:space="preserve">, and </w:t>
      </w:r>
      <m:oMath>
        <m:r>
          <w:rPr>
            <w:rFonts w:ascii="Cambria Math" w:hAnsi="Cambria Math"/>
          </w:rPr>
          <m:t>CSM</m:t>
        </m:r>
        <m:sSubSup>
          <m:sSubSupPr>
            <m:ctrlPr>
              <w:rPr>
                <w:rFonts w:ascii="Cambria Math" w:hAnsi="Cambria Math"/>
              </w:rPr>
            </m:ctrlPr>
          </m:sSubSupPr>
          <m:e>
            <m:r>
              <w:rPr>
                <w:rFonts w:ascii="Cambria Math" w:hAnsi="Cambria Math"/>
              </w:rPr>
              <m:t>F</m:t>
            </m:r>
          </m:e>
          <m:sub>
            <m:r>
              <w:rPr>
                <w:rFonts w:ascii="Cambria Math" w:hAnsi="Cambria Math"/>
              </w:rPr>
              <m:t>j</m:t>
            </m:r>
          </m:sub>
          <m:sup>
            <m:r>
              <w:rPr>
                <w:rFonts w:ascii="Cambria Math" w:hAnsi="Cambria Math"/>
              </w:rPr>
              <m:t>pred</m:t>
            </m:r>
          </m:sup>
        </m:sSubSup>
      </m:oMath>
      <w:r>
        <w:t xml:space="preserve"> is the prediction model CSMF for cause </w:t>
      </w:r>
      <m:oMath>
        <m:r>
          <w:rPr>
            <w:rFonts w:ascii="Cambria Math" w:hAnsi="Cambria Math"/>
          </w:rPr>
          <m:t>j</m:t>
        </m:r>
      </m:oMath>
      <w:r>
        <w:t>. CSMF accuracy ranges from 0 to 1, where 1 means that the model completely matched the physician COD distribution and 0 means that it did not match the distribution at all.</w:t>
      </w:r>
    </w:p>
    <w:p w:rsidR="00260484" w:rsidRDefault="00000000">
      <w:pPr>
        <w:pStyle w:val="BodyText"/>
      </w:pPr>
      <m:oMathPara>
        <m:oMathParaPr>
          <m:jc m:val="center"/>
        </m:oMathParaPr>
        <m:oMath>
          <m:r>
            <w:rPr>
              <w:rFonts w:ascii="Cambria Math" w:hAnsi="Cambria Math"/>
            </w:rPr>
            <m:t>CSM</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Record</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Records</m:t>
          </m:r>
        </m:oMath>
      </m:oMathPara>
    </w:p>
    <w:p w:rsidR="00260484" w:rsidRDefault="00000000">
      <w:pPr>
        <w:pStyle w:val="FirstParagraph"/>
      </w:pPr>
      <m:oMathPara>
        <m:oMathParaPr>
          <m:jc m:val="center"/>
        </m:oMathParaPr>
        <m:oMath>
          <m:r>
            <w:rPr>
              <w:rFonts w:ascii="Cambria Math" w:hAnsi="Cambria Math"/>
            </w:rPr>
            <m:t>CSMFMaximumError</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Min</m:t>
          </m:r>
          <m:r>
            <m:rPr>
              <m:sty m:val="p"/>
            </m:rPr>
            <w:rPr>
              <w:rFonts w:ascii="Cambria Math" w:hAnsi="Cambria Math"/>
            </w:rPr>
            <m:t>(</m:t>
          </m:r>
          <m:r>
            <w:rPr>
              <w:rFonts w:ascii="Cambria Math" w:hAnsi="Cambria Math"/>
            </w:rPr>
            <m:t>CSM</m:t>
          </m:r>
          <m:sSubSup>
            <m:sSubSupPr>
              <m:ctrlPr>
                <w:rPr>
                  <w:rFonts w:ascii="Cambria Math" w:hAnsi="Cambria Math"/>
                </w:rPr>
              </m:ctrlPr>
            </m:sSubSupPr>
            <m:e>
              <m:r>
                <w:rPr>
                  <w:rFonts w:ascii="Cambria Math" w:hAnsi="Cambria Math"/>
                </w:rPr>
                <m:t>F</m:t>
              </m:r>
            </m:e>
            <m:sub>
              <m:r>
                <w:rPr>
                  <w:rFonts w:ascii="Cambria Math" w:hAnsi="Cambria Math"/>
                </w:rPr>
                <m:t>j</m:t>
              </m:r>
            </m:sub>
            <m:sup>
              <m:r>
                <w:rPr>
                  <w:rFonts w:ascii="Cambria Math" w:hAnsi="Cambria Math"/>
                </w:rPr>
                <m:t>true</m:t>
              </m:r>
            </m:sup>
          </m:sSubSup>
          <m:r>
            <m:rPr>
              <m:sty m:val="p"/>
            </m:rPr>
            <w:rPr>
              <w:rFonts w:ascii="Cambria Math" w:hAnsi="Cambria Math"/>
            </w:rPr>
            <m:t>)</m:t>
          </m:r>
        </m:oMath>
      </m:oMathPara>
    </w:p>
    <w:p w:rsidR="00260484" w:rsidRDefault="00000000">
      <w:pPr>
        <w:pStyle w:val="FirstParagraph"/>
      </w:pPr>
      <m:oMathPara>
        <m:oMathParaPr>
          <m:jc m:val="center"/>
        </m:oMathParaPr>
        <m:oMath>
          <m:r>
            <w:rPr>
              <w:rFonts w:ascii="Cambria Math" w:hAnsi="Cambria Math"/>
            </w:rPr>
            <m:t>CSMFAccuracy</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r>
                    <m:rPr>
                      <m:sty m:val="p"/>
                    </m:rPr>
                    <w:rPr>
                      <w:rFonts w:ascii="Cambria Math" w:hAnsi="Cambria Math"/>
                    </w:rPr>
                    <m:t>|</m:t>
                  </m:r>
                </m:e>
              </m:nary>
              <m:r>
                <w:rPr>
                  <w:rFonts w:ascii="Cambria Math" w:hAnsi="Cambria Math"/>
                </w:rPr>
                <m:t>CSM</m:t>
              </m:r>
              <m:sSubSup>
                <m:sSubSupPr>
                  <m:ctrlPr>
                    <w:rPr>
                      <w:rFonts w:ascii="Cambria Math" w:hAnsi="Cambria Math"/>
                    </w:rPr>
                  </m:ctrlPr>
                </m:sSubSupPr>
                <m:e>
                  <m:r>
                    <w:rPr>
                      <w:rFonts w:ascii="Cambria Math" w:hAnsi="Cambria Math"/>
                    </w:rPr>
                    <m:t>F</m:t>
                  </m:r>
                </m:e>
                <m:sub>
                  <m:r>
                    <w:rPr>
                      <w:rFonts w:ascii="Cambria Math" w:hAnsi="Cambria Math"/>
                    </w:rPr>
                    <m:t>j</m:t>
                  </m:r>
                </m:sub>
                <m:sup>
                  <m:r>
                    <w:rPr>
                      <w:rFonts w:ascii="Cambria Math" w:hAnsi="Cambria Math"/>
                    </w:rPr>
                    <m:t>true</m:t>
                  </m:r>
                </m:sup>
              </m:sSubSup>
              <m:r>
                <m:rPr>
                  <m:sty m:val="p"/>
                </m:rPr>
                <w:rPr>
                  <w:rFonts w:ascii="Cambria Math" w:hAnsi="Cambria Math"/>
                </w:rPr>
                <m:t>-</m:t>
              </m:r>
              <m:r>
                <w:rPr>
                  <w:rFonts w:ascii="Cambria Math" w:hAnsi="Cambria Math"/>
                </w:rPr>
                <m:t>CSM</m:t>
              </m:r>
              <m:sSubSup>
                <m:sSubSupPr>
                  <m:ctrlPr>
                    <w:rPr>
                      <w:rFonts w:ascii="Cambria Math" w:hAnsi="Cambria Math"/>
                    </w:rPr>
                  </m:ctrlPr>
                </m:sSubSupPr>
                <m:e>
                  <m:r>
                    <w:rPr>
                      <w:rFonts w:ascii="Cambria Math" w:hAnsi="Cambria Math"/>
                    </w:rPr>
                    <m:t>F</m:t>
                  </m:r>
                </m:e>
                <m:sub>
                  <m:r>
                    <w:rPr>
                      <w:rFonts w:ascii="Cambria Math" w:hAnsi="Cambria Math"/>
                    </w:rPr>
                    <m:t>j</m:t>
                  </m:r>
                </m:sub>
                <m:sup>
                  <m:r>
                    <w:rPr>
                      <w:rFonts w:ascii="Cambria Math" w:hAnsi="Cambria Math"/>
                    </w:rPr>
                    <m:t>pred</m:t>
                  </m:r>
                </m:sup>
              </m:sSubSup>
              <m:r>
                <m:rPr>
                  <m:sty m:val="p"/>
                </m:rPr>
                <w:rPr>
                  <w:rFonts w:ascii="Cambria Math" w:hAnsi="Cambria Math"/>
                </w:rPr>
                <m:t>|</m:t>
              </m:r>
            </m:num>
            <m:den>
              <m:r>
                <w:rPr>
                  <w:rFonts w:ascii="Cambria Math" w:hAnsi="Cambria Math"/>
                </w:rPr>
                <m:t>CSMFMaximumError</m:t>
              </m:r>
            </m:den>
          </m:f>
        </m:oMath>
      </m:oMathPara>
    </w:p>
    <w:p w:rsidR="00260484" w:rsidRDefault="00000000">
      <w:pPr>
        <w:pStyle w:val="Heading3"/>
      </w:pPr>
      <w:bookmarkStart w:id="55" w:name="app-methods-pccc"/>
      <w:bookmarkEnd w:id="54"/>
      <w:r>
        <w:t>Partial Chance Corrected Concordance (PCCC)</w:t>
      </w:r>
    </w:p>
    <w:p w:rsidR="00260484" w:rsidRDefault="00000000">
      <w:pPr>
        <w:pStyle w:val="FirstParagraph"/>
      </w:pPr>
      <w:r>
        <w:t xml:space="preserve">PCCC measures the performance of models at the individual level, comparing COD assignments between the physicians and models on a record by record basis, correcting for COD assignments made purely by chance </w:t>
      </w:r>
      <w:r>
        <w:fldChar w:fldCharType="begin"/>
      </w:r>
      <w:r w:rsidR="00F14B32">
        <w:instrText xml:space="preserve"> ADDIN ZOTERO_ITEM CSL_CITATION {"citationID":"00000066","properties":{"unsorted":false,"formattedCitation":"[56]","plainCitation":"[56]","noteIndex":0},"citationItems":[{"id":2622,"uris":["http://zotero.org/users/6749620/items/532V639L"],"itemData":{"id":2622,"type":"article-journal","abstract":"Verbal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fldChar w:fldCharType="separate"/>
      </w:r>
      <w:r w:rsidR="00F14B32">
        <w:rPr>
          <w:noProof/>
        </w:rPr>
        <w:t>[56]</w:t>
      </w:r>
      <w:r>
        <w:fldChar w:fldCharType="end"/>
      </w:r>
      <w:r>
        <w:t xml:space="preserve">. PCCC is given by Equation </w:t>
      </w:r>
      <w:hyperlink w:anchor="eq-pccc">
        <w:r>
          <w:rPr>
            <w:rStyle w:val="Hyperlink"/>
          </w:rPr>
          <w:t>[eq-pccc]</w:t>
        </w:r>
      </w:hyperlink>
      <w:r>
        <w:t xml:space="preserve">, where </w:t>
      </w:r>
      <m:oMath>
        <m:r>
          <w:rPr>
            <w:rFonts w:ascii="Cambria Math" w:hAnsi="Cambria Math"/>
          </w:rPr>
          <m:t>k</m:t>
        </m:r>
      </m:oMath>
      <w:r>
        <w:t xml:space="preserve"> is the number of top COD assignments from the model to consider, </w:t>
      </w:r>
      <m:oMath>
        <m:r>
          <w:rPr>
            <w:rFonts w:ascii="Cambria Math" w:hAnsi="Cambria Math"/>
          </w:rPr>
          <m:t>N</m:t>
        </m:r>
      </m:oMath>
      <w:r>
        <w:t xml:space="preserve"> is number of causes, and </w:t>
      </w:r>
      <m:oMath>
        <m:r>
          <w:rPr>
            <w:rFonts w:ascii="Cambria Math" w:hAnsi="Cambria Math"/>
          </w:rPr>
          <m:t>C</m:t>
        </m:r>
      </m:oMath>
      <w:r>
        <w:t xml:space="preserve"> is fraction of records where the physician COD assignment is one of the top COD assignments from the model. For this study, </w:t>
      </w:r>
      <m:oMath>
        <m:r>
          <w:rPr>
            <w:rFonts w:ascii="Cambria Math" w:hAnsi="Cambria Math"/>
          </w:rPr>
          <m:t>k</m:t>
        </m:r>
      </m:oMath>
      <w:r>
        <w:t xml:space="preserve"> was set to 1, making </w:t>
      </w:r>
      <m:oMath>
        <m:r>
          <w:rPr>
            <w:rFonts w:ascii="Cambria Math" w:hAnsi="Cambria Math"/>
          </w:rPr>
          <m:t>C</m:t>
        </m:r>
      </m:oMath>
      <w:r>
        <w:t xml:space="preserve"> equivalent to the fraction of true positives </w:t>
      </w:r>
      <m:oMath>
        <m:r>
          <w:rPr>
            <w:rFonts w:ascii="Cambria Math" w:hAnsi="Cambria Math"/>
          </w:rPr>
          <m:t>TP</m:t>
        </m:r>
      </m:oMath>
      <w:r>
        <w:t xml:space="preserve"> or records where the physician COD assignment is equal to the model COD assignment as shown in Equation </w:t>
      </w:r>
      <w:hyperlink w:anchor="eq-pccc-c">
        <w:r>
          <w:rPr>
            <w:rStyle w:val="Hyperlink"/>
          </w:rPr>
          <w:t>[eq-pccc-c]</w:t>
        </w:r>
      </w:hyperlink>
      <w:r>
        <w:t>. Higher PCCC values closer to 1 indicate that model COD assignments are similar to physician COD assignments, while values closer to 0 indicate that model COD assignments are not similar to physicians.</w:t>
      </w:r>
    </w:p>
    <w:p w:rsidR="00260484" w:rsidRDefault="00000000">
      <w:pPr>
        <w:pStyle w:val="BodyText"/>
      </w:pPr>
      <m:oMathPara>
        <m:oMathParaPr>
          <m:jc m:val="center"/>
        </m:oMathParaPr>
        <m:oMath>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Records</m:t>
              </m:r>
            </m:den>
          </m:f>
        </m:oMath>
      </m:oMathPara>
    </w:p>
    <w:p w:rsidR="00260484" w:rsidRDefault="00000000">
      <w:pPr>
        <w:pStyle w:val="FirstParagraph"/>
      </w:pPr>
      <m:oMathPara>
        <m:oMathParaPr>
          <m:jc m:val="center"/>
        </m:oMathParaPr>
        <m:oMath>
          <m:r>
            <w:rPr>
              <w:rFonts w:ascii="Cambria Math" w:hAnsi="Cambria Math"/>
            </w:rPr>
            <m:t>PCCC</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N</m:t>
                  </m:r>
                </m:den>
              </m:f>
            </m:num>
            <m:den>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N</m:t>
                  </m:r>
                </m:den>
              </m:f>
            </m:den>
          </m:f>
        </m:oMath>
      </m:oMathPara>
    </w:p>
    <w:p w:rsidR="00260484" w:rsidRDefault="00000000">
      <w:pPr>
        <w:pStyle w:val="Heading1"/>
      </w:pPr>
      <w:bookmarkStart w:id="56" w:name="app-reprod"/>
      <w:bookmarkEnd w:id="45"/>
      <w:bookmarkEnd w:id="53"/>
      <w:bookmarkEnd w:id="55"/>
      <w:r>
        <w:lastRenderedPageBreak/>
        <w:t>Experiment on Repeated Runs of GPT-3.5</w:t>
      </w:r>
    </w:p>
    <w:p w:rsidR="00260484" w:rsidRDefault="00000000">
      <w:pPr>
        <w:pStyle w:val="FirstParagraph"/>
      </w:pPr>
      <w:r>
        <w:t>A short experiment was conducted to test the consistency of GPT-3.5 outputs repeated on the same record. 100 records, sampled randomly with approximately equal proportions across age groups, CODs, and survey rounds 1 and 2, were used to test repeated runs of GPT-3.5. Each record from the 100 records was rerun 10 times through GPT-3.5, resulting in ten COD outputs per record. The ICD-10 codes were then converted to CGHR-10 codes and tested for consistency, where completely inconsistent results had different ICD-10 or CGHR-10 codes for each of the 10 reruns (1 times+), and completely consistent results had the same ICD-10 or CGHR-10 code for all 10 reruns (10 times), on the same record.</w:t>
      </w:r>
    </w:p>
    <w:p w:rsidR="00260484" w:rsidRDefault="00000000">
      <w:pPr>
        <w:pStyle w:val="BodyText"/>
      </w:pPr>
      <w:r>
        <w:t xml:space="preserve">The results are shown in Table </w:t>
      </w:r>
      <w:hyperlink w:anchor="tab-reprod">
        <w:r>
          <w:rPr>
            <w:rStyle w:val="Hyperlink"/>
          </w:rPr>
          <w:t>2</w:t>
        </w:r>
      </w:hyperlink>
      <w:r>
        <w:t>. For all 100 records, GPT-3.5 assigns the same ICD-10 and CGHR-10 code for the same record 5 times or more out of 10. For 66 and 79 records, GPT-3.5 assigns the same ICD-10 and CGHR-10 code respectively for each record. This number increases to 94 (from 66) and 96 (from 79) when reducing the number of times out of 10 that GPT-3.5 assigns the same ICD-10 and CGHR-10 code respectively. Thus, GPT-3.5 does not always produce the same outputs when repeated on the same record (10 times out of 10), even when the temperature is set to 0, but does so for more than half the records. For most records (more than 90%), GPT-3.5 will produce the same outputs for the same record 7 times or more out of 10.</w:t>
      </w:r>
    </w:p>
    <w:p w:rsidR="00260484" w:rsidRDefault="00000000">
      <w:pPr>
        <w:pStyle w:val="TableCaption"/>
      </w:pPr>
      <w:bookmarkStart w:id="57" w:name="tab-reprod"/>
      <w:r>
        <w:t>Records with same GPT-3.5 outputs based on 10 repeated reruns of 100 records</w:t>
      </w:r>
    </w:p>
    <w:tbl>
      <w:tblPr>
        <w:tblStyle w:val="Table"/>
        <w:tblW w:w="0" w:type="auto"/>
        <w:tblLook w:val="0020" w:firstRow="1" w:lastRow="0" w:firstColumn="0" w:lastColumn="0" w:noHBand="0" w:noVBand="0"/>
      </w:tblPr>
      <w:tblGrid>
        <w:gridCol w:w="3746"/>
        <w:gridCol w:w="1858"/>
        <w:gridCol w:w="2116"/>
      </w:tblGrid>
      <w:tr w:rsidR="00260484" w:rsidTr="00260484">
        <w:trPr>
          <w:cnfStyle w:val="100000000000" w:firstRow="1" w:lastRow="0" w:firstColumn="0" w:lastColumn="0" w:oddVBand="0" w:evenVBand="0" w:oddHBand="0" w:evenHBand="0" w:firstRowFirstColumn="0" w:firstRowLastColumn="0" w:lastRowFirstColumn="0" w:lastRowLastColumn="0"/>
          <w:tblHeader/>
        </w:trPr>
        <w:tc>
          <w:tcPr>
            <w:tcW w:w="0" w:type="auto"/>
          </w:tcPr>
          <w:p w:rsidR="00260484" w:rsidRDefault="00000000">
            <w:pPr>
              <w:pStyle w:val="Compact"/>
            </w:pPr>
            <w:r>
              <w:t>Times with Same GPT-3.5 Outputs</w:t>
            </w:r>
          </w:p>
        </w:tc>
        <w:tc>
          <w:tcPr>
            <w:tcW w:w="0" w:type="auto"/>
          </w:tcPr>
          <w:p w:rsidR="00260484" w:rsidRDefault="00000000">
            <w:pPr>
              <w:pStyle w:val="Compact"/>
            </w:pPr>
            <w:r>
              <w:t>ICD-10 Records</w:t>
            </w:r>
          </w:p>
        </w:tc>
        <w:tc>
          <w:tcPr>
            <w:tcW w:w="0" w:type="auto"/>
          </w:tcPr>
          <w:p w:rsidR="00260484" w:rsidRDefault="00000000">
            <w:pPr>
              <w:pStyle w:val="Compact"/>
            </w:pPr>
            <w:r>
              <w:t>CGHR-10 Records</w:t>
            </w:r>
          </w:p>
        </w:tc>
      </w:tr>
      <w:tr w:rsidR="00260484">
        <w:tc>
          <w:tcPr>
            <w:tcW w:w="0" w:type="auto"/>
          </w:tcPr>
          <w:p w:rsidR="00260484" w:rsidRDefault="00000000">
            <w:pPr>
              <w:pStyle w:val="Compact"/>
            </w:pPr>
            <w:r>
              <w:t>1 times+ (inconsistent)</w:t>
            </w:r>
          </w:p>
        </w:tc>
        <w:tc>
          <w:tcPr>
            <w:tcW w:w="0" w:type="auto"/>
          </w:tcPr>
          <w:p w:rsidR="00260484" w:rsidRDefault="00000000">
            <w:pPr>
              <w:pStyle w:val="Compact"/>
            </w:pPr>
            <w:r>
              <w:t>100</w:t>
            </w:r>
          </w:p>
        </w:tc>
        <w:tc>
          <w:tcPr>
            <w:tcW w:w="0" w:type="auto"/>
          </w:tcPr>
          <w:p w:rsidR="00260484" w:rsidRDefault="00000000">
            <w:pPr>
              <w:pStyle w:val="Compact"/>
            </w:pPr>
            <w:r>
              <w:t>100</w:t>
            </w:r>
          </w:p>
        </w:tc>
      </w:tr>
      <w:tr w:rsidR="00260484">
        <w:tc>
          <w:tcPr>
            <w:tcW w:w="0" w:type="auto"/>
          </w:tcPr>
          <w:p w:rsidR="00260484" w:rsidRDefault="00000000">
            <w:pPr>
              <w:pStyle w:val="Compact"/>
            </w:pPr>
            <w:r>
              <w:t>2 times+</w:t>
            </w:r>
          </w:p>
        </w:tc>
        <w:tc>
          <w:tcPr>
            <w:tcW w:w="0" w:type="auto"/>
          </w:tcPr>
          <w:p w:rsidR="00260484" w:rsidRDefault="00000000">
            <w:pPr>
              <w:pStyle w:val="Compact"/>
            </w:pPr>
            <w:r>
              <w:t>100</w:t>
            </w:r>
          </w:p>
        </w:tc>
        <w:tc>
          <w:tcPr>
            <w:tcW w:w="0" w:type="auto"/>
          </w:tcPr>
          <w:p w:rsidR="00260484" w:rsidRDefault="00000000">
            <w:pPr>
              <w:pStyle w:val="Compact"/>
            </w:pPr>
            <w:r>
              <w:t>100</w:t>
            </w:r>
          </w:p>
        </w:tc>
      </w:tr>
      <w:tr w:rsidR="00260484">
        <w:tc>
          <w:tcPr>
            <w:tcW w:w="0" w:type="auto"/>
          </w:tcPr>
          <w:p w:rsidR="00260484" w:rsidRDefault="00000000">
            <w:pPr>
              <w:pStyle w:val="Compact"/>
            </w:pPr>
            <w:r>
              <w:t>3 times+</w:t>
            </w:r>
          </w:p>
        </w:tc>
        <w:tc>
          <w:tcPr>
            <w:tcW w:w="0" w:type="auto"/>
          </w:tcPr>
          <w:p w:rsidR="00260484" w:rsidRDefault="00000000">
            <w:pPr>
              <w:pStyle w:val="Compact"/>
            </w:pPr>
            <w:r>
              <w:t>100</w:t>
            </w:r>
          </w:p>
        </w:tc>
        <w:tc>
          <w:tcPr>
            <w:tcW w:w="0" w:type="auto"/>
          </w:tcPr>
          <w:p w:rsidR="00260484" w:rsidRDefault="00000000">
            <w:pPr>
              <w:pStyle w:val="Compact"/>
            </w:pPr>
            <w:r>
              <w:t>100</w:t>
            </w:r>
          </w:p>
        </w:tc>
      </w:tr>
      <w:tr w:rsidR="00260484">
        <w:tc>
          <w:tcPr>
            <w:tcW w:w="0" w:type="auto"/>
          </w:tcPr>
          <w:p w:rsidR="00260484" w:rsidRDefault="00000000">
            <w:pPr>
              <w:pStyle w:val="Compact"/>
            </w:pPr>
            <w:r>
              <w:t>4 times+</w:t>
            </w:r>
          </w:p>
        </w:tc>
        <w:tc>
          <w:tcPr>
            <w:tcW w:w="0" w:type="auto"/>
          </w:tcPr>
          <w:p w:rsidR="00260484" w:rsidRDefault="00000000">
            <w:pPr>
              <w:pStyle w:val="Compact"/>
            </w:pPr>
            <w:r>
              <w:t>100</w:t>
            </w:r>
          </w:p>
        </w:tc>
        <w:tc>
          <w:tcPr>
            <w:tcW w:w="0" w:type="auto"/>
          </w:tcPr>
          <w:p w:rsidR="00260484" w:rsidRDefault="00000000">
            <w:pPr>
              <w:pStyle w:val="Compact"/>
            </w:pPr>
            <w:r>
              <w:t>100</w:t>
            </w:r>
          </w:p>
        </w:tc>
      </w:tr>
      <w:tr w:rsidR="00260484">
        <w:tc>
          <w:tcPr>
            <w:tcW w:w="0" w:type="auto"/>
          </w:tcPr>
          <w:p w:rsidR="00260484" w:rsidRDefault="00000000">
            <w:pPr>
              <w:pStyle w:val="Compact"/>
            </w:pPr>
            <w:r>
              <w:t>5 times+</w:t>
            </w:r>
          </w:p>
        </w:tc>
        <w:tc>
          <w:tcPr>
            <w:tcW w:w="0" w:type="auto"/>
          </w:tcPr>
          <w:p w:rsidR="00260484" w:rsidRDefault="00000000">
            <w:pPr>
              <w:pStyle w:val="Compact"/>
            </w:pPr>
            <w:r>
              <w:t>100</w:t>
            </w:r>
          </w:p>
        </w:tc>
        <w:tc>
          <w:tcPr>
            <w:tcW w:w="0" w:type="auto"/>
          </w:tcPr>
          <w:p w:rsidR="00260484" w:rsidRDefault="00000000">
            <w:pPr>
              <w:pStyle w:val="Compact"/>
            </w:pPr>
            <w:r>
              <w:t>100</w:t>
            </w:r>
          </w:p>
        </w:tc>
      </w:tr>
      <w:tr w:rsidR="00260484">
        <w:tc>
          <w:tcPr>
            <w:tcW w:w="0" w:type="auto"/>
          </w:tcPr>
          <w:p w:rsidR="00260484" w:rsidRDefault="00000000">
            <w:pPr>
              <w:pStyle w:val="Compact"/>
            </w:pPr>
            <w:r>
              <w:t>6 times+</w:t>
            </w:r>
          </w:p>
        </w:tc>
        <w:tc>
          <w:tcPr>
            <w:tcW w:w="0" w:type="auto"/>
          </w:tcPr>
          <w:p w:rsidR="00260484" w:rsidRDefault="00000000">
            <w:pPr>
              <w:pStyle w:val="Compact"/>
            </w:pPr>
            <w:r>
              <w:t>94</w:t>
            </w:r>
          </w:p>
        </w:tc>
        <w:tc>
          <w:tcPr>
            <w:tcW w:w="0" w:type="auto"/>
          </w:tcPr>
          <w:p w:rsidR="00260484" w:rsidRDefault="00000000">
            <w:pPr>
              <w:pStyle w:val="Compact"/>
            </w:pPr>
            <w:r>
              <w:t>96</w:t>
            </w:r>
          </w:p>
        </w:tc>
      </w:tr>
      <w:tr w:rsidR="00260484">
        <w:tc>
          <w:tcPr>
            <w:tcW w:w="0" w:type="auto"/>
          </w:tcPr>
          <w:p w:rsidR="00260484" w:rsidRDefault="00000000">
            <w:pPr>
              <w:pStyle w:val="Compact"/>
            </w:pPr>
            <w:r>
              <w:t>7 times+</w:t>
            </w:r>
          </w:p>
        </w:tc>
        <w:tc>
          <w:tcPr>
            <w:tcW w:w="0" w:type="auto"/>
          </w:tcPr>
          <w:p w:rsidR="00260484" w:rsidRDefault="00000000">
            <w:pPr>
              <w:pStyle w:val="Compact"/>
            </w:pPr>
            <w:r>
              <w:t>92</w:t>
            </w:r>
          </w:p>
        </w:tc>
        <w:tc>
          <w:tcPr>
            <w:tcW w:w="0" w:type="auto"/>
          </w:tcPr>
          <w:p w:rsidR="00260484" w:rsidRDefault="00000000">
            <w:pPr>
              <w:pStyle w:val="Compact"/>
            </w:pPr>
            <w:r>
              <w:t>94</w:t>
            </w:r>
          </w:p>
        </w:tc>
      </w:tr>
      <w:tr w:rsidR="00260484">
        <w:tc>
          <w:tcPr>
            <w:tcW w:w="0" w:type="auto"/>
          </w:tcPr>
          <w:p w:rsidR="00260484" w:rsidRDefault="00000000">
            <w:pPr>
              <w:pStyle w:val="Compact"/>
            </w:pPr>
            <w:r>
              <w:t>8 times+</w:t>
            </w:r>
          </w:p>
        </w:tc>
        <w:tc>
          <w:tcPr>
            <w:tcW w:w="0" w:type="auto"/>
          </w:tcPr>
          <w:p w:rsidR="00260484" w:rsidRDefault="00000000">
            <w:pPr>
              <w:pStyle w:val="Compact"/>
            </w:pPr>
            <w:r>
              <w:t>86</w:t>
            </w:r>
          </w:p>
        </w:tc>
        <w:tc>
          <w:tcPr>
            <w:tcW w:w="0" w:type="auto"/>
          </w:tcPr>
          <w:p w:rsidR="00260484" w:rsidRDefault="00000000">
            <w:pPr>
              <w:pStyle w:val="Compact"/>
            </w:pPr>
            <w:r>
              <w:t>91</w:t>
            </w:r>
          </w:p>
        </w:tc>
      </w:tr>
      <w:tr w:rsidR="00260484">
        <w:tc>
          <w:tcPr>
            <w:tcW w:w="0" w:type="auto"/>
          </w:tcPr>
          <w:p w:rsidR="00260484" w:rsidRDefault="00000000">
            <w:pPr>
              <w:pStyle w:val="Compact"/>
            </w:pPr>
            <w:r>
              <w:t>9 times+</w:t>
            </w:r>
          </w:p>
        </w:tc>
        <w:tc>
          <w:tcPr>
            <w:tcW w:w="0" w:type="auto"/>
          </w:tcPr>
          <w:p w:rsidR="00260484" w:rsidRDefault="00000000">
            <w:pPr>
              <w:pStyle w:val="Compact"/>
            </w:pPr>
            <w:r>
              <w:t>79</w:t>
            </w:r>
          </w:p>
        </w:tc>
        <w:tc>
          <w:tcPr>
            <w:tcW w:w="0" w:type="auto"/>
          </w:tcPr>
          <w:p w:rsidR="00260484" w:rsidRDefault="00000000">
            <w:pPr>
              <w:pStyle w:val="Compact"/>
            </w:pPr>
            <w:r>
              <w:t>86</w:t>
            </w:r>
          </w:p>
        </w:tc>
      </w:tr>
      <w:tr w:rsidR="00260484">
        <w:tc>
          <w:tcPr>
            <w:tcW w:w="0" w:type="auto"/>
          </w:tcPr>
          <w:p w:rsidR="00260484" w:rsidRDefault="00000000">
            <w:pPr>
              <w:pStyle w:val="Compact"/>
            </w:pPr>
            <w:r>
              <w:t>10 times (consistent)</w:t>
            </w:r>
          </w:p>
        </w:tc>
        <w:tc>
          <w:tcPr>
            <w:tcW w:w="0" w:type="auto"/>
          </w:tcPr>
          <w:p w:rsidR="00260484" w:rsidRDefault="00000000">
            <w:pPr>
              <w:pStyle w:val="Compact"/>
            </w:pPr>
            <w:r>
              <w:t>66</w:t>
            </w:r>
          </w:p>
        </w:tc>
        <w:tc>
          <w:tcPr>
            <w:tcW w:w="0" w:type="auto"/>
          </w:tcPr>
          <w:p w:rsidR="00260484" w:rsidRDefault="00000000">
            <w:pPr>
              <w:pStyle w:val="Compact"/>
            </w:pPr>
            <w:r>
              <w:t>79</w:t>
            </w:r>
          </w:p>
        </w:tc>
      </w:tr>
      <w:tr w:rsidR="00260484">
        <w:tc>
          <w:tcPr>
            <w:tcW w:w="0" w:type="auto"/>
          </w:tcPr>
          <w:p w:rsidR="00260484" w:rsidRDefault="00260484">
            <w:pPr>
              <w:pStyle w:val="Compact"/>
            </w:pPr>
          </w:p>
        </w:tc>
        <w:tc>
          <w:tcPr>
            <w:tcW w:w="0" w:type="auto"/>
          </w:tcPr>
          <w:p w:rsidR="00260484" w:rsidRDefault="00260484">
            <w:pPr>
              <w:pStyle w:val="Compact"/>
            </w:pPr>
          </w:p>
        </w:tc>
        <w:tc>
          <w:tcPr>
            <w:tcW w:w="0" w:type="auto"/>
          </w:tcPr>
          <w:p w:rsidR="00260484" w:rsidRDefault="00260484">
            <w:pPr>
              <w:pStyle w:val="Compact"/>
            </w:pPr>
          </w:p>
        </w:tc>
      </w:tr>
    </w:tbl>
    <w:p w:rsidR="00260484" w:rsidRDefault="00000000">
      <w:pPr>
        <w:pStyle w:val="Heading1"/>
      </w:pPr>
      <w:bookmarkStart w:id="58" w:name="app-misclass"/>
      <w:bookmarkEnd w:id="56"/>
      <w:bookmarkEnd w:id="57"/>
      <w:r>
        <w:t>Exploration of Neonatal Infections</w:t>
      </w:r>
    </w:p>
    <w:p w:rsidR="00260484" w:rsidRDefault="00000000">
      <w:pPr>
        <w:pStyle w:val="FirstParagraph"/>
      </w:pPr>
      <w:r>
        <w:t xml:space="preserve">An exploration of neonatal infections (n=99, 21% of 477 records) was done to understand the low performance of GPT models (0.23 PCCC) for neonatal infections, and high performance of InSilicoVA (0.87 PCCC). In Table </w:t>
      </w:r>
      <w:hyperlink w:anchor="tab-misclass">
        <w:r>
          <w:rPr>
            <w:rStyle w:val="Hyperlink"/>
          </w:rPr>
          <w:t>3</w:t>
        </w:r>
      </w:hyperlink>
      <w:r>
        <w:t xml:space="preserve">, about half the records were assigned </w:t>
      </w:r>
      <w:r>
        <w:lastRenderedPageBreak/>
        <w:t>correctly, and a majority (n=33, 33%) of the other records were misclassified as other, while prematurity and low birthweight, birth asphyxia &amp; birth trauma, and ill-defined make up the rest. On closer inspection of the 49 records with misclassified assignments, the ICD-10 code R50 was assigned in 20 records. R50 falls under unspecified infections in the adult CGHR-10 category, but in the other category for neonates. B50 was assigned in 4 records, falling under malaria, but a similar B54 falls under neonatal infections. P81 was assigned in 3 records, referring to fever of unknown origin, which falls under other, and P07 was assigned in 7 records, falling under prematurity and low birthweight.</w:t>
      </w:r>
    </w:p>
    <w:p w:rsidR="00260484" w:rsidRDefault="00000000">
      <w:pPr>
        <w:pStyle w:val="BodyText"/>
      </w:pPr>
      <w:r>
        <w:t>In most misclassified records, there is mention of infections, but the misclassifications occur due to the finer details of the ICD-10 code classifications, the categorization decisions of the CGHR-10 codes, and missing information from the questionnaire. For R50 misclassifications, GPT may have confused descriptions across adult and neonatal age groups. Using the same definition of R50, but in the context of neonates, may result in codes closer to neonatal infections (e.g. B54). For B50 misclassifications, the similar B54 was categorized in CGHR-10 as neonatal infections, but B50 was categorized as other. P81 refers to fever of unknown origin, which may be difficult to differentiate between infection and other causes without information from the questionnaire. P07 refers to prematurity and low birthweight, where GPT initially assigned P07 as the age of the neonate was mentioned first, but later mentions infections as an alternative following the order of information in the narratives. Thus, it may be possible to improve the performance GPT models using better prompts based on the context of VA manuals and CGHR-10 codes, and by also including questionnaire information in the prompts.</w:t>
      </w:r>
    </w:p>
    <w:p w:rsidR="00260484" w:rsidRDefault="00000000">
      <w:pPr>
        <w:pStyle w:val="TableCaption"/>
      </w:pPr>
      <w:bookmarkStart w:id="59" w:name="tab-misclass"/>
      <w:r>
        <w:t>GPT-4 CGHR-10 COD assignment for physician coded neonatal infections records.</w:t>
      </w:r>
    </w:p>
    <w:tbl>
      <w:tblPr>
        <w:tblStyle w:val="Table"/>
        <w:tblW w:w="0" w:type="auto"/>
        <w:tblLook w:val="0020" w:firstRow="1" w:lastRow="0" w:firstColumn="0" w:lastColumn="0" w:noHBand="0" w:noVBand="0"/>
      </w:tblPr>
      <w:tblGrid>
        <w:gridCol w:w="4669"/>
        <w:gridCol w:w="1245"/>
      </w:tblGrid>
      <w:tr w:rsidR="00260484" w:rsidTr="00260484">
        <w:trPr>
          <w:cnfStyle w:val="100000000000" w:firstRow="1" w:lastRow="0" w:firstColumn="0" w:lastColumn="0" w:oddVBand="0" w:evenVBand="0" w:oddHBand="0" w:evenHBand="0" w:firstRowFirstColumn="0" w:firstRowLastColumn="0" w:lastRowFirstColumn="0" w:lastRowLastColumn="0"/>
          <w:tblHeader/>
        </w:trPr>
        <w:tc>
          <w:tcPr>
            <w:tcW w:w="0" w:type="auto"/>
          </w:tcPr>
          <w:p w:rsidR="00260484" w:rsidRDefault="00000000">
            <w:pPr>
              <w:pStyle w:val="Compact"/>
            </w:pPr>
            <w:r>
              <w:t>GPT-4 Assigned Cause of Death (CGHR-10)</w:t>
            </w:r>
          </w:p>
        </w:tc>
        <w:tc>
          <w:tcPr>
            <w:tcW w:w="0" w:type="auto"/>
          </w:tcPr>
          <w:p w:rsidR="00260484" w:rsidRDefault="00000000">
            <w:pPr>
              <w:pStyle w:val="Compact"/>
            </w:pPr>
            <w:r>
              <w:t>Records</w:t>
            </w:r>
          </w:p>
        </w:tc>
      </w:tr>
      <w:tr w:rsidR="00260484">
        <w:tc>
          <w:tcPr>
            <w:tcW w:w="0" w:type="auto"/>
          </w:tcPr>
          <w:p w:rsidR="00260484" w:rsidRDefault="00000000">
            <w:pPr>
              <w:pStyle w:val="Compact"/>
            </w:pPr>
            <w:r>
              <w:t>Neonatal infections</w:t>
            </w:r>
          </w:p>
        </w:tc>
        <w:tc>
          <w:tcPr>
            <w:tcW w:w="0" w:type="auto"/>
          </w:tcPr>
          <w:p w:rsidR="00260484" w:rsidRDefault="00000000">
            <w:pPr>
              <w:pStyle w:val="Compact"/>
            </w:pPr>
            <w:r>
              <w:t>50 (51%)</w:t>
            </w:r>
          </w:p>
        </w:tc>
      </w:tr>
      <w:tr w:rsidR="00260484">
        <w:tc>
          <w:tcPr>
            <w:tcW w:w="0" w:type="auto"/>
          </w:tcPr>
          <w:p w:rsidR="00260484" w:rsidRDefault="00000000">
            <w:pPr>
              <w:pStyle w:val="Compact"/>
            </w:pPr>
            <w:r>
              <w:t>Other</w:t>
            </w:r>
          </w:p>
        </w:tc>
        <w:tc>
          <w:tcPr>
            <w:tcW w:w="0" w:type="auto"/>
          </w:tcPr>
          <w:p w:rsidR="00260484" w:rsidRDefault="00000000">
            <w:pPr>
              <w:pStyle w:val="Compact"/>
            </w:pPr>
            <w:r>
              <w:t>33 (33%)</w:t>
            </w:r>
          </w:p>
        </w:tc>
      </w:tr>
      <w:tr w:rsidR="00260484">
        <w:tc>
          <w:tcPr>
            <w:tcW w:w="0" w:type="auto"/>
          </w:tcPr>
          <w:p w:rsidR="00260484" w:rsidRDefault="00000000">
            <w:pPr>
              <w:pStyle w:val="Compact"/>
            </w:pPr>
            <w:r>
              <w:t>Prematurity and low birthweight</w:t>
            </w:r>
          </w:p>
        </w:tc>
        <w:tc>
          <w:tcPr>
            <w:tcW w:w="0" w:type="auto"/>
          </w:tcPr>
          <w:p w:rsidR="00260484" w:rsidRDefault="00000000">
            <w:pPr>
              <w:pStyle w:val="Compact"/>
            </w:pPr>
            <w:r>
              <w:t>9 (9%)</w:t>
            </w:r>
          </w:p>
        </w:tc>
      </w:tr>
      <w:tr w:rsidR="00260484">
        <w:tc>
          <w:tcPr>
            <w:tcW w:w="0" w:type="auto"/>
          </w:tcPr>
          <w:p w:rsidR="00260484" w:rsidRDefault="00000000">
            <w:pPr>
              <w:pStyle w:val="Compact"/>
            </w:pPr>
            <w:r>
              <w:t>Birth asphyxia &amp; birth trauma</w:t>
            </w:r>
          </w:p>
        </w:tc>
        <w:tc>
          <w:tcPr>
            <w:tcW w:w="0" w:type="auto"/>
          </w:tcPr>
          <w:p w:rsidR="00260484" w:rsidRDefault="00000000">
            <w:pPr>
              <w:pStyle w:val="Compact"/>
            </w:pPr>
            <w:r>
              <w:t>5 (6%)</w:t>
            </w:r>
          </w:p>
        </w:tc>
      </w:tr>
      <w:tr w:rsidR="00260484">
        <w:tc>
          <w:tcPr>
            <w:tcW w:w="0" w:type="auto"/>
          </w:tcPr>
          <w:p w:rsidR="00260484" w:rsidRDefault="00000000">
            <w:pPr>
              <w:pStyle w:val="Compact"/>
            </w:pPr>
            <w:r>
              <w:t>Ill-defined</w:t>
            </w:r>
          </w:p>
        </w:tc>
        <w:tc>
          <w:tcPr>
            <w:tcW w:w="0" w:type="auto"/>
          </w:tcPr>
          <w:p w:rsidR="00260484" w:rsidRDefault="00000000">
            <w:pPr>
              <w:pStyle w:val="Compact"/>
            </w:pPr>
            <w:r>
              <w:t>2 (2%)</w:t>
            </w:r>
          </w:p>
        </w:tc>
      </w:tr>
      <w:tr w:rsidR="00260484">
        <w:tc>
          <w:tcPr>
            <w:tcW w:w="0" w:type="auto"/>
          </w:tcPr>
          <w:p w:rsidR="00260484" w:rsidRDefault="00000000">
            <w:pPr>
              <w:pStyle w:val="Compact"/>
            </w:pPr>
            <w:r>
              <w:t>Total</w:t>
            </w:r>
          </w:p>
        </w:tc>
        <w:tc>
          <w:tcPr>
            <w:tcW w:w="0" w:type="auto"/>
          </w:tcPr>
          <w:p w:rsidR="00260484" w:rsidRDefault="00000000">
            <w:pPr>
              <w:pStyle w:val="Compact"/>
            </w:pPr>
            <w:r>
              <w:t>99 (100%)</w:t>
            </w:r>
          </w:p>
        </w:tc>
      </w:tr>
    </w:tbl>
    <w:p w:rsidR="005D60A3" w:rsidRDefault="005D60A3" w:rsidP="005D60A3">
      <w:pPr>
        <w:pStyle w:val="Heading1"/>
      </w:pPr>
      <w:r>
        <w:br w:type="page"/>
      </w:r>
      <w:r w:rsidR="00176C2D">
        <w:lastRenderedPageBreak/>
        <w:t>References</w:t>
      </w:r>
    </w:p>
    <w:tbl>
      <w:tblPr>
        <w:tblStyle w:val="Table"/>
        <w:tblW w:w="0" w:type="auto"/>
        <w:tblLook w:val="0020" w:firstRow="1" w:lastRow="0" w:firstColumn="0" w:lastColumn="0" w:noHBand="0" w:noVBand="0"/>
      </w:tblPr>
      <w:tblGrid>
        <w:gridCol w:w="222"/>
        <w:gridCol w:w="222"/>
      </w:tblGrid>
      <w:tr w:rsidR="00260484">
        <w:trPr>
          <w:cnfStyle w:val="100000000000" w:firstRow="1" w:lastRow="0" w:firstColumn="0" w:lastColumn="0" w:oddVBand="0" w:evenVBand="0" w:oddHBand="0" w:evenHBand="0" w:firstRowFirstColumn="0" w:firstRowLastColumn="0" w:lastRowFirstColumn="0" w:lastRowLastColumn="0"/>
        </w:trPr>
        <w:tc>
          <w:tcPr>
            <w:tcW w:w="0" w:type="auto"/>
          </w:tcPr>
          <w:p w:rsidR="00260484" w:rsidRDefault="00260484">
            <w:pPr>
              <w:pStyle w:val="Compact"/>
            </w:pPr>
          </w:p>
        </w:tc>
        <w:tc>
          <w:tcPr>
            <w:tcW w:w="0" w:type="auto"/>
          </w:tcPr>
          <w:p w:rsidR="00260484" w:rsidRDefault="00260484">
            <w:pPr>
              <w:pStyle w:val="Compact"/>
            </w:pPr>
          </w:p>
        </w:tc>
      </w:tr>
    </w:tbl>
    <w:bookmarkEnd w:id="58"/>
    <w:bookmarkEnd w:id="59"/>
    <w:p w:rsidR="005D60A3" w:rsidRPr="005D60A3" w:rsidRDefault="005D60A3" w:rsidP="005D60A3">
      <w:pPr>
        <w:pStyle w:val="Bibliography"/>
        <w:rPr>
          <w:rFonts w:ascii="Aptos"/>
        </w:rPr>
      </w:pPr>
      <w:r>
        <w:fldChar w:fldCharType="begin"/>
      </w:r>
      <w:r>
        <w:instrText xml:space="preserve"> ADDIN ZOTERO_BIBL {"uncited":[],"omitted":[],"custom":[]} CSL_BIBLIOGRAPHY </w:instrText>
      </w:r>
      <w:r>
        <w:fldChar w:fldCharType="separate"/>
      </w:r>
      <w:r w:rsidRPr="005D60A3">
        <w:rPr>
          <w:rFonts w:ascii="Aptos"/>
        </w:rPr>
        <w:t xml:space="preserve">1. </w:t>
      </w:r>
      <w:r w:rsidRPr="005D60A3">
        <w:rPr>
          <w:rFonts w:ascii="Aptos"/>
        </w:rPr>
        <w:tab/>
        <w:t>World Health Organization (2019) Non communicable diseases: Key Facts. https://www.who.int/news-room/fact-sheets/detail/noncommunicable-diseases. Accessed 4 Jan 2024</w:t>
      </w:r>
    </w:p>
    <w:p w:rsidR="005D60A3" w:rsidRPr="005D60A3" w:rsidRDefault="005D60A3" w:rsidP="005D60A3">
      <w:pPr>
        <w:pStyle w:val="Bibliography"/>
        <w:rPr>
          <w:rFonts w:ascii="Aptos"/>
        </w:rPr>
      </w:pPr>
      <w:r w:rsidRPr="005D60A3">
        <w:rPr>
          <w:rFonts w:ascii="Aptos"/>
        </w:rPr>
        <w:t xml:space="preserve">2. </w:t>
      </w:r>
      <w:r w:rsidRPr="005D60A3">
        <w:rPr>
          <w:rFonts w:ascii="Aptos"/>
        </w:rPr>
        <w:tab/>
        <w:t>Benziger CP, Roth GA, Moran AE (2016) The Global Burden of Disease Study and the Preventable Burden of NCD. Global Heart 11:393–397</w:t>
      </w:r>
    </w:p>
    <w:p w:rsidR="005D60A3" w:rsidRPr="005D60A3" w:rsidRDefault="005D60A3" w:rsidP="005D60A3">
      <w:pPr>
        <w:pStyle w:val="Bibliography"/>
        <w:rPr>
          <w:rFonts w:ascii="Aptos"/>
        </w:rPr>
      </w:pPr>
      <w:r w:rsidRPr="005D60A3">
        <w:rPr>
          <w:rFonts w:ascii="Aptos"/>
        </w:rPr>
        <w:t xml:space="preserve">3. </w:t>
      </w:r>
      <w:r w:rsidRPr="005D60A3">
        <w:rPr>
          <w:rFonts w:ascii="Aptos"/>
        </w:rPr>
        <w:tab/>
        <w:t>Lawn JE, Kerber K, Enweronu-Laryea C, Cousens S (2010) 3.6 Million Neonatal Deaths—What Is Progressing and What Is Not? Seminars in Perinatology 34:371–386</w:t>
      </w:r>
    </w:p>
    <w:p w:rsidR="005D60A3" w:rsidRPr="005D60A3" w:rsidRDefault="005D60A3" w:rsidP="005D60A3">
      <w:pPr>
        <w:pStyle w:val="Bibliography"/>
        <w:rPr>
          <w:rFonts w:ascii="Aptos"/>
        </w:rPr>
      </w:pPr>
      <w:r w:rsidRPr="005D60A3">
        <w:rPr>
          <w:rFonts w:ascii="Aptos"/>
        </w:rPr>
        <w:t xml:space="preserve">4. </w:t>
      </w:r>
      <w:r w:rsidRPr="005D60A3">
        <w:rPr>
          <w:rFonts w:ascii="Aptos"/>
        </w:rPr>
        <w:tab/>
        <w:t>Lassi ZS, Bhutta ZA (2015) Community</w:t>
      </w:r>
      <w:r w:rsidRPr="005D60A3">
        <w:rPr>
          <w:rFonts w:ascii="Aptos" w:cs="Cambria Math"/>
        </w:rPr>
        <w:t>‐</w:t>
      </w:r>
      <w:r w:rsidRPr="005D60A3">
        <w:rPr>
          <w:rFonts w:ascii="Aptos"/>
        </w:rPr>
        <w:t>based intervention packages for reducing maternal and neonatal morbidity and mortality and improving neonatal outcomes. Cochrane Database of Systematic Reviews. https://doi.org/10.1002/14651858.CD007754.pub3</w:t>
      </w:r>
    </w:p>
    <w:p w:rsidR="005D60A3" w:rsidRPr="005D60A3" w:rsidRDefault="005D60A3" w:rsidP="005D60A3">
      <w:pPr>
        <w:pStyle w:val="Bibliography"/>
        <w:rPr>
          <w:rFonts w:ascii="Aptos"/>
        </w:rPr>
      </w:pPr>
      <w:r w:rsidRPr="005D60A3">
        <w:rPr>
          <w:rFonts w:ascii="Aptos"/>
        </w:rPr>
        <w:t xml:space="preserve">5. </w:t>
      </w:r>
      <w:r w:rsidRPr="005D60A3">
        <w:rPr>
          <w:rFonts w:ascii="Aptos"/>
        </w:rPr>
        <w:tab/>
        <w:t>Liu NH, Daumit GL, Dua T, et al (2017) Excess mortality in persons with severe mental disorders: a multilevel intervention framework and priorities for clinical practice, policy and research agendas. World Psychiatry 16:30–40</w:t>
      </w:r>
    </w:p>
    <w:p w:rsidR="005D60A3" w:rsidRPr="005D60A3" w:rsidRDefault="005D60A3" w:rsidP="005D60A3">
      <w:pPr>
        <w:pStyle w:val="Bibliography"/>
        <w:rPr>
          <w:rFonts w:ascii="Aptos"/>
        </w:rPr>
      </w:pPr>
      <w:r w:rsidRPr="005D60A3">
        <w:rPr>
          <w:rFonts w:ascii="Aptos"/>
        </w:rPr>
        <w:t xml:space="preserve">6. </w:t>
      </w:r>
      <w:r w:rsidRPr="005D60A3">
        <w:rPr>
          <w:rFonts w:ascii="Aptos"/>
        </w:rPr>
        <w:tab/>
        <w:t>Ewig S, Torres A (2011) Community-acquired pneumonia as an emergency: time for an aggressive intervention to lower mortality. European Respiratory Journal 38:253–260</w:t>
      </w:r>
    </w:p>
    <w:p w:rsidR="005D60A3" w:rsidRPr="005D60A3" w:rsidRDefault="005D60A3" w:rsidP="005D60A3">
      <w:pPr>
        <w:pStyle w:val="Bibliography"/>
        <w:rPr>
          <w:rFonts w:ascii="Aptos"/>
        </w:rPr>
      </w:pPr>
      <w:r w:rsidRPr="005D60A3">
        <w:rPr>
          <w:rFonts w:ascii="Aptos"/>
        </w:rPr>
        <w:t xml:space="preserve">7. </w:t>
      </w:r>
      <w:r w:rsidRPr="005D60A3">
        <w:rPr>
          <w:rFonts w:ascii="Aptos"/>
        </w:rPr>
        <w:tab/>
        <w:t xml:space="preserve">World Health Organization (2021) SCORE for health data technical package: global report on health data systems and capacity, 2020. </w:t>
      </w:r>
    </w:p>
    <w:p w:rsidR="005D60A3" w:rsidRPr="005D60A3" w:rsidRDefault="005D60A3" w:rsidP="005D60A3">
      <w:pPr>
        <w:pStyle w:val="Bibliography"/>
        <w:rPr>
          <w:rFonts w:ascii="Aptos"/>
        </w:rPr>
      </w:pPr>
      <w:r w:rsidRPr="005D60A3">
        <w:rPr>
          <w:rFonts w:ascii="Aptos"/>
        </w:rPr>
        <w:t xml:space="preserve">8. </w:t>
      </w:r>
      <w:r w:rsidRPr="005D60A3">
        <w:rPr>
          <w:rFonts w:ascii="Aptos"/>
        </w:rPr>
        <w:tab/>
        <w:t>de Savigny D, Riley I, Chandramohan D, et al (2017) Integrating community-based verbal autopsy into civil registration and vital statistics (CRVS): system-level considerations. Global Health Action 10:1272882</w:t>
      </w:r>
    </w:p>
    <w:p w:rsidR="005D60A3" w:rsidRPr="005D60A3" w:rsidRDefault="005D60A3" w:rsidP="005D60A3">
      <w:pPr>
        <w:pStyle w:val="Bibliography"/>
        <w:rPr>
          <w:rFonts w:ascii="Aptos"/>
        </w:rPr>
      </w:pPr>
      <w:r w:rsidRPr="005D60A3">
        <w:rPr>
          <w:rFonts w:ascii="Aptos"/>
        </w:rPr>
        <w:t xml:space="preserve">9. </w:t>
      </w:r>
      <w:r w:rsidRPr="005D60A3">
        <w:rPr>
          <w:rFonts w:ascii="Aptos"/>
        </w:rPr>
        <w:tab/>
        <w:t>Thomas L-M, D’Ambruoso L, Balabanova D (2018) Verbal autopsy in health policy and systems: a literature review. BMJ Global Health 3:e000639</w:t>
      </w:r>
    </w:p>
    <w:p w:rsidR="005D60A3" w:rsidRPr="005D60A3" w:rsidRDefault="005D60A3" w:rsidP="005D60A3">
      <w:pPr>
        <w:pStyle w:val="Bibliography"/>
        <w:rPr>
          <w:rFonts w:ascii="Aptos"/>
        </w:rPr>
      </w:pPr>
      <w:r w:rsidRPr="005D60A3">
        <w:rPr>
          <w:rFonts w:ascii="Aptos"/>
        </w:rPr>
        <w:t xml:space="preserve">10. </w:t>
      </w:r>
      <w:r w:rsidRPr="005D60A3">
        <w:rPr>
          <w:rFonts w:ascii="Aptos"/>
        </w:rPr>
        <w:tab/>
        <w:t>Rampatige R, Mikkelsen L, Hernandez B, Riley I, Lopez AD (2014) Systematic review of statistics on causes of deaths in hospitals: strengthening the evidence for policy-makers. Bull World Health Organ 92:807–816</w:t>
      </w:r>
    </w:p>
    <w:p w:rsidR="005D60A3" w:rsidRPr="005D60A3" w:rsidRDefault="005D60A3" w:rsidP="005D60A3">
      <w:pPr>
        <w:pStyle w:val="Bibliography"/>
        <w:rPr>
          <w:rFonts w:ascii="Aptos"/>
        </w:rPr>
      </w:pPr>
      <w:r w:rsidRPr="005D60A3">
        <w:rPr>
          <w:rFonts w:ascii="Aptos"/>
        </w:rPr>
        <w:t xml:space="preserve">11. </w:t>
      </w:r>
      <w:r w:rsidRPr="005D60A3">
        <w:rPr>
          <w:rFonts w:ascii="Aptos"/>
        </w:rPr>
        <w:tab/>
        <w:t>Adair T (2021) Who dies where? Estimating the percentage of deaths that occur at home. BMJ Global Health 6:e006766</w:t>
      </w:r>
    </w:p>
    <w:p w:rsidR="005D60A3" w:rsidRPr="005D60A3" w:rsidRDefault="005D60A3" w:rsidP="005D60A3">
      <w:pPr>
        <w:pStyle w:val="Bibliography"/>
        <w:rPr>
          <w:rFonts w:ascii="Aptos"/>
        </w:rPr>
      </w:pPr>
      <w:r w:rsidRPr="005D60A3">
        <w:rPr>
          <w:rFonts w:ascii="Aptos"/>
        </w:rPr>
        <w:t xml:space="preserve">12. </w:t>
      </w:r>
      <w:r w:rsidRPr="005D60A3">
        <w:rPr>
          <w:rFonts w:ascii="Aptos"/>
        </w:rPr>
        <w:tab/>
        <w:t xml:space="preserve">World Health Organization (2023) Verbal autopsy standards: 2022 WHO verbal autopsy instrument. </w:t>
      </w:r>
    </w:p>
    <w:p w:rsidR="005D60A3" w:rsidRPr="005D60A3" w:rsidRDefault="005D60A3" w:rsidP="005D60A3">
      <w:pPr>
        <w:pStyle w:val="Bibliography"/>
        <w:rPr>
          <w:rFonts w:ascii="Aptos"/>
        </w:rPr>
      </w:pPr>
      <w:r w:rsidRPr="005D60A3">
        <w:rPr>
          <w:rFonts w:ascii="Aptos"/>
        </w:rPr>
        <w:lastRenderedPageBreak/>
        <w:t xml:space="preserve">13. </w:t>
      </w:r>
      <w:r w:rsidRPr="005D60A3">
        <w:rPr>
          <w:rFonts w:ascii="Aptos"/>
        </w:rPr>
        <w:tab/>
        <w:t>Chandramohan D, Fottrell E, Leitao J, et al (2021) Estimating causes of death where there is no medical certification: evolution and state of the art of verbal autopsy. Global Health Action 14:1982486</w:t>
      </w:r>
    </w:p>
    <w:p w:rsidR="005D60A3" w:rsidRPr="005D60A3" w:rsidRDefault="005D60A3" w:rsidP="005D60A3">
      <w:pPr>
        <w:pStyle w:val="Bibliography"/>
        <w:rPr>
          <w:rFonts w:ascii="Aptos"/>
        </w:rPr>
      </w:pPr>
      <w:r w:rsidRPr="005D60A3">
        <w:rPr>
          <w:rFonts w:ascii="Aptos"/>
        </w:rPr>
        <w:t xml:space="preserve">14. </w:t>
      </w:r>
      <w:r w:rsidRPr="005D60A3">
        <w:rPr>
          <w:rFonts w:ascii="Aptos"/>
        </w:rPr>
        <w:tab/>
        <w:t>World Health Organization (2007) Verbal autopsy standards: ascertaining and attributing cause of death. World Health Organization</w:t>
      </w:r>
    </w:p>
    <w:p w:rsidR="005D60A3" w:rsidRPr="005D60A3" w:rsidRDefault="005D60A3" w:rsidP="005D60A3">
      <w:pPr>
        <w:pStyle w:val="Bibliography"/>
        <w:rPr>
          <w:rFonts w:ascii="Aptos"/>
        </w:rPr>
      </w:pPr>
      <w:r w:rsidRPr="005D60A3">
        <w:rPr>
          <w:rFonts w:ascii="Aptos"/>
        </w:rPr>
        <w:t xml:space="preserve">15. </w:t>
      </w:r>
      <w:r w:rsidRPr="005D60A3">
        <w:rPr>
          <w:rFonts w:ascii="Aptos"/>
        </w:rPr>
        <w:tab/>
        <w:t>Gomes M, Begum R, Sati P, Dikshit R, Gupta PC, Kumar R, Sheth J, Habib A, Jha P (2017) Nationwide Mortality Studies To Quantify Causes Of Death: Relevant Lessons From India’s Million Death Study. Health Affairs 36:1887–1895</w:t>
      </w:r>
    </w:p>
    <w:p w:rsidR="005D60A3" w:rsidRPr="005D60A3" w:rsidRDefault="005D60A3" w:rsidP="005D60A3">
      <w:pPr>
        <w:pStyle w:val="Bibliography"/>
        <w:rPr>
          <w:rFonts w:ascii="Aptos"/>
        </w:rPr>
      </w:pPr>
      <w:r w:rsidRPr="005D60A3">
        <w:rPr>
          <w:rFonts w:ascii="Aptos"/>
        </w:rPr>
        <w:t xml:space="preserve">16. </w:t>
      </w:r>
      <w:r w:rsidRPr="005D60A3">
        <w:rPr>
          <w:rFonts w:ascii="Aptos"/>
        </w:rPr>
        <w:tab/>
        <w:t>Jha P, Gajalakshmi V, Gupta PC, Kumar R, Mony P, Dhingra N, Peto R, Collaborators R-CPS (2005) Prospective Study of One Million Deaths in India: Rationale, Design, and Validation Results. PLOS Medicine 3:e18</w:t>
      </w:r>
    </w:p>
    <w:p w:rsidR="005D60A3" w:rsidRPr="005D60A3" w:rsidRDefault="005D60A3" w:rsidP="005D60A3">
      <w:pPr>
        <w:pStyle w:val="Bibliography"/>
        <w:rPr>
          <w:rFonts w:ascii="Aptos"/>
        </w:rPr>
      </w:pPr>
      <w:r w:rsidRPr="005D60A3">
        <w:rPr>
          <w:rFonts w:ascii="Aptos"/>
        </w:rPr>
        <w:t xml:space="preserve">17. </w:t>
      </w:r>
      <w:r w:rsidRPr="005D60A3">
        <w:rPr>
          <w:rFonts w:ascii="Aptos"/>
        </w:rPr>
        <w:tab/>
        <w:t>McCormick TH, Li ZR, Calvert C, Crampin AC, Kahn K, Clark SJ (2016) Probabilistic Cause-of-death Assignment using Verbal Autopsies. J Am Stat Assoc 111:1036–1049</w:t>
      </w:r>
    </w:p>
    <w:p w:rsidR="005D60A3" w:rsidRPr="005D60A3" w:rsidRDefault="005D60A3" w:rsidP="005D60A3">
      <w:pPr>
        <w:pStyle w:val="Bibliography"/>
        <w:rPr>
          <w:rFonts w:ascii="Aptos"/>
        </w:rPr>
      </w:pPr>
      <w:r w:rsidRPr="005D60A3">
        <w:rPr>
          <w:rFonts w:ascii="Aptos"/>
        </w:rPr>
        <w:t xml:space="preserve">18. </w:t>
      </w:r>
      <w:r w:rsidRPr="005D60A3">
        <w:rPr>
          <w:rFonts w:ascii="Aptos"/>
        </w:rPr>
        <w:tab/>
        <w:t>Morris SK, Bassani DG, Kumar R, Awasthi S, Paul VK, Jha P (2010) Factors associated with physician agreement on verbal autopsy of over 27000 childhood deaths in India. PloS one 5:e9583</w:t>
      </w:r>
    </w:p>
    <w:p w:rsidR="005D60A3" w:rsidRPr="005D60A3" w:rsidRDefault="005D60A3" w:rsidP="005D60A3">
      <w:pPr>
        <w:pStyle w:val="Bibliography"/>
        <w:rPr>
          <w:rFonts w:ascii="Aptos"/>
        </w:rPr>
      </w:pPr>
      <w:r w:rsidRPr="005D60A3">
        <w:rPr>
          <w:rFonts w:ascii="Aptos"/>
        </w:rPr>
        <w:t xml:space="preserve">19. </w:t>
      </w:r>
      <w:r w:rsidRPr="005D60A3">
        <w:rPr>
          <w:rFonts w:ascii="Aptos"/>
        </w:rPr>
        <w:tab/>
        <w:t>Soleman N, Chandramohan D, Shibuya K (2006) Verbal autopsy: current practices and challenges. Bulletin of the World Health Organization 84:239–245</w:t>
      </w:r>
    </w:p>
    <w:p w:rsidR="005D60A3" w:rsidRPr="005D60A3" w:rsidRDefault="005D60A3" w:rsidP="005D60A3">
      <w:pPr>
        <w:pStyle w:val="Bibliography"/>
        <w:rPr>
          <w:rFonts w:ascii="Aptos"/>
        </w:rPr>
      </w:pPr>
      <w:r w:rsidRPr="005D60A3">
        <w:rPr>
          <w:rFonts w:ascii="Aptos"/>
        </w:rPr>
        <w:t xml:space="preserve">20. </w:t>
      </w:r>
      <w:r w:rsidRPr="005D60A3">
        <w:rPr>
          <w:rFonts w:ascii="Aptos"/>
        </w:rPr>
        <w:tab/>
        <w:t>Byass P, Hussain-Alkhateeb L, D’Ambruoso L, et al (2019) An integrated approach to processing WHO-2016 verbal autopsy data: the InterVA-5 model. BMC Medicine 17:102</w:t>
      </w:r>
    </w:p>
    <w:p w:rsidR="005D60A3" w:rsidRPr="005D60A3" w:rsidRDefault="005D60A3" w:rsidP="005D60A3">
      <w:pPr>
        <w:pStyle w:val="Bibliography"/>
        <w:rPr>
          <w:rFonts w:ascii="Aptos"/>
        </w:rPr>
      </w:pPr>
      <w:r w:rsidRPr="005D60A3">
        <w:rPr>
          <w:rFonts w:ascii="Aptos"/>
        </w:rPr>
        <w:t xml:space="preserve">21. </w:t>
      </w:r>
      <w:r w:rsidRPr="005D60A3">
        <w:rPr>
          <w:rFonts w:ascii="Aptos"/>
        </w:rPr>
        <w:tab/>
        <w:t>Jha P, Kumar D, Dikshit R, et al (2019) Automated versus physician assignment of cause of death for verbal autopsies: randomized trial of 9374 deaths in 117 villages in India. BMC Medicine 17:116</w:t>
      </w:r>
    </w:p>
    <w:p w:rsidR="005D60A3" w:rsidRPr="005D60A3" w:rsidRDefault="005D60A3" w:rsidP="005D60A3">
      <w:pPr>
        <w:pStyle w:val="Bibliography"/>
        <w:rPr>
          <w:rFonts w:ascii="Aptos"/>
        </w:rPr>
      </w:pPr>
      <w:r w:rsidRPr="005D60A3">
        <w:rPr>
          <w:rFonts w:ascii="Aptos"/>
        </w:rPr>
        <w:t xml:space="preserve">22. </w:t>
      </w:r>
      <w:r w:rsidRPr="005D60A3">
        <w:rPr>
          <w:rFonts w:ascii="Aptos"/>
        </w:rPr>
        <w:tab/>
        <w:t>Leitao J, Desai N, Aleksandrowicz L, et al (2014) Comparison of physician-certified verbal autopsy with computer-coded verbal autopsy for cause of death assignment in hospitalized patients in low- and middle-income countries: systematic review. BMC Med 12:22</w:t>
      </w:r>
    </w:p>
    <w:p w:rsidR="005D60A3" w:rsidRPr="005D60A3" w:rsidRDefault="005D60A3" w:rsidP="005D60A3">
      <w:pPr>
        <w:pStyle w:val="Bibliography"/>
        <w:rPr>
          <w:rFonts w:ascii="Aptos"/>
        </w:rPr>
      </w:pPr>
      <w:r w:rsidRPr="005D60A3">
        <w:rPr>
          <w:rFonts w:ascii="Aptos"/>
        </w:rPr>
        <w:t xml:space="preserve">23. </w:t>
      </w:r>
      <w:r w:rsidRPr="005D60A3">
        <w:rPr>
          <w:rFonts w:ascii="Aptos"/>
        </w:rPr>
        <w:tab/>
        <w:t>Desai N, Aleksandrowicz L, Miasnikof P, et al (2014) Performance of four computer-coded verbal autopsy methods for cause of death assignment compared with physician coding on 24,000 deaths in low- and middle-income countries. BMC Medicine 12:20</w:t>
      </w:r>
    </w:p>
    <w:p w:rsidR="005D60A3" w:rsidRPr="005D60A3" w:rsidRDefault="005D60A3" w:rsidP="005D60A3">
      <w:pPr>
        <w:pStyle w:val="Bibliography"/>
        <w:rPr>
          <w:rFonts w:ascii="Aptos"/>
        </w:rPr>
      </w:pPr>
      <w:r w:rsidRPr="005D60A3">
        <w:rPr>
          <w:rFonts w:ascii="Aptos"/>
        </w:rPr>
        <w:t xml:space="preserve">24. </w:t>
      </w:r>
      <w:r w:rsidRPr="005D60A3">
        <w:rPr>
          <w:rFonts w:ascii="Aptos"/>
        </w:rPr>
        <w:tab/>
        <w:t>Tunga M, Lungo J, Chambua J, Kateule R (2021) Verbal autopsy models in determining causes of death. Tropical Medicine &amp; International Health 26:1560–1567</w:t>
      </w:r>
    </w:p>
    <w:p w:rsidR="005D60A3" w:rsidRPr="005D60A3" w:rsidRDefault="005D60A3" w:rsidP="005D60A3">
      <w:pPr>
        <w:pStyle w:val="Bibliography"/>
        <w:rPr>
          <w:rFonts w:ascii="Aptos"/>
        </w:rPr>
      </w:pPr>
      <w:r w:rsidRPr="005D60A3">
        <w:rPr>
          <w:rFonts w:ascii="Aptos"/>
        </w:rPr>
        <w:lastRenderedPageBreak/>
        <w:t xml:space="preserve">25. </w:t>
      </w:r>
      <w:r w:rsidRPr="005D60A3">
        <w:rPr>
          <w:rFonts w:ascii="Aptos"/>
        </w:rPr>
        <w:tab/>
        <w:t>Oti SO, Kyobutungi C (2010) Verbal autopsy interpretation: a comparative analysis of the InterVA model versus physician review in determining causes of death in the Nairobi DSS. Popul Health Metrics 8:21</w:t>
      </w:r>
    </w:p>
    <w:p w:rsidR="005D60A3" w:rsidRPr="005D60A3" w:rsidRDefault="005D60A3" w:rsidP="005D60A3">
      <w:pPr>
        <w:pStyle w:val="Bibliography"/>
        <w:rPr>
          <w:rFonts w:ascii="Aptos"/>
        </w:rPr>
      </w:pPr>
      <w:r w:rsidRPr="005D60A3">
        <w:rPr>
          <w:rFonts w:ascii="Aptos"/>
        </w:rPr>
        <w:t xml:space="preserve">26. </w:t>
      </w:r>
      <w:r w:rsidRPr="005D60A3">
        <w:rPr>
          <w:rFonts w:ascii="Aptos"/>
        </w:rPr>
        <w:tab/>
        <w:t>Jeblee S, Gomes M, Jha P, Rudzicz F, Hirst G (2019) Automatically determining cause of death from verbal autopsy narratives. BMC Med Inform Decis Mak 19:127</w:t>
      </w:r>
    </w:p>
    <w:p w:rsidR="005D60A3" w:rsidRPr="005D60A3" w:rsidRDefault="005D60A3" w:rsidP="005D60A3">
      <w:pPr>
        <w:pStyle w:val="Bibliography"/>
        <w:rPr>
          <w:rFonts w:ascii="Aptos"/>
        </w:rPr>
      </w:pPr>
      <w:r w:rsidRPr="005D60A3">
        <w:rPr>
          <w:rFonts w:ascii="Aptos"/>
        </w:rPr>
        <w:t xml:space="preserve">27. </w:t>
      </w:r>
      <w:r w:rsidRPr="005D60A3">
        <w:rPr>
          <w:rFonts w:ascii="Aptos"/>
        </w:rPr>
        <w:tab/>
        <w:t>Blanco A, Pérez A, Casillas A, Cobos D (2021) Extracting Cause of Death From Verbal Autopsy With Deep Learning Interpretable Methods. IEEE Journal of Biomedical and Health Informatics 25:1315–1325</w:t>
      </w:r>
    </w:p>
    <w:p w:rsidR="005D60A3" w:rsidRPr="005D60A3" w:rsidRDefault="005D60A3" w:rsidP="005D60A3">
      <w:pPr>
        <w:pStyle w:val="Bibliography"/>
        <w:rPr>
          <w:rFonts w:ascii="Aptos"/>
        </w:rPr>
      </w:pPr>
      <w:r w:rsidRPr="005D60A3">
        <w:rPr>
          <w:rFonts w:ascii="Aptos"/>
        </w:rPr>
        <w:t xml:space="preserve">28. </w:t>
      </w:r>
      <w:r w:rsidRPr="005D60A3">
        <w:rPr>
          <w:rFonts w:ascii="Aptos"/>
        </w:rPr>
        <w:tab/>
        <w:t>King C, Zamawe C, Banda M, et al (2016) The quality and diagnostic value of open narratives in verbal autopsy: a mixed-methods analysis of partnered interviews from Malawi. BMC Med Res Methodol 16:13</w:t>
      </w:r>
    </w:p>
    <w:p w:rsidR="005D60A3" w:rsidRPr="005D60A3" w:rsidRDefault="005D60A3" w:rsidP="005D60A3">
      <w:pPr>
        <w:pStyle w:val="Bibliography"/>
        <w:rPr>
          <w:rFonts w:ascii="Aptos"/>
        </w:rPr>
      </w:pPr>
      <w:r w:rsidRPr="005D60A3">
        <w:rPr>
          <w:rFonts w:ascii="Aptos"/>
        </w:rPr>
        <w:t xml:space="preserve">29. </w:t>
      </w:r>
      <w:r w:rsidRPr="005D60A3">
        <w:rPr>
          <w:rFonts w:ascii="Aptos"/>
        </w:rPr>
        <w:tab/>
        <w:t>Chang Y, Wang X, Wang J, et al (2023) A Survey on Evaluation of Large Language Models. https://doi.org/10.48550/arXiv.2307.03109</w:t>
      </w:r>
    </w:p>
    <w:p w:rsidR="005D60A3" w:rsidRPr="005D60A3" w:rsidRDefault="005D60A3" w:rsidP="005D60A3">
      <w:pPr>
        <w:pStyle w:val="Bibliography"/>
        <w:rPr>
          <w:rFonts w:ascii="Aptos"/>
        </w:rPr>
      </w:pPr>
      <w:r w:rsidRPr="005D60A3">
        <w:rPr>
          <w:rFonts w:ascii="Aptos"/>
        </w:rPr>
        <w:t xml:space="preserve">30. </w:t>
      </w:r>
      <w:r w:rsidRPr="005D60A3">
        <w:rPr>
          <w:rFonts w:ascii="Aptos"/>
        </w:rPr>
        <w:tab/>
        <w:t>Lund BD, Wang T (2023) Chatting about ChatGPT: how may AI and GPT impact academia and libraries? Library Hi Tech News 40:26–29</w:t>
      </w:r>
    </w:p>
    <w:p w:rsidR="005D60A3" w:rsidRPr="005D60A3" w:rsidRDefault="005D60A3" w:rsidP="005D60A3">
      <w:pPr>
        <w:pStyle w:val="Bibliography"/>
        <w:rPr>
          <w:rFonts w:ascii="Aptos"/>
        </w:rPr>
      </w:pPr>
      <w:r w:rsidRPr="005D60A3">
        <w:rPr>
          <w:rFonts w:ascii="Aptos"/>
        </w:rPr>
        <w:t xml:space="preserve">31. </w:t>
      </w:r>
      <w:r w:rsidRPr="005D60A3">
        <w:rPr>
          <w:rFonts w:ascii="Aptos"/>
        </w:rPr>
        <w:tab/>
        <w:t>Svyatkovskiy A, Deng SK, Fu S, Sundaresan N (2020) IntelliCode compose: code generation using transformer. In: Proceedings of the 28th ACM Joint Meeting on European Software Engineering Conference and Symposium on the Foundations of Software Engineering. Association for Computing Machinery, New York, NY, USA, pp 1433–1443</w:t>
      </w:r>
    </w:p>
    <w:p w:rsidR="005D60A3" w:rsidRPr="005D60A3" w:rsidRDefault="005D60A3" w:rsidP="005D60A3">
      <w:pPr>
        <w:pStyle w:val="Bibliography"/>
        <w:rPr>
          <w:rFonts w:ascii="Aptos"/>
        </w:rPr>
      </w:pPr>
      <w:r w:rsidRPr="005D60A3">
        <w:rPr>
          <w:rFonts w:ascii="Aptos"/>
        </w:rPr>
        <w:t xml:space="preserve">32. </w:t>
      </w:r>
      <w:r w:rsidRPr="005D60A3">
        <w:rPr>
          <w:rFonts w:ascii="Aptos"/>
        </w:rPr>
        <w:tab/>
        <w:t>Haupt CE, Marks M (2023) AI-Generated Medical Advice—GPT and Beyond. JAMA 329:1349–1350</w:t>
      </w:r>
    </w:p>
    <w:p w:rsidR="005D60A3" w:rsidRPr="005D60A3" w:rsidRDefault="005D60A3" w:rsidP="005D60A3">
      <w:pPr>
        <w:pStyle w:val="Bibliography"/>
        <w:rPr>
          <w:rFonts w:ascii="Aptos"/>
        </w:rPr>
      </w:pPr>
      <w:r w:rsidRPr="005D60A3">
        <w:rPr>
          <w:rFonts w:ascii="Aptos"/>
        </w:rPr>
        <w:t xml:space="preserve">33. </w:t>
      </w:r>
      <w:r w:rsidRPr="005D60A3">
        <w:rPr>
          <w:rFonts w:ascii="Aptos"/>
        </w:rPr>
        <w:tab/>
        <w:t>Wu T, He S, Liu J, Sun S, Liu K, Han Q-L, Tang Y (2023) A Brief Overview of ChatGPT: The History, Status Quo and Potential Future Development. IEEE/CAA JAS 10:1122–1136</w:t>
      </w:r>
    </w:p>
    <w:p w:rsidR="005D60A3" w:rsidRPr="005D60A3" w:rsidRDefault="005D60A3" w:rsidP="005D60A3">
      <w:pPr>
        <w:pStyle w:val="Bibliography"/>
        <w:rPr>
          <w:rFonts w:ascii="Aptos"/>
        </w:rPr>
      </w:pPr>
      <w:r w:rsidRPr="005D60A3">
        <w:rPr>
          <w:rFonts w:ascii="Aptos"/>
        </w:rPr>
        <w:t xml:space="preserve">34. </w:t>
      </w:r>
      <w:r w:rsidRPr="005D60A3">
        <w:rPr>
          <w:rFonts w:ascii="Aptos"/>
        </w:rPr>
        <w:tab/>
        <w:t>OpenAI, Achiam J, Adler S, et al (2023) GPT-4 Technical Report. https://doi.org/10.48550/arXiv.2303.08774</w:t>
      </w:r>
    </w:p>
    <w:p w:rsidR="005D60A3" w:rsidRPr="005D60A3" w:rsidRDefault="005D60A3" w:rsidP="005D60A3">
      <w:pPr>
        <w:pStyle w:val="Bibliography"/>
        <w:rPr>
          <w:rFonts w:ascii="Aptos"/>
        </w:rPr>
      </w:pPr>
      <w:r w:rsidRPr="005D60A3">
        <w:rPr>
          <w:rFonts w:ascii="Aptos"/>
        </w:rPr>
        <w:t xml:space="preserve">35. </w:t>
      </w:r>
      <w:r w:rsidRPr="005D60A3">
        <w:rPr>
          <w:rFonts w:ascii="Aptos"/>
        </w:rPr>
        <w:tab/>
        <w:t>Njala University (2023) Healthy Sierra Leone. https://healsl.org/. Accessed 7 Jan 2024</w:t>
      </w:r>
    </w:p>
    <w:p w:rsidR="005D60A3" w:rsidRPr="005D60A3" w:rsidRDefault="005D60A3" w:rsidP="005D60A3">
      <w:pPr>
        <w:pStyle w:val="Bibliography"/>
        <w:rPr>
          <w:rFonts w:ascii="Aptos"/>
        </w:rPr>
      </w:pPr>
      <w:r w:rsidRPr="005D60A3">
        <w:rPr>
          <w:rFonts w:ascii="Aptos"/>
        </w:rPr>
        <w:t xml:space="preserve">36. </w:t>
      </w:r>
      <w:r w:rsidRPr="005D60A3">
        <w:rPr>
          <w:rFonts w:ascii="Aptos"/>
        </w:rPr>
        <w:tab/>
        <w:t>Carshon-Marsh R, Aimone A, Ansumana R, et al (2022) Child, maternal, and adult mortality in Sierra Leone: nationally representative mortality survey 2018–20. The Lancet Global Health 10:e114–e123</w:t>
      </w:r>
    </w:p>
    <w:p w:rsidR="005D60A3" w:rsidRPr="005D60A3" w:rsidRDefault="005D60A3" w:rsidP="005D60A3">
      <w:pPr>
        <w:pStyle w:val="Bibliography"/>
        <w:rPr>
          <w:rFonts w:ascii="Aptos"/>
        </w:rPr>
      </w:pPr>
      <w:r w:rsidRPr="005D60A3">
        <w:rPr>
          <w:rFonts w:ascii="Aptos"/>
        </w:rPr>
        <w:t xml:space="preserve">37. </w:t>
      </w:r>
      <w:r w:rsidRPr="005D60A3">
        <w:rPr>
          <w:rFonts w:ascii="Aptos"/>
        </w:rPr>
        <w:tab/>
        <w:t xml:space="preserve">World Health Organization (2011) ICD-10: International statistical classification of diseases and related health problems (10th revision). </w:t>
      </w:r>
    </w:p>
    <w:p w:rsidR="005D60A3" w:rsidRPr="005D60A3" w:rsidRDefault="005D60A3" w:rsidP="005D60A3">
      <w:pPr>
        <w:pStyle w:val="Bibliography"/>
        <w:rPr>
          <w:rFonts w:ascii="Aptos"/>
        </w:rPr>
      </w:pPr>
      <w:r w:rsidRPr="005D60A3">
        <w:rPr>
          <w:rFonts w:ascii="Aptos"/>
        </w:rPr>
        <w:lastRenderedPageBreak/>
        <w:t xml:space="preserve">38. </w:t>
      </w:r>
      <w:r w:rsidRPr="005D60A3">
        <w:rPr>
          <w:rFonts w:ascii="Aptos"/>
        </w:rPr>
        <w:tab/>
        <w:t>Aleksandrowicz L, Malhotra V, Dikshit R, et al (2014) Performance criteria for verbal autopsy-based systems to estimate national causes of death: development and application to the Indian Million Death Study. BMC Medicine 12:21</w:t>
      </w:r>
    </w:p>
    <w:p w:rsidR="005D60A3" w:rsidRPr="005D60A3" w:rsidRDefault="005D60A3" w:rsidP="005D60A3">
      <w:pPr>
        <w:pStyle w:val="Bibliography"/>
        <w:rPr>
          <w:rFonts w:ascii="Aptos"/>
        </w:rPr>
      </w:pPr>
      <w:r w:rsidRPr="005D60A3">
        <w:rPr>
          <w:rFonts w:ascii="Aptos"/>
        </w:rPr>
        <w:t xml:space="preserve">39. </w:t>
      </w:r>
      <w:r w:rsidRPr="005D60A3">
        <w:rPr>
          <w:rFonts w:ascii="Aptos"/>
        </w:rPr>
        <w:tab/>
        <w:t>Barnett ML, Boddupalli D, Nundy S, Bates DW (2019) Comparative Accuracy of Diagnosis by Collective Intelligence of Multiple Physicians vs Individual Physicians. JAMA Network Open 2:e190096</w:t>
      </w:r>
    </w:p>
    <w:p w:rsidR="005D60A3" w:rsidRPr="005D60A3" w:rsidRDefault="005D60A3" w:rsidP="005D60A3">
      <w:pPr>
        <w:pStyle w:val="Bibliography"/>
        <w:rPr>
          <w:rFonts w:ascii="Aptos"/>
        </w:rPr>
      </w:pPr>
      <w:r w:rsidRPr="005D60A3">
        <w:rPr>
          <w:rFonts w:ascii="Aptos"/>
        </w:rPr>
        <w:t xml:space="preserve">40. </w:t>
      </w:r>
      <w:r w:rsidRPr="005D60A3">
        <w:rPr>
          <w:rFonts w:ascii="Aptos"/>
        </w:rPr>
        <w:tab/>
        <w:t>Hsiao M, Morris SK, Bassani DG, Montgomery AL, Thakur JS, Jha P (2012) Factors Associated with Physician Agreement on Verbal Autopsy of over 11500 Injury Deaths in India. PLOS ONE 7:e30336</w:t>
      </w:r>
    </w:p>
    <w:p w:rsidR="005D60A3" w:rsidRPr="005D60A3" w:rsidRDefault="005D60A3" w:rsidP="005D60A3">
      <w:pPr>
        <w:pStyle w:val="Bibliography"/>
        <w:rPr>
          <w:rFonts w:ascii="Aptos"/>
        </w:rPr>
      </w:pPr>
      <w:r w:rsidRPr="005D60A3">
        <w:rPr>
          <w:rFonts w:ascii="Aptos"/>
        </w:rPr>
        <w:t xml:space="preserve">41. </w:t>
      </w:r>
      <w:r w:rsidRPr="005D60A3">
        <w:rPr>
          <w:rFonts w:ascii="Aptos"/>
        </w:rPr>
        <w:tab/>
        <w:t>Murray CJ, Lozano R, Flaxman AD, et al (2014) Using verbal autopsy to measure causes of death: the comparative performance of existing methods. BMC Med 12:5</w:t>
      </w:r>
    </w:p>
    <w:p w:rsidR="005D60A3" w:rsidRPr="005D60A3" w:rsidRDefault="005D60A3" w:rsidP="005D60A3">
      <w:pPr>
        <w:pStyle w:val="Bibliography"/>
        <w:rPr>
          <w:rFonts w:ascii="Aptos"/>
        </w:rPr>
      </w:pPr>
      <w:r w:rsidRPr="005D60A3">
        <w:rPr>
          <w:rFonts w:ascii="Aptos"/>
        </w:rPr>
        <w:t xml:space="preserve">42. </w:t>
      </w:r>
      <w:r w:rsidRPr="005D60A3">
        <w:rPr>
          <w:rFonts w:ascii="Aptos"/>
        </w:rPr>
        <w:tab/>
        <w:t>Benara SK, Sharma S, Juneja A, Nair S, Gulati BK, Singh KhJ, Singh L, Yadav VP, Rao C, Rao MVV (2023) Evaluation of methods for assigning causes of death from verbal autopsies in India. Front Big Data 6:1197471</w:t>
      </w:r>
    </w:p>
    <w:p w:rsidR="005D60A3" w:rsidRPr="005D60A3" w:rsidRDefault="005D60A3" w:rsidP="005D60A3">
      <w:pPr>
        <w:pStyle w:val="Bibliography"/>
        <w:rPr>
          <w:rFonts w:ascii="Aptos"/>
        </w:rPr>
      </w:pPr>
      <w:r w:rsidRPr="005D60A3">
        <w:rPr>
          <w:rFonts w:ascii="Aptos"/>
        </w:rPr>
        <w:t xml:space="preserve">43. </w:t>
      </w:r>
      <w:r w:rsidRPr="005D60A3">
        <w:rPr>
          <w:rFonts w:ascii="Aptos"/>
        </w:rPr>
        <w:tab/>
        <w:t>Li ZR, Thomas J, Choi E, McCormick TH, Clark SJ (2023) The openVA Toolkit for Verbal Autopsies. The R Journal 1</w:t>
      </w:r>
    </w:p>
    <w:p w:rsidR="005D60A3" w:rsidRPr="005D60A3" w:rsidRDefault="005D60A3" w:rsidP="005D60A3">
      <w:pPr>
        <w:pStyle w:val="Bibliography"/>
        <w:rPr>
          <w:rFonts w:ascii="Aptos"/>
        </w:rPr>
      </w:pPr>
      <w:r w:rsidRPr="005D60A3">
        <w:rPr>
          <w:rFonts w:ascii="Aptos"/>
        </w:rPr>
        <w:t xml:space="preserve">44. </w:t>
      </w:r>
      <w:r w:rsidRPr="005D60A3">
        <w:rPr>
          <w:rFonts w:ascii="Aptos"/>
        </w:rPr>
        <w:tab/>
        <w:t>Byass P, Chandramohan D, Clark SJ, et al (2012) Strengthening standardised interpretation of verbal autopsy data: the new InterVA-4 tool. Global Health Action 5:19281</w:t>
      </w:r>
    </w:p>
    <w:p w:rsidR="005D60A3" w:rsidRPr="005D60A3" w:rsidRDefault="005D60A3" w:rsidP="005D60A3">
      <w:pPr>
        <w:pStyle w:val="Bibliography"/>
        <w:rPr>
          <w:rFonts w:ascii="Aptos"/>
        </w:rPr>
      </w:pPr>
      <w:r w:rsidRPr="005D60A3">
        <w:rPr>
          <w:rFonts w:ascii="Aptos"/>
        </w:rPr>
        <w:t xml:space="preserve">45. </w:t>
      </w:r>
      <w:r w:rsidRPr="005D60A3">
        <w:rPr>
          <w:rFonts w:ascii="Aptos"/>
        </w:rPr>
        <w:tab/>
        <w:t>BAYES (1958) An essay towards solving a problem in the doctrine of chances. Biometrika 45:296–315</w:t>
      </w:r>
    </w:p>
    <w:p w:rsidR="005D60A3" w:rsidRPr="005D60A3" w:rsidRDefault="005D60A3" w:rsidP="005D60A3">
      <w:pPr>
        <w:pStyle w:val="Bibliography"/>
        <w:rPr>
          <w:rFonts w:ascii="Aptos"/>
        </w:rPr>
      </w:pPr>
      <w:r w:rsidRPr="005D60A3">
        <w:rPr>
          <w:rFonts w:ascii="Aptos"/>
        </w:rPr>
        <w:t xml:space="preserve">46. </w:t>
      </w:r>
      <w:r w:rsidRPr="005D60A3">
        <w:rPr>
          <w:rFonts w:ascii="Aptos"/>
        </w:rPr>
        <w:tab/>
        <w:t>Brooks S (1998) Markov chain Monte Carlo method and its application. J Royal Statistical Soc D 47:69–100</w:t>
      </w:r>
    </w:p>
    <w:p w:rsidR="005D60A3" w:rsidRPr="005D60A3" w:rsidRDefault="005D60A3" w:rsidP="005D60A3">
      <w:pPr>
        <w:pStyle w:val="Bibliography"/>
        <w:rPr>
          <w:rFonts w:ascii="Aptos"/>
        </w:rPr>
      </w:pPr>
      <w:r w:rsidRPr="005D60A3">
        <w:rPr>
          <w:rFonts w:ascii="Aptos"/>
        </w:rPr>
        <w:t xml:space="preserve">47. </w:t>
      </w:r>
      <w:r w:rsidRPr="005D60A3">
        <w:rPr>
          <w:rFonts w:ascii="Aptos"/>
        </w:rPr>
        <w:tab/>
        <w:t>Chib S (2001) Markov chain Monte Carlo methods: computation and inference. Handbook of econometrics 5:3569–3649</w:t>
      </w:r>
    </w:p>
    <w:p w:rsidR="005D60A3" w:rsidRPr="005D60A3" w:rsidRDefault="005D60A3" w:rsidP="005D60A3">
      <w:pPr>
        <w:pStyle w:val="Bibliography"/>
        <w:rPr>
          <w:rFonts w:ascii="Aptos"/>
        </w:rPr>
      </w:pPr>
      <w:r w:rsidRPr="005D60A3">
        <w:rPr>
          <w:rFonts w:ascii="Aptos"/>
        </w:rPr>
        <w:t xml:space="preserve">48. </w:t>
      </w:r>
      <w:r w:rsidRPr="005D60A3">
        <w:rPr>
          <w:rFonts w:ascii="Aptos"/>
        </w:rPr>
        <w:tab/>
        <w:t>Han C, Carlin BP (2001) Markov Chain Monte Carlo Methods for Computing Bayes Factors: A Comparative Review. Journal of the American Statistical Association 96:1122–1132</w:t>
      </w:r>
    </w:p>
    <w:p w:rsidR="005D60A3" w:rsidRPr="005D60A3" w:rsidRDefault="005D60A3" w:rsidP="005D60A3">
      <w:pPr>
        <w:pStyle w:val="Bibliography"/>
        <w:rPr>
          <w:rFonts w:ascii="Aptos"/>
        </w:rPr>
      </w:pPr>
      <w:r w:rsidRPr="005D60A3">
        <w:rPr>
          <w:rFonts w:ascii="Aptos"/>
        </w:rPr>
        <w:t xml:space="preserve">49. </w:t>
      </w:r>
      <w:r w:rsidRPr="005D60A3">
        <w:rPr>
          <w:rFonts w:ascii="Aptos"/>
        </w:rPr>
        <w:tab/>
        <w:t>Brown TB, Mann B, Ryder N, et al (2020) Language Models are Few-Shot Learners. https://doi.org/10.48550/arXiv.2005.14165</w:t>
      </w:r>
    </w:p>
    <w:p w:rsidR="005D60A3" w:rsidRPr="005D60A3" w:rsidRDefault="005D60A3" w:rsidP="005D60A3">
      <w:pPr>
        <w:pStyle w:val="Bibliography"/>
        <w:rPr>
          <w:rFonts w:ascii="Aptos"/>
        </w:rPr>
      </w:pPr>
      <w:r w:rsidRPr="005D60A3">
        <w:rPr>
          <w:rFonts w:ascii="Aptos"/>
        </w:rPr>
        <w:t xml:space="preserve">50. </w:t>
      </w:r>
      <w:r w:rsidRPr="005D60A3">
        <w:rPr>
          <w:rFonts w:ascii="Aptos"/>
        </w:rPr>
        <w:tab/>
        <w:t>Vaswani A, Shazeer N, Parmar N, Uszkoreit J, Jones L, Gomez AN, Kaiser Ł, Polosukhin I (2017) Attention is All you Need. Advances in Neural Information Processing Systems 30:</w:t>
      </w:r>
    </w:p>
    <w:p w:rsidR="005D60A3" w:rsidRPr="005D60A3" w:rsidRDefault="005D60A3" w:rsidP="005D60A3">
      <w:pPr>
        <w:pStyle w:val="Bibliography"/>
        <w:rPr>
          <w:rFonts w:ascii="Aptos"/>
        </w:rPr>
      </w:pPr>
      <w:r w:rsidRPr="005D60A3">
        <w:rPr>
          <w:rFonts w:ascii="Aptos"/>
        </w:rPr>
        <w:lastRenderedPageBreak/>
        <w:t xml:space="preserve">51. </w:t>
      </w:r>
      <w:r w:rsidRPr="005D60A3">
        <w:rPr>
          <w:rFonts w:ascii="Aptos"/>
        </w:rPr>
        <w:tab/>
        <w:t>Ouyang L, Wu J, Jiang X, et al (2022) Training language models to follow instructions with human feedback. https://doi.org/10.48550/arXiv.2203.02155</w:t>
      </w:r>
    </w:p>
    <w:p w:rsidR="005D60A3" w:rsidRPr="005D60A3" w:rsidRDefault="005D60A3" w:rsidP="005D60A3">
      <w:pPr>
        <w:pStyle w:val="Bibliography"/>
        <w:rPr>
          <w:rFonts w:ascii="Aptos"/>
        </w:rPr>
      </w:pPr>
      <w:r w:rsidRPr="005D60A3">
        <w:rPr>
          <w:rFonts w:ascii="Aptos"/>
        </w:rPr>
        <w:t xml:space="preserve">52. </w:t>
      </w:r>
      <w:r w:rsidRPr="005D60A3">
        <w:rPr>
          <w:rFonts w:ascii="Aptos"/>
        </w:rPr>
        <w:tab/>
        <w:t>Christiano PF, Leike J, Brown T, Martic M, Legg S, Amodei D (2017) Deep reinforcement learning from human preferences. Advances in neural information processing systems 30:</w:t>
      </w:r>
    </w:p>
    <w:p w:rsidR="005D60A3" w:rsidRPr="005D60A3" w:rsidRDefault="005D60A3" w:rsidP="005D60A3">
      <w:pPr>
        <w:pStyle w:val="Bibliography"/>
        <w:rPr>
          <w:rFonts w:ascii="Aptos"/>
        </w:rPr>
      </w:pPr>
      <w:r w:rsidRPr="005D60A3">
        <w:rPr>
          <w:rFonts w:ascii="Aptos"/>
        </w:rPr>
        <w:t xml:space="preserve">53. </w:t>
      </w:r>
      <w:r w:rsidRPr="005D60A3">
        <w:rPr>
          <w:rFonts w:ascii="Aptos"/>
        </w:rPr>
        <w:tab/>
        <w:t>Stiennon N, Ouyang L, Wu J, Ziegler D, Lowe R, Voss C, Radford A, Amodei D, Christiano PF (2020) Learning to summarize with human feedback. Advances in Neural Information Processing Systems 33:3008–3021</w:t>
      </w:r>
    </w:p>
    <w:p w:rsidR="005D60A3" w:rsidRPr="005D60A3" w:rsidRDefault="005D60A3" w:rsidP="005D60A3">
      <w:pPr>
        <w:pStyle w:val="Bibliography"/>
        <w:rPr>
          <w:rFonts w:ascii="Aptos"/>
        </w:rPr>
      </w:pPr>
      <w:r w:rsidRPr="005D60A3">
        <w:rPr>
          <w:rFonts w:ascii="Aptos"/>
        </w:rPr>
        <w:t xml:space="preserve">54. </w:t>
      </w:r>
      <w:r w:rsidRPr="005D60A3">
        <w:rPr>
          <w:rFonts w:ascii="Aptos"/>
        </w:rPr>
        <w:tab/>
        <w:t>Wirth C, Akrour R, Neumann G, Fürnkranz J (2017) A survey of preference-based reinforcement learning methods. J Mach Learn Res 18:4945–4990</w:t>
      </w:r>
    </w:p>
    <w:p w:rsidR="005D60A3" w:rsidRPr="005D60A3" w:rsidRDefault="005D60A3" w:rsidP="005D60A3">
      <w:pPr>
        <w:pStyle w:val="Bibliography"/>
        <w:rPr>
          <w:rFonts w:ascii="Aptos"/>
        </w:rPr>
      </w:pPr>
      <w:r w:rsidRPr="005D60A3">
        <w:rPr>
          <w:rFonts w:ascii="Aptos"/>
        </w:rPr>
        <w:t xml:space="preserve">55. </w:t>
      </w:r>
      <w:r w:rsidRPr="005D60A3">
        <w:rPr>
          <w:rFonts w:ascii="Aptos"/>
        </w:rPr>
        <w:tab/>
        <w:t>World Health Organization (2016) Verbal autopsy standards: The 2016 WHO verbal autopsy instrument. https://www.who.int/publications/m/item/verbal-autopsy-standards-the-2016-who-verbal-autopsy-instrument. Accessed 17 Jan 2024</w:t>
      </w:r>
    </w:p>
    <w:p w:rsidR="005D60A3" w:rsidRPr="005D60A3" w:rsidRDefault="005D60A3" w:rsidP="005D60A3">
      <w:pPr>
        <w:pStyle w:val="Bibliography"/>
        <w:rPr>
          <w:rFonts w:ascii="Aptos"/>
        </w:rPr>
      </w:pPr>
      <w:r w:rsidRPr="005D60A3">
        <w:rPr>
          <w:rFonts w:ascii="Aptos"/>
        </w:rPr>
        <w:t xml:space="preserve">56. </w:t>
      </w:r>
      <w:r w:rsidRPr="005D60A3">
        <w:rPr>
          <w:rFonts w:ascii="Aptos"/>
        </w:rPr>
        <w:tab/>
        <w:t>Murray CJ, Lozano R, Flaxman AD, Vahdatpour A, Lopez AD (2011) Robust metrics for assessing the performance of different verbal autopsy cause assignment methods in validation studies. Population Health Metrics 9:28</w:t>
      </w:r>
    </w:p>
    <w:p w:rsidR="005D60A3" w:rsidRPr="005D60A3" w:rsidRDefault="005D60A3" w:rsidP="005D60A3">
      <w:pPr>
        <w:pStyle w:val="Bibliography"/>
        <w:rPr>
          <w:rFonts w:ascii="Aptos"/>
        </w:rPr>
      </w:pPr>
      <w:r w:rsidRPr="005D60A3">
        <w:rPr>
          <w:rFonts w:ascii="Aptos"/>
        </w:rPr>
        <w:t xml:space="preserve">57. </w:t>
      </w:r>
      <w:r w:rsidRPr="005D60A3">
        <w:rPr>
          <w:rFonts w:ascii="Aptos"/>
        </w:rPr>
        <w:tab/>
        <w:t>Setel PW, Whiting DR, Hemed Y, Chandramohan D, Wolfson LJ, Alberti KGMM, Lopez AD (2006) Validity of verbal autopsy procedures for determining cause of death in Tanzania. Tropical Medicine &amp; International Health 11:681–696</w:t>
      </w:r>
    </w:p>
    <w:p w:rsidR="005D60A3" w:rsidRPr="005D60A3" w:rsidRDefault="005D60A3" w:rsidP="005D60A3">
      <w:pPr>
        <w:pStyle w:val="Bibliography"/>
        <w:rPr>
          <w:rFonts w:ascii="Aptos"/>
        </w:rPr>
      </w:pPr>
      <w:r w:rsidRPr="005D60A3">
        <w:rPr>
          <w:rFonts w:ascii="Aptos"/>
        </w:rPr>
        <w:t xml:space="preserve">58. </w:t>
      </w:r>
      <w:r w:rsidRPr="005D60A3">
        <w:rPr>
          <w:rFonts w:ascii="Aptos"/>
        </w:rPr>
        <w:tab/>
        <w:t xml:space="preserve">Ansumana R, Mohamed V, Carshon-Marsh R, et al (2023) Report on Causes of Death in Sierra Leone 2018 – 2023. </w:t>
      </w:r>
    </w:p>
    <w:p w:rsidR="005D60A3" w:rsidRPr="005D60A3" w:rsidRDefault="005D60A3" w:rsidP="005D60A3">
      <w:pPr>
        <w:pStyle w:val="Bibliography"/>
        <w:rPr>
          <w:rFonts w:ascii="Aptos"/>
        </w:rPr>
      </w:pPr>
      <w:r w:rsidRPr="005D60A3">
        <w:rPr>
          <w:rFonts w:ascii="Aptos"/>
        </w:rPr>
        <w:t xml:space="preserve">59. </w:t>
      </w:r>
      <w:r w:rsidRPr="005D60A3">
        <w:rPr>
          <w:rFonts w:ascii="Aptos"/>
        </w:rPr>
        <w:tab/>
        <w:t>Rasmussen LA, Cascio MA, Ferrand A, Shevell M, Racine E (2019) The complexity of physicians’ understanding and management of prognostic uncertainty in neonatal hypoxic-ischemic encephalopathy. J Perinatol 39:278–285</w:t>
      </w:r>
    </w:p>
    <w:p w:rsidR="005D60A3" w:rsidRPr="005D60A3" w:rsidRDefault="005D60A3" w:rsidP="005D60A3">
      <w:pPr>
        <w:pStyle w:val="Bibliography"/>
        <w:rPr>
          <w:rFonts w:ascii="Aptos"/>
        </w:rPr>
      </w:pPr>
      <w:r w:rsidRPr="005D60A3">
        <w:rPr>
          <w:rFonts w:ascii="Aptos"/>
        </w:rPr>
        <w:t xml:space="preserve">60. </w:t>
      </w:r>
      <w:r w:rsidRPr="005D60A3">
        <w:rPr>
          <w:rFonts w:ascii="Aptos"/>
        </w:rPr>
        <w:tab/>
        <w:t>Faison G, Chou F-S, Feudtner C, Janvier A (2023) When the Unknown Is Unknowable: Confronting Diagnostic Uncertainty. Pediatrics 152:e2023061193</w:t>
      </w:r>
    </w:p>
    <w:p w:rsidR="005D60A3" w:rsidRPr="005D60A3" w:rsidRDefault="005D60A3" w:rsidP="005D60A3">
      <w:pPr>
        <w:pStyle w:val="Bibliography"/>
        <w:rPr>
          <w:rFonts w:ascii="Aptos"/>
        </w:rPr>
      </w:pPr>
      <w:r w:rsidRPr="005D60A3">
        <w:rPr>
          <w:rFonts w:ascii="Aptos"/>
        </w:rPr>
        <w:t xml:space="preserve">61. </w:t>
      </w:r>
      <w:r w:rsidRPr="005D60A3">
        <w:rPr>
          <w:rFonts w:ascii="Aptos"/>
        </w:rPr>
        <w:tab/>
        <w:t>OpenAI (2024) Pricing. In: OpenAI. https://openai.com/api/pricing/. Accessed 4 Jul 2024</w:t>
      </w:r>
    </w:p>
    <w:p w:rsidR="005D60A3" w:rsidRPr="005D60A3" w:rsidRDefault="005D60A3" w:rsidP="005D60A3">
      <w:pPr>
        <w:pStyle w:val="Bibliography"/>
        <w:rPr>
          <w:rFonts w:ascii="Aptos"/>
        </w:rPr>
      </w:pPr>
      <w:r w:rsidRPr="005D60A3">
        <w:rPr>
          <w:rFonts w:ascii="Aptos"/>
        </w:rPr>
        <w:t xml:space="preserve">62. </w:t>
      </w:r>
      <w:r w:rsidRPr="005D60A3">
        <w:rPr>
          <w:rFonts w:ascii="Aptos"/>
        </w:rPr>
        <w:tab/>
        <w:t>Tao G, Cheng S, Zhang Z, Zhu J, Shen G, Zhang X (2023) Opening A Pandora’s Box: Things You Should Know in the Era of Custom GPTs. https://doi.org/10.48550/arXiv.2401.00905</w:t>
      </w:r>
    </w:p>
    <w:p w:rsidR="005D60A3" w:rsidRPr="005D60A3" w:rsidRDefault="005D60A3" w:rsidP="005D60A3">
      <w:pPr>
        <w:pStyle w:val="Bibliography"/>
        <w:rPr>
          <w:rFonts w:ascii="Aptos"/>
        </w:rPr>
      </w:pPr>
      <w:r w:rsidRPr="005D60A3">
        <w:rPr>
          <w:rFonts w:ascii="Aptos"/>
        </w:rPr>
        <w:t xml:space="preserve">63. </w:t>
      </w:r>
      <w:r w:rsidRPr="005D60A3">
        <w:rPr>
          <w:rFonts w:ascii="Aptos"/>
        </w:rPr>
        <w:tab/>
        <w:t>Khowaja SA, Khuwaja P, Dev K, Wang W, Nkenyereye L (2024) ChatGPT Needs SPADE (Sustainability, PrivAcy, Digital divide, and Ethics) Evaluation: A Review. Cogn Comput. https://doi.org/10.1007/s12559-024-10285-1</w:t>
      </w:r>
    </w:p>
    <w:p w:rsidR="005D60A3" w:rsidRPr="005D60A3" w:rsidRDefault="005D60A3" w:rsidP="005D60A3">
      <w:pPr>
        <w:pStyle w:val="Bibliography"/>
        <w:rPr>
          <w:rFonts w:ascii="Aptos"/>
        </w:rPr>
      </w:pPr>
      <w:r w:rsidRPr="005D60A3">
        <w:rPr>
          <w:rFonts w:ascii="Aptos"/>
        </w:rPr>
        <w:lastRenderedPageBreak/>
        <w:t xml:space="preserve">64. </w:t>
      </w:r>
      <w:r w:rsidRPr="005D60A3">
        <w:rPr>
          <w:rFonts w:ascii="Aptos"/>
        </w:rPr>
        <w:tab/>
        <w:t>Wu X, Duan R, Ni J (2024) Unveiling security, privacy, and ethical concerns of ChatGPT. Journal of Information and Intelligence 2:102–115</w:t>
      </w:r>
    </w:p>
    <w:p w:rsidR="005D60A3" w:rsidRPr="005D60A3" w:rsidRDefault="005D60A3" w:rsidP="005D60A3">
      <w:pPr>
        <w:pStyle w:val="Bibliography"/>
        <w:rPr>
          <w:rFonts w:ascii="Aptos"/>
        </w:rPr>
      </w:pPr>
      <w:r w:rsidRPr="005D60A3">
        <w:rPr>
          <w:rFonts w:ascii="Aptos"/>
        </w:rPr>
        <w:t xml:space="preserve">65. </w:t>
      </w:r>
      <w:r w:rsidRPr="005D60A3">
        <w:rPr>
          <w:rFonts w:ascii="Aptos"/>
        </w:rPr>
        <w:tab/>
        <w:t>Intersoft Consulting (2018) General Data Protection Regulation (GDPR) – Legal Text. In: General Data Protection Regulation (GDPR). https://gdpr-info.eu/. Accessed 24 Jun 2025</w:t>
      </w:r>
    </w:p>
    <w:p w:rsidR="005D60A3" w:rsidRPr="005D60A3" w:rsidRDefault="005D60A3" w:rsidP="005D60A3">
      <w:pPr>
        <w:pStyle w:val="Bibliography"/>
        <w:rPr>
          <w:rFonts w:ascii="Aptos"/>
        </w:rPr>
      </w:pPr>
      <w:r w:rsidRPr="005D60A3">
        <w:rPr>
          <w:rFonts w:ascii="Aptos"/>
        </w:rPr>
        <w:t xml:space="preserve">66. </w:t>
      </w:r>
      <w:r w:rsidRPr="005D60A3">
        <w:rPr>
          <w:rFonts w:ascii="Aptos"/>
        </w:rPr>
        <w:tab/>
        <w:t>Beck EJ, Gill ,Wayne, and De Lay PR (2016) Protecting the confidentiality and security of personal health information in low- and middle-income countries in the era of SDGs and Big Data. Global Health Action 9:32089</w:t>
      </w:r>
    </w:p>
    <w:p w:rsidR="005D60A3" w:rsidRPr="005D60A3" w:rsidRDefault="005D60A3" w:rsidP="005D60A3">
      <w:pPr>
        <w:pStyle w:val="Bibliography"/>
        <w:rPr>
          <w:rFonts w:ascii="Aptos"/>
        </w:rPr>
      </w:pPr>
      <w:r w:rsidRPr="005D60A3">
        <w:rPr>
          <w:rFonts w:ascii="Aptos"/>
        </w:rPr>
        <w:t xml:space="preserve">67. </w:t>
      </w:r>
      <w:r w:rsidRPr="005D60A3">
        <w:rPr>
          <w:rFonts w:ascii="Aptos"/>
        </w:rPr>
        <w:tab/>
        <w:t>Kwarkye TG (2025) “We know what we are doing”: the politics and trends in artificial intelligence policies in Africa. Canadian Journal of African Studies / Revue canadienne des études africaines 1–19</w:t>
      </w:r>
    </w:p>
    <w:p w:rsidR="005D60A3" w:rsidRPr="005D60A3" w:rsidRDefault="005D60A3" w:rsidP="005D60A3">
      <w:pPr>
        <w:pStyle w:val="Bibliography"/>
        <w:rPr>
          <w:rFonts w:ascii="Aptos"/>
        </w:rPr>
      </w:pPr>
      <w:r w:rsidRPr="005D60A3">
        <w:rPr>
          <w:rFonts w:ascii="Aptos"/>
        </w:rPr>
        <w:t xml:space="preserve">68. </w:t>
      </w:r>
      <w:r w:rsidRPr="005D60A3">
        <w:rPr>
          <w:rFonts w:ascii="Aptos"/>
        </w:rPr>
        <w:tab/>
        <w:t>OpenAI (2024) OpenAI Platform: API Reference (temperature parameter). https://platform.openai.com/docs/api-reference/completions/create#completions-create-temperature. Accessed 26 Jan 2024</w:t>
      </w:r>
    </w:p>
    <w:p w:rsidR="005D60A3" w:rsidRPr="005D60A3" w:rsidRDefault="005D60A3" w:rsidP="005D60A3">
      <w:pPr>
        <w:pStyle w:val="Bibliography"/>
        <w:rPr>
          <w:rFonts w:ascii="Aptos"/>
        </w:rPr>
      </w:pPr>
      <w:r w:rsidRPr="005D60A3">
        <w:rPr>
          <w:rFonts w:ascii="Aptos"/>
        </w:rPr>
        <w:t xml:space="preserve">69. </w:t>
      </w:r>
      <w:r w:rsidRPr="005D60A3">
        <w:rPr>
          <w:rFonts w:ascii="Aptos"/>
        </w:rPr>
        <w:tab/>
        <w:t>Johnson D, Goodman R, Patrinely J, et al (2023) Assessing the Accuracy and Reliability of AI-Generated Medical Responses: An Evaluation of the Chat-GPT Model. Res Sq rs.3.rs-2566942</w:t>
      </w:r>
    </w:p>
    <w:p w:rsidR="005D60A3" w:rsidRPr="005D60A3" w:rsidRDefault="005D60A3" w:rsidP="005D60A3">
      <w:pPr>
        <w:pStyle w:val="Bibliography"/>
        <w:rPr>
          <w:rFonts w:ascii="Aptos"/>
        </w:rPr>
      </w:pPr>
      <w:r w:rsidRPr="005D60A3">
        <w:rPr>
          <w:rFonts w:ascii="Aptos"/>
        </w:rPr>
        <w:t xml:space="preserve">70. </w:t>
      </w:r>
      <w:r w:rsidRPr="005D60A3">
        <w:rPr>
          <w:rFonts w:ascii="Aptos"/>
        </w:rPr>
        <w:tab/>
        <w:t xml:space="preserve">Jang ME, Lukasiewicz T (2023) Consistency Analysis of ChatGPT. </w:t>
      </w:r>
    </w:p>
    <w:p w:rsidR="005D60A3" w:rsidRPr="005D60A3" w:rsidRDefault="005D60A3" w:rsidP="005D60A3">
      <w:pPr>
        <w:pStyle w:val="Bibliography"/>
        <w:rPr>
          <w:rFonts w:ascii="Aptos"/>
        </w:rPr>
      </w:pPr>
      <w:r w:rsidRPr="005D60A3">
        <w:rPr>
          <w:rFonts w:ascii="Aptos"/>
        </w:rPr>
        <w:t xml:space="preserve">71. </w:t>
      </w:r>
      <w:r w:rsidRPr="005D60A3">
        <w:rPr>
          <w:rFonts w:ascii="Aptos"/>
        </w:rPr>
        <w:tab/>
        <w:t>Krishna S, Bhambra N, Bleakney R, Bhayana R, Atzen S (2024) Evaluation of Reliability, Repeatability, Robustness, and Confidence of GPT-3.5 and GPT-4 on a Radiology Board–style Examination. Radiology 311:e232715</w:t>
      </w:r>
    </w:p>
    <w:p w:rsidR="005D60A3" w:rsidRPr="005D60A3" w:rsidRDefault="005D60A3" w:rsidP="005D60A3">
      <w:pPr>
        <w:pStyle w:val="Bibliography"/>
        <w:rPr>
          <w:rFonts w:ascii="Aptos"/>
        </w:rPr>
      </w:pPr>
      <w:r w:rsidRPr="005D60A3">
        <w:rPr>
          <w:rFonts w:ascii="Aptos"/>
        </w:rPr>
        <w:t xml:space="preserve">72. </w:t>
      </w:r>
      <w:r w:rsidRPr="005D60A3">
        <w:rPr>
          <w:rFonts w:ascii="Aptos"/>
        </w:rPr>
        <w:tab/>
        <w:t>Setel PW, Macfarlane SB, Szreter S, Mikkelsen L, Jha P, Stout S, AbouZahr C (2007) A scandal of invisibility: making everyone count by counting everyone. The Lancet 370:1569–1577</w:t>
      </w:r>
    </w:p>
    <w:p w:rsidR="005D60A3" w:rsidRPr="005D60A3" w:rsidRDefault="005D60A3" w:rsidP="005D60A3">
      <w:pPr>
        <w:pStyle w:val="Bibliography"/>
        <w:rPr>
          <w:rFonts w:ascii="Aptos"/>
        </w:rPr>
      </w:pPr>
      <w:r w:rsidRPr="005D60A3">
        <w:rPr>
          <w:rFonts w:ascii="Aptos"/>
        </w:rPr>
        <w:t xml:space="preserve">73. </w:t>
      </w:r>
      <w:r w:rsidRPr="005D60A3">
        <w:rPr>
          <w:rFonts w:ascii="Aptos"/>
        </w:rPr>
        <w:tab/>
        <w:t>Fottrell E, Byass P (2010) Verbal autopsy: methods in transition. Epidemiologic reviews 32:38–55</w:t>
      </w:r>
    </w:p>
    <w:p w:rsidR="005D60A3" w:rsidRPr="005D60A3" w:rsidRDefault="005D60A3" w:rsidP="005D60A3">
      <w:pPr>
        <w:pStyle w:val="Bibliography"/>
        <w:rPr>
          <w:rFonts w:ascii="Aptos"/>
        </w:rPr>
      </w:pPr>
      <w:r w:rsidRPr="005D60A3">
        <w:rPr>
          <w:rFonts w:ascii="Aptos"/>
        </w:rPr>
        <w:t xml:space="preserve">74. </w:t>
      </w:r>
      <w:r w:rsidRPr="005D60A3">
        <w:rPr>
          <w:rFonts w:ascii="Aptos"/>
        </w:rPr>
        <w:tab/>
        <w:t>Byass P (2010) The Imperfect World of Global Health Estimates. PLoS Med 7:e1001006</w:t>
      </w:r>
    </w:p>
    <w:p w:rsidR="005D60A3" w:rsidRPr="005D60A3" w:rsidRDefault="005D60A3" w:rsidP="005D60A3">
      <w:pPr>
        <w:pStyle w:val="Bibliography"/>
        <w:rPr>
          <w:rFonts w:ascii="Aptos"/>
        </w:rPr>
      </w:pPr>
      <w:r w:rsidRPr="005D60A3">
        <w:rPr>
          <w:rFonts w:ascii="Aptos"/>
        </w:rPr>
        <w:t xml:space="preserve">75. </w:t>
      </w:r>
      <w:r w:rsidRPr="005D60A3">
        <w:rPr>
          <w:rFonts w:ascii="Aptos"/>
        </w:rPr>
        <w:tab/>
        <w:t>Murray CJ, Lopez AD (1997) Mortality by cause for eight regions of the world: Global Burden of Disease Study. The lancet 349:1269–1276</w:t>
      </w:r>
    </w:p>
    <w:p w:rsidR="005D60A3" w:rsidRPr="005D60A3" w:rsidRDefault="005D60A3" w:rsidP="005D60A3">
      <w:pPr>
        <w:pStyle w:val="Bibliography"/>
        <w:rPr>
          <w:rFonts w:ascii="Aptos"/>
        </w:rPr>
      </w:pPr>
      <w:r w:rsidRPr="005D60A3">
        <w:rPr>
          <w:rFonts w:ascii="Aptos"/>
        </w:rPr>
        <w:t xml:space="preserve">76. </w:t>
      </w:r>
      <w:r w:rsidRPr="005D60A3">
        <w:rPr>
          <w:rFonts w:ascii="Aptos"/>
        </w:rPr>
        <w:tab/>
        <w:t>Mathers CD, Boerma T, Ma Fat D (2009) Global and regional causes of death. British medical bulletin 92:7–32</w:t>
      </w:r>
    </w:p>
    <w:p w:rsidR="005D60A3" w:rsidRPr="005D60A3" w:rsidRDefault="005D60A3" w:rsidP="005D60A3">
      <w:pPr>
        <w:pStyle w:val="Bibliography"/>
        <w:rPr>
          <w:rFonts w:ascii="Aptos"/>
        </w:rPr>
      </w:pPr>
      <w:r w:rsidRPr="005D60A3">
        <w:rPr>
          <w:rFonts w:ascii="Aptos"/>
        </w:rPr>
        <w:lastRenderedPageBreak/>
        <w:t xml:space="preserve">77. </w:t>
      </w:r>
      <w:r w:rsidRPr="005D60A3">
        <w:rPr>
          <w:rFonts w:ascii="Aptos"/>
        </w:rPr>
        <w:tab/>
        <w:t>Vos T, Lim SS, Abbafati C, Abbas KM, Abbasi M, Abbasifard M, Abbasi-Kangevari M, Abbastabar H, Abd-Allah F, Abdelalim A (2020) Global burden of 369 diseases and injuries in 204 countries and territories, 1990–2019: a systematic analysis for the Global Burden of Disease Study 2019. The lancet 396:1204–1222</w:t>
      </w:r>
    </w:p>
    <w:p w:rsidR="005D60A3" w:rsidRPr="005D60A3" w:rsidRDefault="005D60A3" w:rsidP="005D60A3">
      <w:pPr>
        <w:pStyle w:val="Bibliography"/>
        <w:rPr>
          <w:rFonts w:ascii="Aptos"/>
        </w:rPr>
      </w:pPr>
      <w:r w:rsidRPr="005D60A3">
        <w:rPr>
          <w:rFonts w:ascii="Aptos"/>
        </w:rPr>
        <w:t xml:space="preserve">78. </w:t>
      </w:r>
      <w:r w:rsidRPr="005D60A3">
        <w:rPr>
          <w:rFonts w:ascii="Aptos"/>
        </w:rPr>
        <w:tab/>
        <w:t>Shawon MdTH, Ashrafi SAA, Azad AK, Firth SM, Chowdhury H, Mswia RG, Adair T, Riley I, Abouzahr C, Lopez AD (2021) Routine mortality surveillance to identify the cause of death pattern for out-of-hospital adult (aged 12+ years) deaths in Bangladesh: introduction of automated verbal autopsy. BMC Public Health 21:491</w:t>
      </w:r>
    </w:p>
    <w:p w:rsidR="005D60A3" w:rsidRPr="005D60A3" w:rsidRDefault="005D60A3" w:rsidP="005D60A3">
      <w:pPr>
        <w:pStyle w:val="Bibliography"/>
        <w:rPr>
          <w:rFonts w:ascii="Aptos"/>
        </w:rPr>
      </w:pPr>
      <w:r w:rsidRPr="005D60A3">
        <w:rPr>
          <w:rFonts w:ascii="Aptos"/>
        </w:rPr>
        <w:t xml:space="preserve">79. </w:t>
      </w:r>
      <w:r w:rsidRPr="005D60A3">
        <w:rPr>
          <w:rFonts w:ascii="Aptos"/>
        </w:rPr>
        <w:tab/>
        <w:t>Maqungo M, Nannan N, Nojilana B, et al (2024) Can verbal autopsies be used on a national scale? Key findings and lessons from South Africa’s national cause-of-death validation study. Global Health Action 17:2399413</w:t>
      </w:r>
    </w:p>
    <w:p w:rsidR="005D60A3" w:rsidRPr="005D60A3" w:rsidRDefault="005D60A3" w:rsidP="005D60A3">
      <w:pPr>
        <w:pStyle w:val="Bibliography"/>
        <w:rPr>
          <w:rFonts w:ascii="Aptos"/>
        </w:rPr>
      </w:pPr>
      <w:r w:rsidRPr="005D60A3">
        <w:rPr>
          <w:rFonts w:ascii="Aptos"/>
        </w:rPr>
        <w:t xml:space="preserve">80. </w:t>
      </w:r>
      <w:r w:rsidRPr="005D60A3">
        <w:rPr>
          <w:rFonts w:ascii="Aptos"/>
        </w:rPr>
        <w:tab/>
        <w:t>Onyango D, Awuonda B (2024) Using verbal autopsy to enhance mortality surveillance. The Lancet Global Health 12:e1217–e1218</w:t>
      </w:r>
    </w:p>
    <w:p w:rsidR="005D60A3" w:rsidRPr="005D60A3" w:rsidRDefault="005D60A3" w:rsidP="005D60A3">
      <w:pPr>
        <w:pStyle w:val="Bibliography"/>
        <w:rPr>
          <w:rFonts w:ascii="Aptos"/>
        </w:rPr>
      </w:pPr>
      <w:r w:rsidRPr="005D60A3">
        <w:rPr>
          <w:rFonts w:ascii="Aptos"/>
        </w:rPr>
        <w:t xml:space="preserve">81. </w:t>
      </w:r>
      <w:r w:rsidRPr="005D60A3">
        <w:rPr>
          <w:rFonts w:ascii="Aptos"/>
        </w:rPr>
        <w:tab/>
        <w:t>Wang J, Shi E, Yu S, et al (2024) Prompt Engineering for Healthcare: Methodologies and Applications. https://doi.org/10.48550/arXiv.2304.14670</w:t>
      </w:r>
    </w:p>
    <w:p w:rsidR="005D60A3" w:rsidRPr="005D60A3" w:rsidRDefault="005D60A3" w:rsidP="005D60A3">
      <w:pPr>
        <w:pStyle w:val="Bibliography"/>
        <w:rPr>
          <w:rFonts w:ascii="Aptos"/>
        </w:rPr>
      </w:pPr>
      <w:r w:rsidRPr="005D60A3">
        <w:rPr>
          <w:rFonts w:ascii="Aptos"/>
        </w:rPr>
        <w:t xml:space="preserve">82. </w:t>
      </w:r>
      <w:r w:rsidRPr="005D60A3">
        <w:rPr>
          <w:rFonts w:ascii="Aptos"/>
        </w:rPr>
        <w:tab/>
        <w:t>Lewis P, Perez E, Piktus A, et al (2020) Retrieval-augmented generation for knowledge-intensive NLP tasks. In: Proceedings of the 34th International Conference on Neural Information Processing Systems. Curran Associates Inc., Red Hook, NY, USA, pp 9459–9474</w:t>
      </w:r>
    </w:p>
    <w:p w:rsidR="005D60A3" w:rsidRPr="005D60A3" w:rsidRDefault="005D60A3" w:rsidP="005D60A3">
      <w:pPr>
        <w:pStyle w:val="Bibliography"/>
        <w:rPr>
          <w:rFonts w:ascii="Aptos"/>
        </w:rPr>
      </w:pPr>
      <w:r w:rsidRPr="005D60A3">
        <w:rPr>
          <w:rFonts w:ascii="Aptos"/>
        </w:rPr>
        <w:t xml:space="preserve">83. </w:t>
      </w:r>
      <w:r w:rsidRPr="005D60A3">
        <w:rPr>
          <w:rFonts w:ascii="Aptos"/>
        </w:rPr>
        <w:tab/>
        <w:t>Meskó B (2023) Prompt engineering as an important emerging skill for medical professionals: tutorial. Journal of medical Internet research 25:e50638</w:t>
      </w:r>
    </w:p>
    <w:p w:rsidR="005D60A3" w:rsidRPr="005D60A3" w:rsidRDefault="005D60A3" w:rsidP="005D60A3">
      <w:pPr>
        <w:pStyle w:val="Bibliography"/>
        <w:rPr>
          <w:rFonts w:ascii="Aptos"/>
        </w:rPr>
      </w:pPr>
      <w:r w:rsidRPr="005D60A3">
        <w:rPr>
          <w:rFonts w:ascii="Aptos"/>
        </w:rPr>
        <w:t xml:space="preserve">84. </w:t>
      </w:r>
      <w:r w:rsidRPr="005D60A3">
        <w:rPr>
          <w:rFonts w:ascii="Aptos"/>
        </w:rPr>
        <w:tab/>
        <w:t>Almasre M (2024) Development and Evaluation of a Custom GPT for the Assessment of Students’ Designs in a Typography Course. Education Sciences 14:148</w:t>
      </w:r>
    </w:p>
    <w:p w:rsidR="005D60A3" w:rsidRPr="005D60A3" w:rsidRDefault="005D60A3" w:rsidP="005D60A3">
      <w:pPr>
        <w:pStyle w:val="Bibliography"/>
        <w:rPr>
          <w:rFonts w:ascii="Aptos"/>
        </w:rPr>
      </w:pPr>
      <w:r w:rsidRPr="005D60A3">
        <w:rPr>
          <w:rFonts w:ascii="Aptos"/>
        </w:rPr>
        <w:t xml:space="preserve">85. </w:t>
      </w:r>
      <w:r w:rsidRPr="005D60A3">
        <w:rPr>
          <w:rFonts w:ascii="Aptos"/>
        </w:rPr>
        <w:tab/>
        <w:t>Loh P, Fottrell E, Beard J, Bar-Zeev N, Phiri T, Banda M, Makwenda C, Bird J, King C (2021) Added value of an open narrative in verbal autopsies: a mixed-methods evaluation from Malawi. BMJ Paediatr Open 5:e000961</w:t>
      </w:r>
    </w:p>
    <w:p w:rsidR="005D60A3" w:rsidRPr="005D60A3" w:rsidRDefault="005D60A3" w:rsidP="005D60A3">
      <w:pPr>
        <w:pStyle w:val="Bibliography"/>
        <w:rPr>
          <w:rFonts w:ascii="Aptos"/>
        </w:rPr>
      </w:pPr>
      <w:r w:rsidRPr="005D60A3">
        <w:rPr>
          <w:rFonts w:ascii="Aptos"/>
        </w:rPr>
        <w:t xml:space="preserve">86. </w:t>
      </w:r>
      <w:r w:rsidRPr="005D60A3">
        <w:rPr>
          <w:rFonts w:ascii="Aptos"/>
        </w:rPr>
        <w:tab/>
        <w:t>World Health Organization (2022) ODK for verbal autopsy: A quick guide. https://www.who.int/publications/m/item/odk-for-verbal-autopsy--a-quick-guide. Accessed 24 Jan 2024</w:t>
      </w:r>
    </w:p>
    <w:p w:rsidR="005D60A3" w:rsidRPr="005D60A3" w:rsidRDefault="005D60A3" w:rsidP="005D60A3">
      <w:pPr>
        <w:pStyle w:val="Bibliography"/>
        <w:rPr>
          <w:rFonts w:ascii="Aptos"/>
        </w:rPr>
      </w:pPr>
      <w:r w:rsidRPr="005D60A3">
        <w:rPr>
          <w:rFonts w:ascii="Aptos"/>
        </w:rPr>
        <w:t xml:space="preserve">87. </w:t>
      </w:r>
      <w:r w:rsidRPr="005D60A3">
        <w:rPr>
          <w:rFonts w:ascii="Aptos"/>
        </w:rPr>
        <w:tab/>
        <w:t xml:space="preserve">Nafundi (2023) ODK - Collect data anywhere. </w:t>
      </w:r>
    </w:p>
    <w:p w:rsidR="005D60A3" w:rsidRPr="005D60A3" w:rsidRDefault="005D60A3" w:rsidP="005D60A3">
      <w:pPr>
        <w:pStyle w:val="Bibliography"/>
        <w:rPr>
          <w:rFonts w:ascii="Aptos"/>
        </w:rPr>
      </w:pPr>
      <w:r w:rsidRPr="005D60A3">
        <w:rPr>
          <w:rFonts w:ascii="Aptos"/>
        </w:rPr>
        <w:t xml:space="preserve">88. </w:t>
      </w:r>
      <w:r w:rsidRPr="005D60A3">
        <w:rPr>
          <w:rFonts w:ascii="Aptos"/>
        </w:rPr>
        <w:tab/>
        <w:t xml:space="preserve">DiPasquale A, Maire N, Bratschi M (2016) Release ODK 2016 WHO VA instrument 1.5.1 SwissTPH/WHO-VA. </w:t>
      </w:r>
    </w:p>
    <w:p w:rsidR="005D60A3" w:rsidRPr="005D60A3" w:rsidRDefault="005D60A3" w:rsidP="005D60A3">
      <w:pPr>
        <w:pStyle w:val="Bibliography"/>
        <w:rPr>
          <w:rFonts w:ascii="Aptos"/>
        </w:rPr>
      </w:pPr>
      <w:r w:rsidRPr="005D60A3">
        <w:rPr>
          <w:rFonts w:ascii="Aptos"/>
        </w:rPr>
        <w:t xml:space="preserve">89. </w:t>
      </w:r>
      <w:r w:rsidRPr="005D60A3">
        <w:rPr>
          <w:rFonts w:ascii="Aptos"/>
        </w:rPr>
        <w:tab/>
        <w:t xml:space="preserve">Byass P (2020) InterVA-5.1 User Guide. </w:t>
      </w:r>
    </w:p>
    <w:p w:rsidR="005D60A3" w:rsidRPr="005D60A3" w:rsidRDefault="005D60A3" w:rsidP="005D60A3">
      <w:pPr>
        <w:pStyle w:val="Bibliography"/>
        <w:rPr>
          <w:rFonts w:ascii="Aptos"/>
        </w:rPr>
      </w:pPr>
      <w:r w:rsidRPr="005D60A3">
        <w:rPr>
          <w:rFonts w:ascii="Aptos"/>
        </w:rPr>
        <w:lastRenderedPageBreak/>
        <w:t xml:space="preserve">90. </w:t>
      </w:r>
      <w:r w:rsidRPr="005D60A3">
        <w:rPr>
          <w:rFonts w:ascii="Aptos"/>
        </w:rPr>
        <w:tab/>
        <w:t xml:space="preserve">Thomas J, ekarpinskiMITRE, pkmitre, owentrigueros, Choi P, Chu Y pycrossva: Prepare data from WHO and PHRMC instruments for verbal autopsy algorithms. </w:t>
      </w:r>
    </w:p>
    <w:p w:rsidR="005D60A3" w:rsidRPr="005D60A3" w:rsidRDefault="005D60A3" w:rsidP="005D60A3">
      <w:pPr>
        <w:pStyle w:val="Bibliography"/>
        <w:rPr>
          <w:rFonts w:ascii="Aptos"/>
        </w:rPr>
      </w:pPr>
      <w:r w:rsidRPr="005D60A3">
        <w:rPr>
          <w:rFonts w:ascii="Aptos"/>
        </w:rPr>
        <w:t xml:space="preserve">91. </w:t>
      </w:r>
      <w:r w:rsidRPr="005D60A3">
        <w:rPr>
          <w:rFonts w:ascii="Aptos"/>
        </w:rPr>
        <w:tab/>
        <w:t xml:space="preserve">Li ZR, McCormick T, Clark S (2022) InSilicoVA: Probabilistic Verbal Autopsy Coding with “InSilicoVA” Algorithm. </w:t>
      </w:r>
    </w:p>
    <w:p w:rsidR="005D60A3" w:rsidRPr="005D60A3" w:rsidRDefault="005D60A3" w:rsidP="005D60A3">
      <w:pPr>
        <w:pStyle w:val="Bibliography"/>
        <w:rPr>
          <w:rFonts w:ascii="Aptos"/>
        </w:rPr>
      </w:pPr>
      <w:r w:rsidRPr="005D60A3">
        <w:rPr>
          <w:rFonts w:ascii="Aptos"/>
        </w:rPr>
        <w:t xml:space="preserve">92. </w:t>
      </w:r>
      <w:r w:rsidRPr="005D60A3">
        <w:rPr>
          <w:rFonts w:ascii="Aptos"/>
        </w:rPr>
        <w:tab/>
        <w:t xml:space="preserve">Thomas J, Li Z, Byass P, McCormick T, Boyas M, Clark S (2021) InterVA5: Replicate and Analyse “InterVA5.” </w:t>
      </w:r>
    </w:p>
    <w:p w:rsidR="005D60A3" w:rsidRPr="005D60A3" w:rsidRDefault="005D60A3" w:rsidP="005D60A3">
      <w:pPr>
        <w:pStyle w:val="Bibliography"/>
        <w:rPr>
          <w:rFonts w:ascii="Aptos"/>
        </w:rPr>
      </w:pPr>
      <w:r w:rsidRPr="005D60A3">
        <w:rPr>
          <w:rFonts w:ascii="Aptos"/>
        </w:rPr>
        <w:t xml:space="preserve">93. </w:t>
      </w:r>
      <w:r w:rsidRPr="005D60A3">
        <w:rPr>
          <w:rFonts w:ascii="Aptos"/>
        </w:rPr>
        <w:tab/>
        <w:t>Yendewa GA, Poveda E, Yendewa SA, Sahr F, Quiñones-Mateu ME, Salata RA (2018) HIV/AIDS in Sierra Leone: Characterizing the Hidden Epidemic. AIDS reviews 20:</w:t>
      </w:r>
    </w:p>
    <w:p w:rsidR="005D60A3" w:rsidRPr="005D60A3" w:rsidRDefault="005D60A3" w:rsidP="005D60A3">
      <w:pPr>
        <w:pStyle w:val="Bibliography"/>
        <w:rPr>
          <w:rFonts w:ascii="Aptos"/>
        </w:rPr>
      </w:pPr>
      <w:r w:rsidRPr="005D60A3">
        <w:rPr>
          <w:rFonts w:ascii="Aptos"/>
        </w:rPr>
        <w:t xml:space="preserve">94. </w:t>
      </w:r>
      <w:r w:rsidRPr="005D60A3">
        <w:rPr>
          <w:rFonts w:ascii="Aptos"/>
        </w:rPr>
        <w:tab/>
        <w:t>Walker PG, White MT, Griffin JT, Reynolds A, Ferguson NM, Ghani AC (2015) Malaria morbidity and mortality in Ebola-affected countries caused by decreased health-care capacity, and the potential effect of mitigation strategies: a modelling analysis. The Lancet Infectious Diseases 15:825–832</w:t>
      </w:r>
    </w:p>
    <w:p w:rsidR="005105D5" w:rsidRDefault="005D60A3">
      <w:r>
        <w:fldChar w:fldCharType="end"/>
      </w:r>
    </w:p>
    <w:sectPr w:rsidR="005105D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0B479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26641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001418">
    <w:abstractNumId w:val="0"/>
  </w:num>
  <w:num w:numId="2" w16cid:durableId="723721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9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60484"/>
    <w:rsid w:val="00176C2D"/>
    <w:rsid w:val="00260484"/>
    <w:rsid w:val="005105D5"/>
    <w:rsid w:val="005C7FB0"/>
    <w:rsid w:val="005D60A3"/>
    <w:rsid w:val="006C71C0"/>
    <w:rsid w:val="00F14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DDF90F"/>
  <w15:docId w15:val="{B6DF48FD-8FCA-3A40-A1D5-0EC2EAF07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tabs>
        <w:tab w:val="left" w:pos="500"/>
      </w:tabs>
      <w:spacing w:after="240"/>
      <w:ind w:left="504" w:hanging="504"/>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ghr-toronto/healsl-gpt-paper" TargetMode="External"/><Relationship Id="rId3" Type="http://schemas.openxmlformats.org/officeDocument/2006/relationships/settings" Target="settings.xml"/><Relationship Id="rId7" Type="http://schemas.openxmlformats.org/officeDocument/2006/relationships/hyperlink" Target="https://openmortality.org/dataset/ic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mortality.org/dataset/heal-sl" TargetMode="External"/><Relationship Id="rId5" Type="http://schemas.openxmlformats.org/officeDocument/2006/relationships/hyperlink" Target="https://openmortality.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29</Pages>
  <Words>47436</Words>
  <Characters>270387</Characters>
  <Application>Microsoft Office Word</Application>
  <DocSecurity>0</DocSecurity>
  <Lines>2253</Lines>
  <Paragraphs>634</Paragraphs>
  <ScaleCrop>false</ScaleCrop>
  <Company/>
  <LinksUpToDate>false</LinksUpToDate>
  <CharactersWithSpaces>317189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Assisted Verbal Autopsy: Comparing Large Language Models to Physicians for Assigning Causes to 6939 Deaths in Sierra Leone from 2019-2022</dc:title>
  <dc:creator>; ; ; ; ; ; ; ; ; ; </dc:creator>
  <cp:keywords/>
  <cp:lastModifiedBy>Richard Wen</cp:lastModifiedBy>
  <cp:revision>5</cp:revision>
  <dcterms:created xsi:type="dcterms:W3CDTF">2025-06-25T21:51:00Z</dcterms:created>
  <dcterms:modified xsi:type="dcterms:W3CDTF">2025-06-25T21:56:00Z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manuscript/latex/bibliography.bib</vt:lpwstr>
  </property>
  <property fmtid="{D5CDD505-2E9C-101B-9397-08002B2CF9AE}" pid="3" name="zotero">
    <vt:lpwstr/>
  </property>
  <property fmtid="{D5CDD505-2E9C-101B-9397-08002B2CF9AE}" pid="4" name="ZOTERO_PREF_1">
    <vt:lpwstr>&lt;data data-version="3" zotero-version="6.0.37"&gt;&lt;session id="sIzqJLOE"/&gt;&lt;style id="http://www.zotero.org/styles/springer-vancouver" hasBibliography="1" bibliographyStyleHasBeenSet="1"/&gt;&lt;prefs&gt;&lt;pref name="fieldType" value="Field"/&gt;&lt;/prefs&gt;&lt;/data&gt;</vt:lpwstr>
  </property>
</Properties>
</file>