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Scroll Media Services Agreement</w:t>
      </w:r>
    </w:p>
    <w:p/>
    <w:p>
      <w:pPr>
        <w:pStyle w:val="Heading2"/>
      </w:pPr>
      <w:r>
        <w:t>Prepared For</w:t>
      </w:r>
    </w:p>
    <w:p>
      <w:r>
        <w:t xml:space="preserve">**[Client Business Name]**  </w:t>
      </w:r>
    </w:p>
    <w:p>
      <w:r>
        <w:t>[Primary Client Contact]</w:t>
      </w:r>
    </w:p>
    <w:p/>
    <w:p>
      <w:pPr>
        <w:pStyle w:val="Heading2"/>
      </w:pPr>
      <w:r>
        <w:t>Date Sent</w:t>
      </w:r>
    </w:p>
    <w:p>
      <w:r>
        <w:t>`[Document.SentDate]`</w:t>
      </w:r>
    </w:p>
    <w:p/>
    <w:p>
      <w:pPr>
        <w:pStyle w:val="Heading2"/>
      </w:pPr>
      <w:r>
        <w:t>Document Number</w:t>
      </w:r>
    </w:p>
    <w:p>
      <w:r>
        <w:t>`[Document.Number]`</w:t>
      </w:r>
    </w:p>
    <w:p/>
    <w:p>
      <w:pPr>
        <w:pStyle w:val="Heading2"/>
      </w:pPr>
      <w:r>
        <w:t>Document Expiration</w:t>
      </w:r>
    </w:p>
    <w:p>
      <w:r>
        <w:t xml:space="preserve">This Agreement expires if it is not signed by all Parties within thirty (30) calendar days after it is first sent by Provider, unless Provider agrees in writing to extend that window.  </w:t>
      </w:r>
    </w:p>
    <w:p>
      <w:r>
        <w:t>`[Document.ExpirationDate]`</w:t>
      </w:r>
    </w:p>
    <w:p/>
    <w:p>
      <w:pPr>
        <w:pStyle w:val="Heading2"/>
      </w:pPr>
      <w:r>
        <w:t>Project Summary</w:t>
      </w:r>
    </w:p>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w:t>
            </w:r>
          </w:p>
        </w:tc>
      </w:tr>
      <w:tr>
        <w:tc>
          <w:tcPr>
            <w:tcW w:type="dxa" w:w="4320"/>
          </w:tcPr>
          <w:p>
            <w:r>
              <w:t>Project Name</w:t>
            </w:r>
          </w:p>
        </w:tc>
        <w:tc>
          <w:tcPr>
            <w:tcW w:type="dxa" w:w="4320"/>
          </w:tcPr>
          <w:p>
            <w:r>
              <w:t>Signature Package - [Client Business Name]</w:t>
            </w:r>
          </w:p>
        </w:tc>
      </w:tr>
      <w:tr>
        <w:tc>
          <w:tcPr>
            <w:tcW w:type="dxa" w:w="4320"/>
          </w:tcPr>
          <w:p>
            <w:r>
              <w:t>Contract Start Date</w:t>
            </w:r>
          </w:p>
        </w:tc>
        <w:tc>
          <w:tcPr>
            <w:tcW w:type="dxa" w:w="4320"/>
          </w:tcPr>
          <w:p>
            <w:r>
              <w:t>[Contract Start Date]</w:t>
            </w:r>
          </w:p>
        </w:tc>
      </w:tr>
      <w:tr>
        <w:tc>
          <w:tcPr>
            <w:tcW w:type="dxa" w:w="4320"/>
          </w:tcPr>
          <w:p>
            <w:r>
              <w:t>Contract End Date</w:t>
            </w:r>
          </w:p>
        </w:tc>
        <w:tc>
          <w:tcPr>
            <w:tcW w:type="dxa" w:w="4320"/>
          </w:tcPr>
          <w:p>
            <w:r>
              <w:t>[Contract End Date]</w:t>
            </w:r>
          </w:p>
        </w:tc>
      </w:tr>
      <w:tr>
        <w:tc>
          <w:tcPr>
            <w:tcW w:type="dxa" w:w="4320"/>
          </w:tcPr>
          <w:p>
            <w:r>
              <w:t>Contract Duration</w:t>
            </w:r>
          </w:p>
        </w:tc>
        <w:tc>
          <w:tcPr>
            <w:tcW w:type="dxa" w:w="4320"/>
          </w:tcPr>
          <w:p>
            <w:r>
              <w:t>[Contract Duration]</w:t>
            </w:r>
          </w:p>
        </w:tc>
      </w:tr>
    </w:tbl>
    <w:p/>
    <w:p>
      <w:pPr>
        <w:pStyle w:val="Heading2"/>
      </w:pPr>
      <w:r>
        <w:t>Parties</w:t>
      </w:r>
    </w:p>
    <w:p>
      <w:r>
        <w:t xml:space="preserve">Provider: **Scroll Media**  </w:t>
      </w:r>
    </w:p>
    <w:p>
      <w:r>
        <w:t>Client: **[Client Business Name]**, [Primary Client Contact]</w:t>
      </w:r>
    </w:p>
    <w:p/>
    <w:p>
      <w:r>
        <w:t>Collectively, the above parties are the **Parties**.</w:t>
      </w:r>
    </w:p>
    <w:p/>
    <w:p>
      <w:pPr>
        <w:pStyle w:val="Heading2"/>
      </w:pPr>
      <w:r>
        <w:t>Purpose of the Agreement</w:t>
      </w:r>
    </w:p>
    <w:p>
      <w:r>
        <w:t>Client is hiring Provider to perform the services described in this Agreement. Provider will perform those services under the terms below.</w:t>
      </w:r>
    </w:p>
    <w:p/>
    <w:p>
      <w:pPr>
        <w:pStyle w:val="Heading2"/>
      </w:pPr>
      <w:r>
        <w:t>Services</w:t>
      </w:r>
    </w:p>
    <w:p>
      <w:r>
        <w:t>Provider will provide the following services and/or products.</w:t>
      </w:r>
    </w:p>
    <w:p/>
    <w:tbl>
      <w:tblPr>
        <w:tblStyle w:val="TableGrid"/>
        <w:tblW w:type="auto" w:w="0"/>
        <w:tblLook w:firstColumn="1" w:firstRow="1" w:lastColumn="0" w:lastRow="0" w:noHBand="0" w:noVBand="1" w:val="04A0"/>
      </w:tblPr>
      <w:tblGrid>
        <w:gridCol w:w="4320"/>
        <w:gridCol w:w="4320"/>
      </w:tblGrid>
      <w:tr>
        <w:tc>
          <w:tcPr>
            <w:tcW w:type="dxa" w:w="4320"/>
          </w:tcPr>
          <w:p>
            <w:r>
              <w:t>Service Item</w:t>
            </w:r>
          </w:p>
        </w:tc>
        <w:tc>
          <w:tcPr>
            <w:tcW w:type="dxa" w:w="4320"/>
          </w:tcPr>
          <w:p>
            <w:r>
              <w:t>Detail</w:t>
            </w:r>
          </w:p>
        </w:tc>
      </w:tr>
      <w:tr>
        <w:tc>
          <w:tcPr>
            <w:tcW w:type="dxa" w:w="4320"/>
          </w:tcPr>
          <w:p>
            <w:r>
              <w:t>Project Name</w:t>
            </w:r>
          </w:p>
        </w:tc>
        <w:tc>
          <w:tcPr>
            <w:tcW w:type="dxa" w:w="4320"/>
          </w:tcPr>
          <w:p>
            <w:r>
              <w:t>Signature Package - [Client Business Name]</w:t>
            </w:r>
          </w:p>
        </w:tc>
      </w:tr>
      <w:tr>
        <w:tc>
          <w:tcPr>
            <w:tcW w:type="dxa" w:w="4320"/>
          </w:tcPr>
          <w:p>
            <w:r>
              <w:t>Duration</w:t>
            </w:r>
          </w:p>
        </w:tc>
        <w:tc>
          <w:tcPr>
            <w:tcW w:type="dxa" w:w="4320"/>
          </w:tcPr>
          <w:p>
            <w:r>
              <w:t>[Contract Duration]</w:t>
            </w:r>
          </w:p>
        </w:tc>
      </w:tr>
      <w:tr>
        <w:tc>
          <w:tcPr>
            <w:tcW w:type="dxa" w:w="4320"/>
          </w:tcPr>
          <w:p>
            <w:r>
              <w:t>Package</w:t>
            </w:r>
          </w:p>
        </w:tc>
        <w:tc>
          <w:tcPr>
            <w:tcW w:type="dxa" w:w="4320"/>
          </w:tcPr>
          <w:p>
            <w:r>
              <w:t>Signature</w:t>
            </w:r>
          </w:p>
        </w:tc>
      </w:tr>
      <w:tr>
        <w:tc>
          <w:tcPr>
            <w:tcW w:type="dxa" w:w="4320"/>
          </w:tcPr>
          <w:p>
            <w:r>
              <w:t>Tier</w:t>
            </w:r>
          </w:p>
        </w:tc>
        <w:tc>
          <w:tcPr>
            <w:tcW w:type="dxa" w:w="4320"/>
          </w:tcPr>
          <w:p>
            <w:r>
              <w:t>[Essential or Growth]</w:t>
            </w:r>
          </w:p>
        </w:tc>
      </w:tr>
      <w:tr>
        <w:tc>
          <w:tcPr>
            <w:tcW w:type="dxa" w:w="4320"/>
          </w:tcPr>
          <w:p>
            <w:r>
              <w:t>Social Media Channel</w:t>
            </w:r>
          </w:p>
        </w:tc>
        <w:tc>
          <w:tcPr>
            <w:tcW w:type="dxa" w:w="4320"/>
          </w:tcPr>
          <w:p>
            <w:r>
              <w:t>Instagram</w:t>
            </w:r>
          </w:p>
        </w:tc>
      </w:tr>
      <w:tr>
        <w:tc>
          <w:tcPr>
            <w:tcW w:type="dxa" w:w="4320"/>
          </w:tcPr>
          <w:p>
            <w:r>
              <w:t>Feed Posts Per Week</w:t>
            </w:r>
          </w:p>
        </w:tc>
        <w:tc>
          <w:tcPr>
            <w:tcW w:type="dxa" w:w="4320"/>
          </w:tcPr>
          <w:p>
            <w:r>
              <w:t>[Posts Per Week]</w:t>
            </w:r>
          </w:p>
        </w:tc>
      </w:tr>
      <w:tr>
        <w:tc>
          <w:tcPr>
            <w:tcW w:type="dxa" w:w="4320"/>
          </w:tcPr>
          <w:p>
            <w:r>
              <w:t>Story Days Per Week</w:t>
            </w:r>
          </w:p>
        </w:tc>
        <w:tc>
          <w:tcPr>
            <w:tcW w:type="dxa" w:w="4320"/>
          </w:tcPr>
          <w:p>
            <w:r>
              <w:t>[Story Days Per Week]</w:t>
            </w:r>
          </w:p>
        </w:tc>
      </w:tr>
      <w:tr>
        <w:tc>
          <w:tcPr>
            <w:tcW w:type="dxa" w:w="4320"/>
          </w:tcPr>
          <w:p>
            <w:r>
              <w:t>Content Shoots</w:t>
            </w:r>
          </w:p>
        </w:tc>
        <w:tc>
          <w:tcPr>
            <w:tcW w:type="dxa" w:w="4320"/>
          </w:tcPr>
          <w:p>
            <w:r>
              <w:t>[Every 3 Weeks / Every 4 Weeks / Custom Cadence]</w:t>
            </w:r>
          </w:p>
        </w:tc>
      </w:tr>
      <w:tr>
        <w:tc>
          <w:tcPr>
            <w:tcW w:type="dxa" w:w="4320"/>
          </w:tcPr>
          <w:p>
            <w:r>
              <w:t>Facebook Auto-Posting</w:t>
            </w:r>
          </w:p>
        </w:tc>
        <w:tc>
          <w:tcPr>
            <w:tcW w:type="dxa" w:w="4320"/>
          </w:tcPr>
          <w:p>
            <w:r>
              <w:t>Included where operationally appropriate</w:t>
            </w:r>
          </w:p>
        </w:tc>
      </w:tr>
    </w:tbl>
    <w:p/>
    <w:p>
      <w:r>
        <w:t>The Signature Package is Scroll Media's strategy-first social media system. The work starts with strategy, positioning, and planning. Once that foundation is complete and approved, Scroll Media moves into content production, publishing support, and performance review.</w:t>
      </w:r>
    </w:p>
    <w:p/>
    <w:p>
      <w:pPr>
        <w:pStyle w:val="Heading2"/>
      </w:pPr>
      <w:r>
        <w:t>Scope</w:t>
      </w:r>
    </w:p>
    <w:p>
      <w:r>
        <w:t>The work is delivered in two phases.</w:t>
      </w:r>
    </w:p>
    <w:p/>
    <w:p>
      <w:pPr>
        <w:pStyle w:val="Heading3"/>
      </w:pPr>
      <w:r>
        <w:t>Phase One: Strategy (Month 1)</w:t>
      </w:r>
    </w:p>
    <w:p/>
    <w:tbl>
      <w:tblPr>
        <w:tblStyle w:val="TableGrid"/>
        <w:tblW w:type="auto" w:w="0"/>
        <w:tblLook w:firstColumn="1" w:firstRow="1" w:lastColumn="0" w:lastRow="0" w:noHBand="0" w:noVBand="1" w:val="04A0"/>
      </w:tblPr>
      <w:tblGrid>
        <w:gridCol w:w="2880"/>
        <w:gridCol w:w="2880"/>
        <w:gridCol w:w="2880"/>
      </w:tblGrid>
      <w:tr>
        <w:tc>
          <w:tcPr>
            <w:tcW w:type="dxa" w:w="2880"/>
          </w:tcPr>
          <w:p>
            <w:r>
              <w:t>Stage</w:t>
            </w:r>
          </w:p>
        </w:tc>
        <w:tc>
          <w:tcPr>
            <w:tcW w:type="dxa" w:w="2880"/>
          </w:tcPr>
          <w:p>
            <w:r>
              <w:t>Activity</w:t>
            </w:r>
          </w:p>
        </w:tc>
        <w:tc>
          <w:tcPr>
            <w:tcW w:type="dxa" w:w="2880"/>
          </w:tcPr>
          <w:p>
            <w:r>
              <w:t>Details</w:t>
            </w:r>
          </w:p>
        </w:tc>
      </w:tr>
      <w:tr>
        <w:tc>
          <w:tcPr>
            <w:tcW w:type="dxa" w:w="2880"/>
          </w:tcPr>
          <w:p>
            <w:r>
              <w:t>Strategy</w:t>
            </w:r>
          </w:p>
        </w:tc>
        <w:tc>
          <w:tcPr>
            <w:tcW w:type="dxa" w:w="2880"/>
          </w:tcPr>
          <w:p>
            <w:r>
              <w:t>Goal Setting</w:t>
            </w:r>
          </w:p>
        </w:tc>
        <w:tc>
          <w:tcPr>
            <w:tcW w:type="dxa" w:w="2880"/>
          </w:tcPr>
          <w:p>
            <w:r>
              <w:t>Define the main business goals, audience priorities, and performance signals for the engagement.</w:t>
            </w:r>
          </w:p>
        </w:tc>
      </w:tr>
      <w:tr>
        <w:tc>
          <w:tcPr>
            <w:tcW w:type="dxa" w:w="2880"/>
          </w:tcPr>
          <w:p>
            <w:r>
              <w:t>Strategy</w:t>
            </w:r>
          </w:p>
        </w:tc>
        <w:tc>
          <w:tcPr>
            <w:tcW w:type="dxa" w:w="2880"/>
          </w:tcPr>
          <w:p>
            <w:r>
              <w:t>Ideal Viewer Profile Development</w:t>
            </w:r>
          </w:p>
        </w:tc>
        <w:tc>
          <w:tcPr>
            <w:tcW w:type="dxa" w:w="2880"/>
          </w:tcPr>
          <w:p>
            <w:r>
              <w:t>Build the relevant Ideal Viewer Profile(s), including motivations, objections, preferences, and CTA pathways.</w:t>
            </w:r>
          </w:p>
        </w:tc>
      </w:tr>
      <w:tr>
        <w:tc>
          <w:tcPr>
            <w:tcW w:type="dxa" w:w="2880"/>
          </w:tcPr>
          <w:p>
            <w:r>
              <w:t>Strategy</w:t>
            </w:r>
          </w:p>
        </w:tc>
        <w:tc>
          <w:tcPr>
            <w:tcW w:type="dxa" w:w="2880"/>
          </w:tcPr>
          <w:p>
            <w:r>
              <w:t>Content Architecture</w:t>
            </w:r>
          </w:p>
        </w:tc>
        <w:tc>
          <w:tcPr>
            <w:tcW w:type="dxa" w:w="2880"/>
          </w:tcPr>
          <w:p>
            <w:r>
              <w:t>Build the content pillar structure, funnel-stage mapping, and overall content direction for the account.</w:t>
            </w:r>
          </w:p>
        </w:tc>
      </w:tr>
      <w:tr>
        <w:tc>
          <w:tcPr>
            <w:tcW w:type="dxa" w:w="2880"/>
          </w:tcPr>
          <w:p>
            <w:r>
              <w:t>Strategy</w:t>
            </w:r>
          </w:p>
        </w:tc>
        <w:tc>
          <w:tcPr>
            <w:tcW w:type="dxa" w:w="2880"/>
          </w:tcPr>
          <w:p>
            <w:r>
              <w:t>Social SEO Planning</w:t>
            </w:r>
          </w:p>
        </w:tc>
        <w:tc>
          <w:tcPr>
            <w:tcW w:type="dxa" w:w="2880"/>
          </w:tcPr>
          <w:p>
            <w:r>
              <w:t>Develop keyword and search strategy for profile elements, captions, on-screen text, and supporting content structure.</w:t>
            </w:r>
          </w:p>
        </w:tc>
      </w:tr>
      <w:tr>
        <w:tc>
          <w:tcPr>
            <w:tcW w:type="dxa" w:w="2880"/>
          </w:tcPr>
          <w:p>
            <w:r>
              <w:t>Strategy</w:t>
            </w:r>
          </w:p>
        </w:tc>
        <w:tc>
          <w:tcPr>
            <w:tcW w:type="dxa" w:w="2880"/>
          </w:tcPr>
          <w:p>
            <w:r>
              <w:t>Profile Optimization Guidance</w:t>
            </w:r>
          </w:p>
        </w:tc>
        <w:tc>
          <w:tcPr>
            <w:tcW w:type="dxa" w:w="2880"/>
          </w:tcPr>
          <w:p>
            <w:r>
              <w:t>Provide direction for bio, highlights, links, profile messaging, and related Instagram positioning elements.</w:t>
            </w:r>
          </w:p>
        </w:tc>
      </w:tr>
      <w:tr>
        <w:tc>
          <w:tcPr>
            <w:tcW w:type="dxa" w:w="2880"/>
          </w:tcPr>
          <w:p>
            <w:r>
              <w:t>Strategy</w:t>
            </w:r>
          </w:p>
        </w:tc>
        <w:tc>
          <w:tcPr>
            <w:tcW w:type="dxa" w:w="2880"/>
          </w:tcPr>
          <w:p>
            <w:r>
              <w:t>Content Calendar</w:t>
            </w:r>
          </w:p>
        </w:tc>
        <w:tc>
          <w:tcPr>
            <w:tcW w:type="dxa" w:w="2880"/>
          </w:tcPr>
          <w:p>
            <w:r>
              <w:t>Build the initial strategic content plan and calendar for execution.</w:t>
            </w:r>
          </w:p>
        </w:tc>
      </w:tr>
      <w:tr>
        <w:tc>
          <w:tcPr>
            <w:tcW w:type="dxa" w:w="2880"/>
          </w:tcPr>
          <w:p>
            <w:r>
              <w:t>Strategy</w:t>
            </w:r>
          </w:p>
        </w:tc>
        <w:tc>
          <w:tcPr>
            <w:tcW w:type="dxa" w:w="2880"/>
          </w:tcPr>
          <w:p>
            <w:r>
              <w:t>Brand and Competitive Review</w:t>
            </w:r>
          </w:p>
        </w:tc>
        <w:tc>
          <w:tcPr>
            <w:tcW w:type="dxa" w:w="2880"/>
          </w:tcPr>
          <w:p>
            <w:r>
              <w:t>Review the brand's current digital presence, market signals, and adjacent competitors where relevant to strategy.</w:t>
            </w:r>
          </w:p>
        </w:tc>
      </w:tr>
    </w:tbl>
    <w:p/>
    <w:p>
      <w:pPr>
        <w:pStyle w:val="Heading3"/>
      </w:pPr>
      <w:r>
        <w:t>Phase Two: Execution (Months 2 and 3)</w:t>
      </w:r>
    </w:p>
    <w:p/>
    <w:tbl>
      <w:tblPr>
        <w:tblStyle w:val="TableGrid"/>
        <w:tblW w:type="auto" w:w="0"/>
        <w:tblLook w:firstColumn="1" w:firstRow="1" w:lastColumn="0" w:lastRow="0" w:noHBand="0" w:noVBand="1" w:val="04A0"/>
      </w:tblPr>
      <w:tblGrid>
        <w:gridCol w:w="2880"/>
        <w:gridCol w:w="2880"/>
        <w:gridCol w:w="2880"/>
      </w:tblGrid>
      <w:tr>
        <w:tc>
          <w:tcPr>
            <w:tcW w:type="dxa" w:w="2880"/>
          </w:tcPr>
          <w:p>
            <w:r>
              <w:t>Stage</w:t>
            </w:r>
          </w:p>
        </w:tc>
        <w:tc>
          <w:tcPr>
            <w:tcW w:type="dxa" w:w="2880"/>
          </w:tcPr>
          <w:p>
            <w:r>
              <w:t>Activity</w:t>
            </w:r>
          </w:p>
        </w:tc>
        <w:tc>
          <w:tcPr>
            <w:tcW w:type="dxa" w:w="2880"/>
          </w:tcPr>
          <w:p>
            <w:r>
              <w:t>Details</w:t>
            </w:r>
          </w:p>
        </w:tc>
      </w:tr>
      <w:tr>
        <w:tc>
          <w:tcPr>
            <w:tcW w:type="dxa" w:w="2880"/>
          </w:tcPr>
          <w:p>
            <w:r>
              <w:t>Content Creation</w:t>
            </w:r>
          </w:p>
        </w:tc>
        <w:tc>
          <w:tcPr>
            <w:tcW w:type="dxa" w:w="2880"/>
          </w:tcPr>
          <w:p>
            <w:r>
              <w:t>Creative Planning</w:t>
            </w:r>
          </w:p>
        </w:tc>
        <w:tc>
          <w:tcPr>
            <w:tcW w:type="dxa" w:w="2880"/>
          </w:tcPr>
          <w:p>
            <w:r>
              <w:t>Develop concepts, hooks, shot lists, scripts, and production direction based on the approved strategy and content calendar.</w:t>
            </w:r>
          </w:p>
        </w:tc>
      </w:tr>
      <w:tr>
        <w:tc>
          <w:tcPr>
            <w:tcW w:type="dxa" w:w="2880"/>
          </w:tcPr>
          <w:p>
            <w:r>
              <w:t>Content Creation</w:t>
            </w:r>
          </w:p>
        </w:tc>
        <w:tc>
          <w:tcPr>
            <w:tcW w:type="dxa" w:w="2880"/>
          </w:tcPr>
          <w:p>
            <w:r>
              <w:t>Content Shoots</w:t>
            </w:r>
          </w:p>
        </w:tc>
        <w:tc>
          <w:tcPr>
            <w:tcW w:type="dxa" w:w="2880"/>
          </w:tcPr>
          <w:p>
            <w:r>
              <w:t>Conduct scheduled on-site content shoots based on the selected package and agreed production cadence.</w:t>
            </w:r>
          </w:p>
        </w:tc>
      </w:tr>
      <w:tr>
        <w:tc>
          <w:tcPr>
            <w:tcW w:type="dxa" w:w="2880"/>
          </w:tcPr>
          <w:p>
            <w:r>
              <w:t>Content Creation</w:t>
            </w:r>
          </w:p>
        </w:tc>
        <w:tc>
          <w:tcPr>
            <w:tcW w:type="dxa" w:w="2880"/>
          </w:tcPr>
          <w:p>
            <w:r>
              <w:t>Editing and Asset Production</w:t>
            </w:r>
          </w:p>
        </w:tc>
        <w:tc>
          <w:tcPr>
            <w:tcW w:type="dxa" w:w="2880"/>
          </w:tcPr>
          <w:p>
            <w:r>
              <w:t>Edit platform-ready creative assets, which may include Reels, carousels, static graphics, Stories, captions, and related content components that fit the package scope.</w:t>
            </w:r>
          </w:p>
        </w:tc>
      </w:tr>
      <w:tr>
        <w:tc>
          <w:tcPr>
            <w:tcW w:type="dxa" w:w="2880"/>
          </w:tcPr>
          <w:p>
            <w:r>
              <w:t>Profile Management</w:t>
            </w:r>
          </w:p>
        </w:tc>
        <w:tc>
          <w:tcPr>
            <w:tcW w:type="dxa" w:w="2880"/>
          </w:tcPr>
          <w:p>
            <w:r>
              <w:t>Copywriting and Publishing</w:t>
            </w:r>
          </w:p>
        </w:tc>
        <w:tc>
          <w:tcPr>
            <w:tcW w:type="dxa" w:w="2880"/>
          </w:tcPr>
          <w:p>
            <w:r>
              <w:t>Write copy, prepare publish-ready assets, schedule approved content, and post according to the active plan.</w:t>
            </w:r>
          </w:p>
        </w:tc>
      </w:tr>
      <w:tr>
        <w:tc>
          <w:tcPr>
            <w:tcW w:type="dxa" w:w="2880"/>
          </w:tcPr>
          <w:p>
            <w:r>
              <w:t>Profile Management</w:t>
            </w:r>
          </w:p>
        </w:tc>
        <w:tc>
          <w:tcPr>
            <w:tcW w:type="dxa" w:w="2880"/>
          </w:tcPr>
          <w:p>
            <w:r>
              <w:t>Community Management and DM Routing</w:t>
            </w:r>
          </w:p>
        </w:tc>
        <w:tc>
          <w:tcPr>
            <w:tcW w:type="dxa" w:w="2880"/>
          </w:tcPr>
          <w:p>
            <w:r>
              <w:t>Monitor comments and DMs within a commercially reasonable time and route qualified inquiries or high-priority items to Client's designated contact where appropriate.</w:t>
            </w:r>
          </w:p>
        </w:tc>
      </w:tr>
      <w:tr>
        <w:tc>
          <w:tcPr>
            <w:tcW w:type="dxa" w:w="2880"/>
          </w:tcPr>
          <w:p>
            <w:r>
              <w:t>Profile Management</w:t>
            </w:r>
          </w:p>
        </w:tc>
        <w:tc>
          <w:tcPr>
            <w:tcW w:type="dxa" w:w="2880"/>
          </w:tcPr>
          <w:p>
            <w:r>
              <w:t>Calendar Management</w:t>
            </w:r>
          </w:p>
        </w:tc>
        <w:tc>
          <w:tcPr>
            <w:tcW w:type="dxa" w:w="2880"/>
          </w:tcPr>
          <w:p>
            <w:r>
              <w:t>Maintain and adjust the working content calendar during the engagement.</w:t>
            </w:r>
          </w:p>
        </w:tc>
      </w:tr>
      <w:tr>
        <w:tc>
          <w:tcPr>
            <w:tcW w:type="dxa" w:w="2880"/>
          </w:tcPr>
          <w:p>
            <w:r>
              <w:t>Performance Excellence</w:t>
            </w:r>
          </w:p>
        </w:tc>
        <w:tc>
          <w:tcPr>
            <w:tcW w:type="dxa" w:w="2880"/>
          </w:tcPr>
          <w:p>
            <w:r>
              <w:t>Reporting and Review</w:t>
            </w:r>
          </w:p>
        </w:tc>
        <w:tc>
          <w:tcPr>
            <w:tcW w:type="dxa" w:w="2880"/>
          </w:tcPr>
          <w:p>
            <w:r>
              <w:t>Deliver monthly performance reporting and review strategic adjustments based on performance signals.</w:t>
            </w:r>
          </w:p>
        </w:tc>
      </w:tr>
      <w:tr>
        <w:tc>
          <w:tcPr>
            <w:tcW w:type="dxa" w:w="2880"/>
          </w:tcPr>
          <w:p>
            <w:r>
              <w:t>Performance Excellence</w:t>
            </w:r>
          </w:p>
        </w:tc>
        <w:tc>
          <w:tcPr>
            <w:tcW w:type="dxa" w:w="2880"/>
          </w:tcPr>
          <w:p>
            <w:r>
              <w:t>Strategy Support</w:t>
            </w:r>
          </w:p>
        </w:tc>
        <w:tc>
          <w:tcPr>
            <w:tcW w:type="dxa" w:w="2880"/>
          </w:tcPr>
          <w:p>
            <w:r>
              <w:t>Conduct recurring strategy reviews and adjustments during the active retainer period.</w:t>
            </w:r>
          </w:p>
        </w:tc>
      </w:tr>
    </w:tbl>
    <w:p/>
    <w:p>
      <w:pPr>
        <w:pStyle w:val="Heading2"/>
      </w:pPr>
      <w:r>
        <w:t>Package Tier Reference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Tier</w:t>
            </w:r>
          </w:p>
        </w:tc>
        <w:tc>
          <w:tcPr>
            <w:tcW w:type="dxa" w:w="2160"/>
          </w:tcPr>
          <w:p>
            <w:r>
              <w:t>Feed Posts Per Week</w:t>
            </w:r>
          </w:p>
        </w:tc>
        <w:tc>
          <w:tcPr>
            <w:tcW w:type="dxa" w:w="2160"/>
          </w:tcPr>
          <w:p>
            <w:r>
              <w:t>Story Days Per Week</w:t>
            </w:r>
          </w:p>
        </w:tc>
        <w:tc>
          <w:tcPr>
            <w:tcW w:type="dxa" w:w="2160"/>
          </w:tcPr>
          <w:p>
            <w:r>
              <w:t>Standard Shoot Cadence</w:t>
            </w:r>
          </w:p>
        </w:tc>
      </w:tr>
      <w:tr>
        <w:tc>
          <w:tcPr>
            <w:tcW w:type="dxa" w:w="2160"/>
          </w:tcPr>
          <w:p>
            <w:r>
              <w:t>Essential</w:t>
            </w:r>
          </w:p>
        </w:tc>
        <w:tc>
          <w:tcPr>
            <w:tcW w:type="dxa" w:w="2160"/>
          </w:tcPr>
          <w:p>
            <w:r>
              <w:t>2</w:t>
            </w:r>
          </w:p>
        </w:tc>
        <w:tc>
          <w:tcPr>
            <w:tcW w:type="dxa" w:w="2160"/>
          </w:tcPr>
          <w:p>
            <w:r>
              <w:t>1-2</w:t>
            </w:r>
          </w:p>
        </w:tc>
        <w:tc>
          <w:tcPr>
            <w:tcW w:type="dxa" w:w="2160"/>
          </w:tcPr>
          <w:p>
            <w:r>
              <w:t>Every 4 weeks</w:t>
            </w:r>
          </w:p>
        </w:tc>
      </w:tr>
      <w:tr>
        <w:tc>
          <w:tcPr>
            <w:tcW w:type="dxa" w:w="2160"/>
          </w:tcPr>
          <w:p>
            <w:r>
              <w:t>Growth</w:t>
            </w:r>
          </w:p>
        </w:tc>
        <w:tc>
          <w:tcPr>
            <w:tcW w:type="dxa" w:w="2160"/>
          </w:tcPr>
          <w:p>
            <w:r>
              <w:t>3</w:t>
            </w:r>
          </w:p>
        </w:tc>
        <w:tc>
          <w:tcPr>
            <w:tcW w:type="dxa" w:w="2160"/>
          </w:tcPr>
          <w:p>
            <w:r>
              <w:t>2</w:t>
            </w:r>
          </w:p>
        </w:tc>
        <w:tc>
          <w:tcPr>
            <w:tcW w:type="dxa" w:w="2160"/>
          </w:tcPr>
          <w:p>
            <w:r>
              <w:t>Every 3-4 weeks</w:t>
            </w:r>
          </w:p>
        </w:tc>
      </w:tr>
    </w:tbl>
    <w:p/>
    <w:p>
      <w:r>
        <w:t>This table is included as a working reference for template use. If a client agreement uses a custom cadence or custom deliverables, the Services and commercial sections above control.</w:t>
      </w:r>
    </w:p>
    <w:p/>
    <w:p>
      <w:pPr>
        <w:pStyle w:val="Heading2"/>
      </w:pPr>
      <w:r>
        <w:t>Communication Schedule</w:t>
      </w:r>
    </w:p>
    <w:p/>
    <w:tbl>
      <w:tblPr>
        <w:tblStyle w:val="TableGrid"/>
        <w:tblW w:type="auto" w:w="0"/>
        <w:tblLook w:firstColumn="1" w:firstRow="1" w:lastColumn="0" w:lastRow="0" w:noHBand="0" w:noVBand="1" w:val="04A0"/>
      </w:tblPr>
      <w:tblGrid>
        <w:gridCol w:w="2880"/>
        <w:gridCol w:w="2880"/>
        <w:gridCol w:w="2880"/>
      </w:tblGrid>
      <w:tr>
        <w:tc>
          <w:tcPr>
            <w:tcW w:type="dxa" w:w="2880"/>
          </w:tcPr>
          <w:p>
            <w:r>
              <w:t>Meeting</w:t>
            </w:r>
          </w:p>
        </w:tc>
        <w:tc>
          <w:tcPr>
            <w:tcW w:type="dxa" w:w="2880"/>
          </w:tcPr>
          <w:p>
            <w:r>
              <w:t>Purpose</w:t>
            </w:r>
          </w:p>
        </w:tc>
        <w:tc>
          <w:tcPr>
            <w:tcW w:type="dxa" w:w="2880"/>
          </w:tcPr>
          <w:p>
            <w:r>
              <w:t>Timing</w:t>
            </w:r>
          </w:p>
        </w:tc>
      </w:tr>
      <w:tr>
        <w:tc>
          <w:tcPr>
            <w:tcW w:type="dxa" w:w="2880"/>
          </w:tcPr>
          <w:p>
            <w:r>
              <w:t>Project Kickoff</w:t>
            </w:r>
          </w:p>
        </w:tc>
        <w:tc>
          <w:tcPr>
            <w:tcW w:type="dxa" w:w="2880"/>
          </w:tcPr>
          <w:p>
            <w:r>
              <w:t>Align on goals, expectations, access, content process, and timeline</w:t>
            </w:r>
          </w:p>
        </w:tc>
        <w:tc>
          <w:tcPr>
            <w:tcW w:type="dxa" w:w="2880"/>
          </w:tcPr>
          <w:p>
            <w:r>
              <w:t>Within a commercially reasonable time after signing</w:t>
            </w:r>
          </w:p>
        </w:tc>
      </w:tr>
      <w:tr>
        <w:tc>
          <w:tcPr>
            <w:tcW w:type="dxa" w:w="2880"/>
          </w:tcPr>
          <w:p>
            <w:r>
              <w:t>Strategy Review</w:t>
            </w:r>
          </w:p>
        </w:tc>
        <w:tc>
          <w:tcPr>
            <w:tcW w:type="dxa" w:w="2880"/>
          </w:tcPr>
          <w:p>
            <w:r>
              <w:t>Present and approve the strategy before ongoing execution begins</w:t>
            </w:r>
          </w:p>
        </w:tc>
        <w:tc>
          <w:tcPr>
            <w:tcW w:type="dxa" w:w="2880"/>
          </w:tcPr>
          <w:p>
            <w:r>
              <w:t>End of Week 3 or as soon as strategy is ready for review</w:t>
            </w:r>
          </w:p>
        </w:tc>
      </w:tr>
      <w:tr>
        <w:tc>
          <w:tcPr>
            <w:tcW w:type="dxa" w:w="2880"/>
          </w:tcPr>
          <w:p>
            <w:r>
              <w:t>Biweekly Check-In</w:t>
            </w:r>
          </w:p>
        </w:tc>
        <w:tc>
          <w:tcPr>
            <w:tcW w:type="dxa" w:w="2880"/>
          </w:tcPr>
          <w:p>
            <w:r>
              <w:t>Review approvals, performance signals, priorities, and open items</w:t>
            </w:r>
          </w:p>
        </w:tc>
        <w:tc>
          <w:tcPr>
            <w:tcW w:type="dxa" w:w="2880"/>
          </w:tcPr>
          <w:p>
            <w:r>
              <w:t>Every two (2) weeks during active execution</w:t>
            </w:r>
          </w:p>
        </w:tc>
      </w:tr>
      <w:tr>
        <w:tc>
          <w:tcPr>
            <w:tcW w:type="dxa" w:w="2880"/>
          </w:tcPr>
          <w:p>
            <w:r>
              <w:t>Content Shoot</w:t>
            </w:r>
          </w:p>
        </w:tc>
        <w:tc>
          <w:tcPr>
            <w:tcW w:type="dxa" w:w="2880"/>
          </w:tcPr>
          <w:p>
            <w:r>
              <w:t>Capture platform-ready content for ongoing production</w:t>
            </w:r>
          </w:p>
        </w:tc>
        <w:tc>
          <w:tcPr>
            <w:tcW w:type="dxa" w:w="2880"/>
          </w:tcPr>
          <w:p>
            <w:r>
              <w:t>Based on selected package or approved production cadence</w:t>
            </w:r>
          </w:p>
        </w:tc>
      </w:tr>
    </w:tbl>
    <w:p/>
    <w:p>
      <w:pPr>
        <w:pStyle w:val="Heading2"/>
      </w:pPr>
      <w:r>
        <w:t>Deliverables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Deliverable</w:t>
            </w:r>
          </w:p>
        </w:tc>
        <w:tc>
          <w:tcPr>
            <w:tcW w:type="dxa" w:w="2160"/>
          </w:tcPr>
          <w:p>
            <w:r>
              <w:t>Delivery Date</w:t>
            </w:r>
          </w:p>
        </w:tc>
        <w:tc>
          <w:tcPr>
            <w:tcW w:type="dxa" w:w="2160"/>
          </w:tcPr>
          <w:p>
            <w:r>
              <w:t>Frequency</w:t>
            </w:r>
          </w:p>
        </w:tc>
        <w:tc>
          <w:tcPr>
            <w:tcW w:type="dxa" w:w="2160"/>
          </w:tcPr>
          <w:p>
            <w:r>
              <w:t>Delivery Format</w:t>
            </w:r>
          </w:p>
        </w:tc>
      </w:tr>
      <w:tr>
        <w:tc>
          <w:tcPr>
            <w:tcW w:type="dxa" w:w="2160"/>
          </w:tcPr>
          <w:p>
            <w:r>
              <w:t>Strategic Foundation / Strategy Document</w:t>
            </w:r>
          </w:p>
        </w:tc>
        <w:tc>
          <w:tcPr>
            <w:tcW w:type="dxa" w:w="2160"/>
          </w:tcPr>
          <w:p>
            <w:r>
              <w:t>Approximately Week 3</w:t>
            </w:r>
          </w:p>
        </w:tc>
        <w:tc>
          <w:tcPr>
            <w:tcW w:type="dxa" w:w="2160"/>
          </w:tcPr>
          <w:p>
            <w:r>
              <w:t>One-time</w:t>
            </w:r>
          </w:p>
        </w:tc>
        <w:tc>
          <w:tcPr>
            <w:tcW w:type="dxa" w:w="2160"/>
          </w:tcPr>
          <w:p>
            <w:r>
              <w:t>PDF, document, or shared planning format</w:t>
            </w:r>
          </w:p>
        </w:tc>
      </w:tr>
      <w:tr>
        <w:tc>
          <w:tcPr>
            <w:tcW w:type="dxa" w:w="2160"/>
          </w:tcPr>
          <w:p>
            <w:r>
              <w:t>Content Calendar</w:t>
            </w:r>
          </w:p>
        </w:tc>
        <w:tc>
          <w:tcPr>
            <w:tcW w:type="dxa" w:w="2160"/>
          </w:tcPr>
          <w:p>
            <w:r>
              <w:t>Delivered with strategy and updated during execution</w:t>
            </w:r>
          </w:p>
        </w:tc>
        <w:tc>
          <w:tcPr>
            <w:tcW w:type="dxa" w:w="2160"/>
          </w:tcPr>
          <w:p>
            <w:r>
              <w:t>Ongoing</w:t>
            </w:r>
          </w:p>
        </w:tc>
        <w:tc>
          <w:tcPr>
            <w:tcW w:type="dxa" w:w="2160"/>
          </w:tcPr>
          <w:p>
            <w:r>
              <w:t>Shared planning view, PDF, or comparable working format</w:t>
            </w:r>
          </w:p>
        </w:tc>
      </w:tr>
      <w:tr>
        <w:tc>
          <w:tcPr>
            <w:tcW w:type="dxa" w:w="2160"/>
          </w:tcPr>
          <w:p>
            <w:r>
              <w:t>Creative Content</w:t>
            </w:r>
          </w:p>
        </w:tc>
        <w:tc>
          <w:tcPr>
            <w:tcW w:type="dxa" w:w="2160"/>
          </w:tcPr>
          <w:p>
            <w:r>
              <w:t>Begins after strategy approval</w:t>
            </w:r>
          </w:p>
        </w:tc>
        <w:tc>
          <w:tcPr>
            <w:tcW w:type="dxa" w:w="2160"/>
          </w:tcPr>
          <w:p>
            <w:r>
              <w:t>Ongoing based on package tier</w:t>
            </w:r>
          </w:p>
        </w:tc>
        <w:tc>
          <w:tcPr>
            <w:tcW w:type="dxa" w:w="2160"/>
          </w:tcPr>
          <w:p>
            <w:r>
              <w:t>Instagram content assets</w:t>
            </w:r>
          </w:p>
        </w:tc>
      </w:tr>
      <w:tr>
        <w:tc>
          <w:tcPr>
            <w:tcW w:type="dxa" w:w="2160"/>
          </w:tcPr>
          <w:p>
            <w:r>
              <w:t>Monthly Performance Report</w:t>
            </w:r>
          </w:p>
        </w:tc>
        <w:tc>
          <w:tcPr>
            <w:tcW w:type="dxa" w:w="2160"/>
          </w:tcPr>
          <w:p>
            <w:r>
              <w:t>First week of each month during execution or as otherwise scheduled</w:t>
            </w:r>
          </w:p>
        </w:tc>
        <w:tc>
          <w:tcPr>
            <w:tcW w:type="dxa" w:w="2160"/>
          </w:tcPr>
          <w:p>
            <w:r>
              <w:t>Monthly</w:t>
            </w:r>
          </w:p>
        </w:tc>
        <w:tc>
          <w:tcPr>
            <w:tcW w:type="dxa" w:w="2160"/>
          </w:tcPr>
          <w:p>
            <w:r>
              <w:t>Email summary plus shared reporting view</w:t>
            </w:r>
          </w:p>
        </w:tc>
      </w:tr>
    </w:tbl>
    <w:p/>
    <w:p>
      <w:pPr>
        <w:pStyle w:val="Heading2"/>
      </w:pPr>
      <w:r>
        <w:t>Continuing the Engagement</w:t>
      </w:r>
    </w:p>
    <w:p>
      <w:r>
        <w:t>This Signature Package is an initial engagement designed to build the strategy foundation, complete the first execution cycle, and generate useful creative and performance data for both Parties.</w:t>
      </w:r>
    </w:p>
    <w:p/>
    <w:p>
      <w:r>
        <w:t>As the initial term ends, the Parties may continue the engagement through a separate amendment or renewal. Unless otherwise agreed in writing, any continuation of services after the initial term will focus on ongoing execution and optimization rather than rebuilding the initial strategy scope.</w:t>
      </w:r>
    </w:p>
    <w:p/>
    <w:p>
      <w:pPr>
        <w:pStyle w:val="Heading2"/>
      </w:pPr>
      <w:r>
        <w:t>Cost, Fees and Payment</w:t>
      </w:r>
    </w:p>
    <w:p>
      <w:r>
        <w:t>The total cost for the engagement is listed below.</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Name</w:t>
            </w:r>
          </w:p>
        </w:tc>
        <w:tc>
          <w:tcPr>
            <w:tcW w:type="dxa" w:w="2160"/>
          </w:tcPr>
          <w:p>
            <w:r>
              <w:t>Price</w:t>
            </w:r>
          </w:p>
        </w:tc>
        <w:tc>
          <w:tcPr>
            <w:tcW w:type="dxa" w:w="2160"/>
          </w:tcPr>
          <w:p>
            <w:r>
              <w:t>QTY</w:t>
            </w:r>
          </w:p>
        </w:tc>
        <w:tc>
          <w:tcPr>
            <w:tcW w:type="dxa" w:w="2160"/>
          </w:tcPr>
          <w:p>
            <w:r>
              <w:t>Subtotal</w:t>
            </w:r>
          </w:p>
        </w:tc>
      </w:tr>
      <w:tr>
        <w:tc>
          <w:tcPr>
            <w:tcW w:type="dxa" w:w="2160"/>
          </w:tcPr>
          <w:p>
            <w:r>
              <w:t>Signature Package - Strategy</w:t>
            </w:r>
          </w:p>
        </w:tc>
        <w:tc>
          <w:tcPr>
            <w:tcW w:type="dxa" w:w="2160"/>
          </w:tcPr>
          <w:p>
            <w:r>
              <w:t>[Strategy Fee]</w:t>
            </w:r>
          </w:p>
        </w:tc>
        <w:tc>
          <w:tcPr>
            <w:tcW w:type="dxa" w:w="2160"/>
          </w:tcPr>
          <w:p>
            <w:r>
              <w:t>1</w:t>
            </w:r>
          </w:p>
        </w:tc>
        <w:tc>
          <w:tcPr>
            <w:tcW w:type="dxa" w:w="2160"/>
          </w:tcPr>
          <w:p>
            <w:r>
              <w:t>[Strategy Fee]</w:t>
            </w:r>
          </w:p>
        </w:tc>
      </w:tr>
      <w:tr>
        <w:tc>
          <w:tcPr>
            <w:tcW w:type="dxa" w:w="2160"/>
          </w:tcPr>
          <w:p>
            <w:r>
              <w:t>Signature Package - [Tier] (Execution)</w:t>
            </w:r>
          </w:p>
        </w:tc>
        <w:tc>
          <w:tcPr>
            <w:tcW w:type="dxa" w:w="2160"/>
          </w:tcPr>
          <w:p>
            <w:r>
              <w:t>[Recurring Fee]</w:t>
            </w:r>
          </w:p>
        </w:tc>
        <w:tc>
          <w:tcPr>
            <w:tcW w:type="dxa" w:w="2160"/>
          </w:tcPr>
          <w:p>
            <w:r>
              <w:t>[Execution Installment Count]</w:t>
            </w:r>
          </w:p>
        </w:tc>
        <w:tc>
          <w:tcPr>
            <w:tcW w:type="dxa" w:w="2160"/>
          </w:tcPr>
          <w:p>
            <w:r>
              <w:t>[Execution Total]</w:t>
            </w:r>
          </w:p>
        </w:tc>
      </w:tr>
      <w:tr>
        <w:tc>
          <w:tcPr>
            <w:tcW w:type="dxa" w:w="2160"/>
          </w:tcPr>
          <w:p>
            <w:r>
              <w:t>[Package Summary Line]</w:t>
            </w:r>
          </w:p>
        </w:tc>
        <w:tc>
          <w:tcPr>
            <w:tcW w:type="dxa" w:w="2160"/>
          </w:tcPr>
          <w:p>
            <w:r/>
          </w:p>
        </w:tc>
        <w:tc>
          <w:tcPr>
            <w:tcW w:type="dxa" w:w="2160"/>
          </w:tcPr>
          <w:p>
            <w:r/>
          </w:p>
        </w:tc>
        <w:tc>
          <w:tcPr>
            <w:tcW w:type="dxa" w:w="2160"/>
          </w:tcPr>
          <w:p>
            <w:r/>
          </w:p>
        </w:tc>
      </w:tr>
      <w:tr>
        <w:tc>
          <w:tcPr>
            <w:tcW w:type="dxa" w:w="2160"/>
          </w:tcPr>
          <w:p>
            <w:r>
              <w:t>**Total**</w:t>
            </w:r>
          </w:p>
        </w:tc>
        <w:tc>
          <w:tcPr>
            <w:tcW w:type="dxa" w:w="2160"/>
          </w:tcPr>
          <w:p>
            <w:r/>
          </w:p>
        </w:tc>
        <w:tc>
          <w:tcPr>
            <w:tcW w:type="dxa" w:w="2160"/>
          </w:tcPr>
          <w:p>
            <w:r/>
          </w:p>
        </w:tc>
        <w:tc>
          <w:tcPr>
            <w:tcW w:type="dxa" w:w="2160"/>
          </w:tcPr>
          <w:p>
            <w:r>
              <w:t>**[Contract Total]**</w:t>
            </w:r>
          </w:p>
        </w:tc>
      </w:tr>
    </w:tbl>
    <w:p/>
    <w:p>
      <w:pPr>
        <w:pStyle w:val="Heading3"/>
      </w:pPr>
      <w:r>
        <w:t>Projected Payment Schedule</w:t>
      </w:r>
    </w:p>
    <w:p/>
    <w:tbl>
      <w:tblPr>
        <w:tblStyle w:val="TableGrid"/>
        <w:tblW w:type="auto" w:w="0"/>
        <w:tblLook w:firstColumn="1" w:firstRow="1" w:lastColumn="0" w:lastRow="0" w:noHBand="0" w:noVBand="1" w:val="04A0"/>
      </w:tblPr>
      <w:tblGrid>
        <w:gridCol w:w="2880"/>
        <w:gridCol w:w="2880"/>
        <w:gridCol w:w="2880"/>
      </w:tblGrid>
      <w:tr>
        <w:tc>
          <w:tcPr>
            <w:tcW w:type="dxa" w:w="2880"/>
          </w:tcPr>
          <w:p>
            <w:r>
              <w:t>Projected Date</w:t>
            </w:r>
          </w:p>
        </w:tc>
        <w:tc>
          <w:tcPr>
            <w:tcW w:type="dxa" w:w="2880"/>
          </w:tcPr>
          <w:p>
            <w:r>
              <w:t>Amount</w:t>
            </w:r>
          </w:p>
        </w:tc>
        <w:tc>
          <w:tcPr>
            <w:tcW w:type="dxa" w:w="2880"/>
          </w:tcPr>
          <w:p>
            <w:r>
              <w:t>Service Type</w:t>
            </w:r>
          </w:p>
        </w:tc>
      </w:tr>
      <w:tr>
        <w:tc>
          <w:tcPr>
            <w:tcW w:type="dxa" w:w="2880"/>
          </w:tcPr>
          <w:p>
            <w:r>
              <w:t>[Invoice Date 1]</w:t>
            </w:r>
          </w:p>
        </w:tc>
        <w:tc>
          <w:tcPr>
            <w:tcW w:type="dxa" w:w="2880"/>
          </w:tcPr>
          <w:p>
            <w:r>
              <w:t>[Amount 1]</w:t>
            </w:r>
          </w:p>
        </w:tc>
        <w:tc>
          <w:tcPr>
            <w:tcW w:type="dxa" w:w="2880"/>
          </w:tcPr>
          <w:p>
            <w:r>
              <w:t>[Service Type 1]</w:t>
            </w:r>
          </w:p>
        </w:tc>
      </w:tr>
      <w:tr>
        <w:tc>
          <w:tcPr>
            <w:tcW w:type="dxa" w:w="2880"/>
          </w:tcPr>
          <w:p>
            <w:r>
              <w:t>[Invoice Date 2]</w:t>
            </w:r>
          </w:p>
        </w:tc>
        <w:tc>
          <w:tcPr>
            <w:tcW w:type="dxa" w:w="2880"/>
          </w:tcPr>
          <w:p>
            <w:r>
              <w:t>[Amount 2]</w:t>
            </w:r>
          </w:p>
        </w:tc>
        <w:tc>
          <w:tcPr>
            <w:tcW w:type="dxa" w:w="2880"/>
          </w:tcPr>
          <w:p>
            <w:r>
              <w:t>[Service Type 2]</w:t>
            </w:r>
          </w:p>
        </w:tc>
      </w:tr>
      <w:tr>
        <w:tc>
          <w:tcPr>
            <w:tcW w:type="dxa" w:w="2880"/>
          </w:tcPr>
          <w:p>
            <w:r>
              <w:t>[Invoice Date 3]</w:t>
            </w:r>
          </w:p>
        </w:tc>
        <w:tc>
          <w:tcPr>
            <w:tcW w:type="dxa" w:w="2880"/>
          </w:tcPr>
          <w:p>
            <w:r>
              <w:t>[Amount 3]</w:t>
            </w:r>
          </w:p>
        </w:tc>
        <w:tc>
          <w:tcPr>
            <w:tcW w:type="dxa" w:w="2880"/>
          </w:tcPr>
          <w:p>
            <w:r>
              <w:t>[Service Type 3]</w:t>
            </w:r>
          </w:p>
        </w:tc>
      </w:tr>
      <w:tr>
        <w:tc>
          <w:tcPr>
            <w:tcW w:type="dxa" w:w="2880"/>
          </w:tcPr>
          <w:p>
            <w:r>
              <w:t>[Invoice Date 4]</w:t>
            </w:r>
          </w:p>
        </w:tc>
        <w:tc>
          <w:tcPr>
            <w:tcW w:type="dxa" w:w="2880"/>
          </w:tcPr>
          <w:p>
            <w:r>
              <w:t>[Amount 4]</w:t>
            </w:r>
          </w:p>
        </w:tc>
        <w:tc>
          <w:tcPr>
            <w:tcW w:type="dxa" w:w="2880"/>
          </w:tcPr>
          <w:p>
            <w:r>
              <w:t>[Service Type 4]</w:t>
            </w:r>
          </w:p>
        </w:tc>
      </w:tr>
      <w:tr>
        <w:tc>
          <w:tcPr>
            <w:tcW w:type="dxa" w:w="2880"/>
          </w:tcPr>
          <w:p>
            <w:r>
              <w:t>[Invoice Date 5]</w:t>
            </w:r>
          </w:p>
        </w:tc>
        <w:tc>
          <w:tcPr>
            <w:tcW w:type="dxa" w:w="2880"/>
          </w:tcPr>
          <w:p>
            <w:r>
              <w:t>[Amount 5]</w:t>
            </w:r>
          </w:p>
        </w:tc>
        <w:tc>
          <w:tcPr>
            <w:tcW w:type="dxa" w:w="2880"/>
          </w:tcPr>
          <w:p>
            <w:r>
              <w:t>[Service Type 5]</w:t>
            </w:r>
          </w:p>
        </w:tc>
      </w:tr>
    </w:tbl>
    <w:p/>
    <w:p>
      <w:r>
        <w:t>This table is a projection only. Actual invoice dates or amounts may vary due to billing cycle alignment, proration, package changes, or approved add-ons.</w:t>
      </w:r>
    </w:p>
    <w:p/>
    <w:p>
      <w:pPr>
        <w:pStyle w:val="Heading2"/>
      </w:pPr>
      <w:r>
        <w:t>Payment Policy</w:t>
      </w:r>
    </w:p>
    <w:p>
      <w:r>
        <w:t>Scroll Media's standard billing process is automatic payment. The first invoice sent under this Agreement will allow Client to add a payment method through Scroll Media's Stripe billing system. Once that payment method is added, Client authorizes Scroll Media to automatically charge that saved method for future invoices, recurring retainers, prorated amounts, approved add-ons, and any other charges due under this Agreement.</w:t>
      </w:r>
    </w:p>
    <w:p/>
    <w:p>
      <w:r>
        <w:t>All invoices are due upon receipt unless the Parties agree otherwise in writing. The recurring execution portion of this engagement is typically billed every fifteen (15) days in equal installment amounts unless the Parties agree to a different billing cadence in writing. If a payment method fails or becomes invalid, Client agrees to update it promptly so services and publishing are not disrupted. Any manual payment exception must be approved by Scroll Media in advance and may be revoked at any time.</w:t>
      </w:r>
    </w:p>
    <w:p/>
    <w:p>
      <w:pPr>
        <w:pStyle w:val="Heading2"/>
      </w:pPr>
      <w:r>
        <w:t>Client Responsibilities</w:t>
      </w:r>
    </w:p>
    <w:p>
      <w:r>
        <w:t>Client agrees to support the engagement in a timely and collaborative way. This includes timely approvals, consolidated feedback, accurate business information, required account access, necessary brand assets, and reasonable availability for shoots, meetings, and reviews. Client is responsible for making sure any claims, offers, pricing, promotions, testimonials, and business details provided to Scroll Media are accurate and approved for use.</w:t>
      </w:r>
    </w:p>
    <w:p/>
    <w:p>
      <w:r>
        <w:t>Client will maintain one main point of contact for approvals and strategic communication unless the Parties agree otherwise in writing.</w:t>
      </w:r>
    </w:p>
    <w:p/>
    <w:p>
      <w:pPr>
        <w:pStyle w:val="Heading2"/>
      </w:pPr>
      <w:r>
        <w:t>Content Production and Shoot Policy</w:t>
      </w:r>
    </w:p>
    <w:p>
      <w:r>
        <w:t>Shoot frequency is tied to the active package. For this engagement, content shoots are planned according to the cadence listed in the Services section unless the Parties agree to a custom production cadence in writing.</w:t>
      </w:r>
    </w:p>
    <w:p/>
    <w:p>
      <w:r>
        <w:t>Scroll Media will send a shot list before each scheduled shoot. Client will submit any shot-list feedback before the lock date communicated by Scroll Media. Once a shot list is locked, no material changes or net-new concepts will be added to that shoot. Minor substitutions within an existing planned shot category may be accommodated at Scroll Media's discretion.</w:t>
      </w:r>
    </w:p>
    <w:p/>
    <w:p>
      <w:r>
        <w:t>If Client requests day-of changes that cause Scroll Media to move away from the locked shot list, Scroll Media is not responsible for any resulting content gap, delay, missed posting date, or reduced content volume.</w:t>
      </w:r>
    </w:p>
    <w:p/>
    <w:p>
      <w:r>
        <w:t>Any extra shoot outside the standard cadence is additional scope and may be quoted separately.</w:t>
      </w:r>
    </w:p>
    <w:p/>
    <w:p>
      <w:pPr>
        <w:pStyle w:val="Heading2"/>
      </w:pPr>
      <w:r>
        <w:t>Approvals and Reviews</w:t>
      </w:r>
    </w:p>
    <w:p>
      <w:r>
        <w:t>Scroll Media manages content reviews in the designated approval platform, currently Plann, or another platform designated by Scroll Media with reasonable notice. Content is typically submitted at least five (5) business days before the first scheduled publish date in a batch.</w:t>
      </w:r>
    </w:p>
    <w:p/>
    <w:p>
      <w:r>
        <w:t>Client agrees to review submitted content and submit all feedback, revision requests, and approvals only through the designated approval platform. Feedback sent by text, email, phone, or any other channel does not count as an official revision request or approval under this Agreement.</w:t>
      </w:r>
    </w:p>
    <w:p/>
    <w:p>
      <w:r>
        <w:t>Client will review content within two (2) business days after submission. To protect the posting schedule, final requested changes must be submitted before the content lock communicated by Scroll Media and no later than forty-eight (48) hours before the scheduled publish time unless Scroll Media agrees otherwise in writing.</w:t>
      </w:r>
    </w:p>
    <w:p/>
    <w:p>
      <w:r>
        <w:t>If approvals, feedback, assets, or answers are delayed, Scroll Media is not responsible for resulting posting delays, missed dates, content-calendar changes, or related performance impact.</w:t>
      </w:r>
    </w:p>
    <w:p/>
    <w:p>
      <w:pPr>
        <w:pStyle w:val="Heading2"/>
      </w:pPr>
      <w:r>
        <w:t>Revisions Policy</w:t>
      </w:r>
    </w:p>
    <w:p>
      <w:r>
        <w:t>Scroll Media includes reasonable revisions so the content reflects the approved strategy and brand direction. During the first thirty (30) days of live content delivery, revisions may be handled more flexibly so both Parties can calibrate creative direction, messaging, and execution style. During the strategy phase, Scroll Media will also work in good faith with Client to finalize strategic direction before execution begins.</w:t>
      </w:r>
    </w:p>
    <w:p/>
    <w:p>
      <w:r>
        <w:t>After the initial calibration period, each content batch includes up to two (2) rounds of revisions unless the Parties agree otherwise in writing. A revision round means one consolidated set of feedback from the designated Client contact. Revision requests submitted after the review window, after content lock, or after approval may be applied to the next cycle instead of the current one.</w:t>
      </w:r>
    </w:p>
    <w:p/>
    <w:p>
      <w:r>
        <w:t>Requests that materially change the approved strategy, require new production, create additional deliverables, expand the active channel scope, or otherwise go beyond the agreed package may be treated as additional scope.</w:t>
      </w:r>
    </w:p>
    <w:p/>
    <w:p>
      <w:pPr>
        <w:pStyle w:val="Heading2"/>
      </w:pPr>
      <w:r>
        <w:t>Instagram Stories Policy</w:t>
      </w:r>
    </w:p>
    <w:p>
      <w:r>
        <w:t>Scroll Media leads the strategy and execution of Instagram Stories. Stories are not subject to the same approval workflow as feed posts.</w:t>
      </w:r>
    </w:p>
    <w:p/>
    <w:p>
      <w:r>
        <w:t>Client's input on Stories is limited to sharing promotional priorities, including events, offers, product or service features, and other time-sensitive updates. Scroll Media will use reasonable efforts to include those priorities in the Stories plan, but placement, format, timing, and frequency remain at Scroll Media's discretion.</w:t>
      </w:r>
    </w:p>
    <w:p/>
    <w:p>
      <w:r>
        <w:t>During the early calibration period, Scroll Media may collaborate more closely with Client on Stories tone and style. After that period, Scroll Media may execute Stories independently based on the preferences established during the engagement.</w:t>
      </w:r>
    </w:p>
    <w:p/>
    <w:p>
      <w:r>
        <w:t>If Client identifies a factual error in Stories content, Client must flag it as early as reasonably possible. Scroll Media will use commercially reasonable efforts to correct flagged factual errors before publish when timing allows.</w:t>
      </w:r>
    </w:p>
    <w:p/>
    <w:p>
      <w:pPr>
        <w:pStyle w:val="Heading2"/>
      </w:pPr>
      <w:r>
        <w:t>Client Communication and Reporting</w:t>
      </w:r>
    </w:p>
    <w:p>
      <w:r>
        <w:t>Scroll Media will hold one (1) biweekly check-in meeting during active execution. Meetings are generally thirty (30) minutes and are used to cover content approvals, shot-list alignment, performance signals, priorities, and Stories promotional input.</w:t>
      </w:r>
    </w:p>
    <w:p/>
    <w:p>
      <w:r>
        <w:t>Scroll Media will deliver a monthly performance report during the first week of each calendar month covering the prior month's performance. Reports are delivered through a shared report link with a brief summary email. No separate report-review meeting is required unless the Parties agree otherwise in writing.</w:t>
      </w:r>
    </w:p>
    <w:p/>
    <w:p>
      <w:r>
        <w:t>The current client-facing policy guide that explains Scroll Media's operating process in more detail is available at: &lt;https://tools.scrollmedia.co/policies/content-review/&gt;.</w:t>
      </w:r>
    </w:p>
    <w:p/>
    <w:p>
      <w:r>
        <w:t>That guide is intended to explain the workflow summarized in this Agreement. If there is any conflict between that guide and this Agreement, this Agreement controls.</w:t>
      </w:r>
    </w:p>
    <w:p/>
    <w:p>
      <w:pPr>
        <w:pStyle w:val="Heading2"/>
      </w:pPr>
      <w:r>
        <w:t>Additional Scope</w:t>
      </w:r>
    </w:p>
    <w:p>
      <w:r>
        <w:t>This Agreement covers only the services expressly listed above. Any request outside the agreed scope, including added platforms, extra shoot days, extra editing rounds, new campaigns, paid advertising management, website work, funnel builds, or materially expanded deliverables, may be treated as additional scope and quoted separately.</w:t>
      </w:r>
    </w:p>
    <w:p/>
    <w:p>
      <w:r>
        <w:t>Scroll Media is not required to begin additional-scope work until that work is approved in writing.</w:t>
      </w:r>
    </w:p>
    <w:p/>
    <w:p>
      <w:pPr>
        <w:pStyle w:val="Heading2"/>
      </w:pPr>
      <w:r>
        <w:t>Exclusivity</w:t>
      </w:r>
    </w:p>
    <w:p>
      <w:r>
        <w:t>During the term of this Agreement, Client agrees not to hire another third-party provider to manage the same Instagram account or accounts in a way that materially overlaps with the services Scroll Media is actively providing under this Agreement, unless the Parties agree otherwise in writing. This does not prevent Client's internal team or other non-overlapping partners from supporting the business.</w:t>
      </w:r>
    </w:p>
    <w:p/>
    <w:p>
      <w:pPr>
        <w:pStyle w:val="Heading2"/>
      </w:pPr>
      <w:r>
        <w:t>Ownership and Usage</w:t>
      </w:r>
    </w:p>
    <w:p>
      <w:r>
        <w:t>Scroll Media retains ownership of its internal systems, processes, frameworks, methods, templates, strategy models, drafts, and working files. Once Client has paid all amounts due under this Agreement, Client may fully use the final content and deliverables created for Client under this Agreement in Client's marketing and business channels.</w:t>
      </w:r>
    </w:p>
    <w:p/>
    <w:p>
      <w:r>
        <w:t>Unless Client requests otherwise in writing, Scroll Media may reference or display non-confidential portions of the work for portfolio, case study, marketing, and business-development purposes.</w:t>
      </w:r>
    </w:p>
    <w:p/>
    <w:p>
      <w:pPr>
        <w:pStyle w:val="Heading2"/>
      </w:pPr>
      <w:r>
        <w:t>Creative Standard</w:t>
      </w:r>
    </w:p>
    <w:p>
      <w:r>
        <w:t>Client has reviewed Scroll Media's style, work quality, and strategic approach and understands that the services will be delivered in a manner generally consistent with Scroll Media's standards. Scroll Media will use reasonable efforts to incorporate Client's feedback and preferences, but creative work involves professional judgment and Scroll Media is not required to copy another creator, agency, or reference style exactly.</w:t>
      </w:r>
    </w:p>
    <w:p/>
    <w:p>
      <w:pPr>
        <w:pStyle w:val="Heading2"/>
      </w:pPr>
      <w:r>
        <w:t>Results and Performance</w:t>
      </w:r>
    </w:p>
    <w:p>
      <w:r>
        <w:t>Client understands that Scroll Media does not guarantee any specific business outcome, follower count, reach level, lead volume, booking volume, or revenue result. Social media performance depends on many variables outside Scroll Media's control, including offer strength, market conditions, sales process, content participation, ad spend, account history, seasonality, audience demand, and Client response speed.</w:t>
      </w:r>
    </w:p>
    <w:p/>
    <w:p>
      <w:r>
        <w:t>Scroll Media will use reasonable skill, care, and strategic judgment in performing the services, but outcomes are uncertain and are not guaranteed.</w:t>
      </w:r>
    </w:p>
    <w:p/>
    <w:p>
      <w:pPr>
        <w:pStyle w:val="Heading2"/>
      </w:pPr>
      <w:r>
        <w:t>Confidentiality</w:t>
      </w:r>
    </w:p>
    <w:p>
      <w:r>
        <w:t>Each Party agrees to keep confidential any non-public business, financial, strategic, customer, login, operational, or proprietary information received from the other Party in connection with this Agreement and to use that information only as needed to perform or receive the services.</w:t>
      </w:r>
    </w:p>
    <w:p/>
    <w:p>
      <w:r>
        <w:t>This section does not apply to information that becomes public through no fault of the receiving Party, was already lawfully known by the receiving Party, or must be disclosed by law.</w:t>
      </w:r>
    </w:p>
    <w:p/>
    <w:p>
      <w:pPr>
        <w:pStyle w:val="Heading2"/>
      </w:pPr>
      <w:r>
        <w:t>Liability and Indemnification</w:t>
      </w:r>
    </w:p>
    <w:p>
      <w:r>
        <w:t>Client agrees to indemnify, defend, and hold harmless Scroll Media and its affiliates, employees, agents, and independent contractors from claims, damages, or liabilities arising out of materials, claims, offers, business information, or instructions supplied by Client, or from Client's misuse of the deliverables.</w:t>
      </w:r>
    </w:p>
    <w:p/>
    <w:p>
      <w:r>
        <w:t>To the fullest extent permitted by law, Scroll Media's liability under this Agreement will be limited to the amount actually paid by Client under this Agreement during the three (3) months immediately before the event giving rise to the claim.</w:t>
      </w:r>
    </w:p>
    <w:p/>
    <w:p>
      <w:pPr>
        <w:pStyle w:val="Heading2"/>
      </w:pPr>
      <w:r>
        <w:t>Termination</w:t>
      </w:r>
    </w:p>
    <w:p>
      <w:r>
        <w:t>Either Party may terminate this Agreement if the other Party materially breaches the Agreement and does not cure that breach within a commercially reasonable period after written notice.</w:t>
      </w:r>
    </w:p>
    <w:p/>
    <w:p>
      <w:r>
        <w:t>After services have begun, either Party may also terminate this Agreement for convenience by providing at least fourteen (14) days' prior written notice.</w:t>
      </w:r>
    </w:p>
    <w:p/>
    <w:p>
      <w:r>
        <w:t>If Client terminates this Agreement early for convenience after work has begun, Client remains responsible for all amounts already billed, all approved non-cancellable costs, and the value of work already performed or committed through the effective termination date. Because Scroll Media reserves creative, strategy, and production capacity for the engagement, prepaid amounts are non-refundable except where required by law or expressly stated otherwise in writing.</w:t>
      </w:r>
    </w:p>
    <w:p/>
    <w:p>
      <w:r>
        <w:t>Scroll Media may pause services if invoices remain unpaid, required access is not provided, or Client conduct otherwise prevents Scroll Media from reasonably performing the services.</w:t>
      </w:r>
    </w:p>
    <w:p/>
    <w:p>
      <w:r>
        <w:t>If Scroll Media cannot or will not perform its obligations in any material respect under this Agreement, Scroll Media will promptly notify Client in writing, and Client will not be responsible for paying for services not yet performed.</w:t>
      </w:r>
    </w:p>
    <w:p/>
    <w:p>
      <w:pPr>
        <w:pStyle w:val="Heading2"/>
      </w:pPr>
      <w:r>
        <w:t>General Terms</w:t>
      </w:r>
    </w:p>
    <w:p>
      <w:r>
        <w:t>Scroll Media is an independent contractor and not an employee, partner, agent, or joint venturer of Client. Scroll Media controls the manner and means of performing the services, subject to the obligations in this Agreement.</w:t>
      </w:r>
    </w:p>
    <w:p/>
    <w:p>
      <w:r>
        <w:t>Neither Party will be liable for delays or failure to perform caused by events outside that Party's reasonable control, including acts of God, severe weather, labor disputes, platform outages, utility failures, government actions, internet failures, illness, public health events, or similar events. If such an event materially affects performance, the affected Party will use commercially reasonable efforts to resume performance as soon as practical.</w:t>
      </w:r>
    </w:p>
    <w:p/>
    <w:p>
      <w:r>
        <w:t>Any notice required under this Agreement must be given by email or another written method reasonably capable of confirming delivery to the contact information each Party has provided to the other.</w:t>
      </w:r>
    </w:p>
    <w:p/>
    <w:p>
      <w:r>
        <w:t xml:space="preserve">Provider: chase@getscrollmedia.com  </w:t>
      </w:r>
    </w:p>
    <w:p>
      <w:r>
        <w:t>Client: [Client Notice Email]</w:t>
      </w:r>
    </w:p>
    <w:p/>
    <w:p>
      <w:r>
        <w:t>Neither Party may assign this Agreement without the other Party's written consent, except that Scroll Media may assign this Agreement to a successor entity in connection with a merger, sale, reorganization, or transfer of substantially all of its business assets.</w:t>
      </w:r>
    </w:p>
    <w:p/>
    <w:p>
      <w:r>
        <w:t>This Agreement is the entire agreement between the Parties with respect to the services described above and replaces all prior or contemporaneous understandings, proposals, discussions, or representations on that subject. Any amendment or modification to this Agreement must be in writing and signed by both Parties. If any provision of this Agreement is found unenforceable, the remaining provisions will remain in full force and effect to the fullest extent permitted by law.</w:t>
      </w:r>
    </w:p>
    <w:p/>
    <w:p>
      <w:r>
        <w:t>This Agreement will be governed by and interpreted under the laws of the State of Ohio, without regard to its conflict-of-laws principles.</w:t>
      </w:r>
    </w:p>
    <w:p/>
    <w:p>
      <w:r>
        <w:t>This Agreement may be signed in counterparts, each of which will be treated as an original and all of which together will form one agreement.</w:t>
      </w:r>
    </w:p>
    <w:p/>
    <w:p>
      <w:pPr>
        <w:pStyle w:val="Heading2"/>
      </w:pPr>
      <w:r>
        <w:t>Signature Section</w:t>
      </w:r>
    </w:p>
    <w:p>
      <w:r>
        <w:t>The Parties acknowledge and agree to the terms of this Agreement as of the date of final signature.</w:t>
      </w:r>
    </w:p>
    <w:p/>
    <w:p>
      <w:pPr>
        <w:pStyle w:val="Heading3"/>
      </w:pPr>
      <w:r>
        <w:t>Scroll Media</w:t>
      </w:r>
    </w:p>
    <w:p>
      <w:r>
        <w:t xml:space="preserve">Name: Chase Gianattasio  </w:t>
      </w:r>
    </w:p>
    <w:p>
      <w:r>
        <w:t xml:space="preserve">Title: Co-Founder, Scroll Media  </w:t>
      </w:r>
    </w:p>
    <w:p>
      <w:r>
        <w:t>Date: __________</w:t>
      </w:r>
    </w:p>
    <w:p/>
    <w:p>
      <w:pPr>
        <w:pStyle w:val="Heading3"/>
      </w:pPr>
      <w:r>
        <w:t>Client</w:t>
      </w:r>
    </w:p>
    <w:p>
      <w:r>
        <w:t xml:space="preserve">Name: [Client Signer Name]  </w:t>
      </w:r>
    </w:p>
    <w:p>
      <w:r>
        <w:t xml:space="preserve">Title: [Client Signer Title]  </w:t>
      </w:r>
    </w:p>
    <w:p>
      <w:r>
        <w:t>Date: __________</w:t>
      </w:r>
    </w:p>
    <w:p/>
    <w:p>
      <w:pPr>
        <w:pStyle w:val="Heading2"/>
      </w:pPr>
      <w:r>
        <w:t>Internal Template Notes</w:t>
      </w:r>
    </w:p>
    <w:p>
      <w:r>
        <w:t>Use this file as the master working draft for all future Signature Package contracts and PandaDoc builds. Replace every bracketed field before sending to a client. If a client has custom pricing, custom cadence, custom deliverables, or a non-standard billing schedule, update the Services, Deliverables, and Cost sections to match the deal exactly before PandaDoc setup.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