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65f4a"/>
          <w:sz w:val="45"/>
          <w:szCs w:val="45"/>
          <w14:textFill>
            <w14:solidFill>
              <w14:srgbClr w14:val="065F4A"/>
            </w14:solidFill>
          </w14:textFill>
        </w:rPr>
      </w:pPr>
      <w:r>
        <w:rPr>
          <w:rFonts w:ascii="Helvetica" w:hAnsi="Helvetica"/>
          <w:outline w:val="0"/>
          <w:color w:val="065f4a"/>
          <w:sz w:val="43"/>
          <w:szCs w:val="43"/>
          <w:rtl w:val="0"/>
          <w:lang w:val="en-US"/>
          <w14:textFill>
            <w14:solidFill>
              <w14:srgbClr w14:val="065F4A"/>
            </w14:solidFill>
          </w14:textFill>
        </w:rPr>
        <w:t>General information on Technical Reporting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65f4a"/>
          <w:sz w:val="43"/>
          <w:szCs w:val="43"/>
          <w14:textFill>
            <w14:solidFill>
              <w14:srgbClr w14:val="065F4A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Arial" w:cs="Arial" w:hAnsi="Arial" w:eastAsia="Arial"/>
          <w:b w:val="1"/>
          <w:bCs w:val="1"/>
          <w:i w:val="1"/>
          <w:iCs w:val="1"/>
          <w:outline w:val="0"/>
          <w:color w:val="212121"/>
          <w:sz w:val="29"/>
          <w:szCs w:val="29"/>
          <w14:textFill>
            <w14:solidFill>
              <w14:srgbClr w14:val="212121"/>
            </w14:solidFill>
          </w14:textFill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Arial" w:hAnsi="Arial"/>
          <w:b w:val="1"/>
          <w:bCs w:val="1"/>
          <w:i w:val="1"/>
          <w:iCs w:val="1"/>
          <w:outline w:val="0"/>
          <w:color w:val="212121"/>
          <w:sz w:val="29"/>
          <w:szCs w:val="29"/>
          <w:lang w:val="en-US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b w:val="1"/>
          <w:bCs w:val="1"/>
          <w:i w:val="1"/>
          <w:iCs w:val="1"/>
          <w:outline w:val="0"/>
          <w:color w:val="212121"/>
          <w:sz w:val="29"/>
          <w:szCs w:val="29"/>
          <w:rtl w:val="0"/>
          <w:lang w:val="en-US"/>
          <w14:textFill>
            <w14:solidFill>
              <w14:srgbClr w14:val="212121"/>
            </w14:solidFill>
          </w14:textFill>
        </w:rPr>
        <w:t>Where can I find the key dates for Technical Reporting for 2025?</w:t>
      </w:r>
    </w:p>
    <w:p>
      <w:pPr>
        <w:pStyle w:val="Default"/>
        <w:suppressAutoHyphens w:val="1"/>
        <w:spacing w:before="0" w:line="240" w:lineRule="auto"/>
      </w:pPr>
      <w:r>
        <w:rPr>
          <w:rFonts w:ascii="Helvetica" w:hAnsi="Helvetica"/>
          <w:outline w:val="0"/>
          <w:color w:val="212121"/>
          <w:sz w:val="29"/>
          <w:szCs w:val="29"/>
          <w:rtl w:val="0"/>
          <w:lang w:val="en-US"/>
          <w14:textFill>
            <w14:solidFill>
              <w14:srgbClr w14:val="212121"/>
            </w14:solidFill>
          </w14:textFill>
        </w:rPr>
        <w:t>An overall Technical Reporting timeline can be found on</w:t>
      </w:r>
      <w:r>
        <w:rPr>
          <w:rFonts w:ascii="Helvetica" w:hAnsi="Helvetica" w:hint="default"/>
          <w:outline w:val="0"/>
          <w:color w:val="212121"/>
          <w:sz w:val="29"/>
          <w:szCs w:val="29"/>
          <w:rtl w:val="0"/>
          <w14:textFill>
            <w14:solidFill>
              <w14:srgbClr w14:val="212121"/>
            </w14:solidFill>
          </w14:textFill>
        </w:rPr>
        <w:t> </w:t>
      </w:r>
      <w:r>
        <w:rPr>
          <w:rFonts w:ascii="Helvetica" w:hAnsi="Helvetica"/>
          <w:outline w:val="0"/>
          <w:color w:val="212121"/>
          <w:sz w:val="29"/>
          <w:szCs w:val="29"/>
          <w:rtl w:val="0"/>
          <w:lang w:val="en-US"/>
          <w14:textFill>
            <w14:solidFill>
              <w14:srgbClr w14:val="212121"/>
            </w14:solidFill>
          </w14:textFill>
        </w:rPr>
        <w:t>this</w:t>
      </w:r>
      <w:r>
        <w:rPr>
          <w:rFonts w:ascii="Arial" w:hAnsi="Arial" w:hint="default"/>
          <w:b w:val="1"/>
          <w:bCs w:val="1"/>
          <w:outline w:val="0"/>
          <w:color w:val="212121"/>
          <w:sz w:val="29"/>
          <w:szCs w:val="29"/>
          <w:rtl w:val="0"/>
          <w14:textFill>
            <w14:solidFill>
              <w14:srgbClr w14:val="212121"/>
            </w14:solidFill>
          </w14:textFill>
        </w:rPr>
        <w:t> </w:t>
      </w:r>
      <w:r>
        <w:rPr>
          <w:rFonts w:ascii="Helvetica" w:hAnsi="Helvetica"/>
          <w:outline w:val="0"/>
          <w:color w:val="212121"/>
          <w:sz w:val="29"/>
          <w:szCs w:val="29"/>
          <w:rtl w:val="0"/>
          <w:lang w:val="en-US"/>
          <w14:textFill>
            <w14:solidFill>
              <w14:srgbClr w14:val="212121"/>
            </w14:solidFill>
          </w14:textFill>
        </w:rPr>
        <w:t>page of the P&amp;R Hub.</w:t>
      </w:r>
      <w:r>
        <w:rPr>
          <w:rFonts w:ascii="Arial" w:hAnsi="Arial" w:hint="default"/>
          <w:b w:val="1"/>
          <w:bCs w:val="1"/>
          <w:outline w:val="0"/>
          <w:color w:val="212121"/>
          <w:sz w:val="29"/>
          <w:szCs w:val="29"/>
          <w:rtl w:val="0"/>
          <w14:textFill>
            <w14:solidFill>
              <w14:srgbClr w14:val="212121"/>
            </w14:solidFill>
          </w14:textFill>
        </w:rPr>
        <w:t> </w:t>
      </w:r>
      <w:r>
        <w:rPr>
          <w:rFonts w:ascii="Helvetica" w:hAnsi="Helvetica"/>
          <w:outline w:val="0"/>
          <w:color w:val="212121"/>
          <w:sz w:val="29"/>
          <w:szCs w:val="29"/>
          <w:rtl w:val="0"/>
          <w:lang w:val="en-US"/>
          <w14:textFill>
            <w14:solidFill>
              <w14:srgbClr w14:val="212121"/>
            </w14:solidFill>
          </w14:textFill>
        </w:rPr>
        <w:t>Upcoming key reporting dates and deadlines are also presented on this page. Any updates or changes to the reporting timeline will be communicated via</w:t>
      </w:r>
      <w:r>
        <w:rPr>
          <w:rFonts w:ascii="Helvetica" w:hAnsi="Helvetica" w:hint="default"/>
          <w:outline w:val="0"/>
          <w:color w:val="13bc95"/>
          <w:sz w:val="29"/>
          <w:szCs w:val="29"/>
          <w:u w:val="single"/>
          <w:rtl w:val="0"/>
          <w14:textFill>
            <w14:solidFill>
              <w14:srgbClr w14:val="13BC95"/>
            </w14:solidFill>
          </w14:textFill>
        </w:rPr>
        <w:t> </w:t>
      </w:r>
      <w:r>
        <w:rPr>
          <w:rStyle w:val="Hyperlink.0"/>
          <w:rFonts w:ascii="Helvetica" w:cs="Helvetica" w:hAnsi="Helvetica" w:eastAsia="Helvetica"/>
          <w:outline w:val="0"/>
          <w:color w:val="13bc95"/>
          <w:sz w:val="29"/>
          <w:szCs w:val="29"/>
          <w:u w:val="single"/>
          <w14:textFill>
            <w14:solidFill>
              <w14:srgbClr w14:val="13BC95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13bc95"/>
          <w:sz w:val="29"/>
          <w:szCs w:val="29"/>
          <w:u w:val="single"/>
          <w14:textFill>
            <w14:solidFill>
              <w14:srgbClr w14:val="13BC95"/>
            </w14:solidFill>
          </w14:textFill>
        </w:rPr>
        <w:instrText xml:space="preserve"> HYPERLINK "mailto:performanceandresults@cgiar.org"</w:instrText>
      </w:r>
      <w:r>
        <w:rPr>
          <w:rStyle w:val="Hyperlink.0"/>
          <w:rFonts w:ascii="Helvetica" w:cs="Helvetica" w:hAnsi="Helvetica" w:eastAsia="Helvetica"/>
          <w:outline w:val="0"/>
          <w:color w:val="13bc95"/>
          <w:sz w:val="29"/>
          <w:szCs w:val="29"/>
          <w:u w:val="single"/>
          <w14:textFill>
            <w14:solidFill>
              <w14:srgbClr w14:val="13BC95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13bc95"/>
          <w:sz w:val="29"/>
          <w:szCs w:val="29"/>
          <w:u w:val="single"/>
          <w:rtl w:val="0"/>
          <w:lang w:val="pt-PT"/>
          <w14:textFill>
            <w14:solidFill>
              <w14:srgbClr w14:val="13BC95"/>
            </w14:solidFill>
          </w14:textFill>
        </w:rPr>
        <w:t>performanceandresults@cgiar.org</w:t>
      </w:r>
      <w:r>
        <w:rPr>
          <w:rFonts w:ascii="Helvetica" w:cs="Helvetica" w:hAnsi="Helvetica" w:eastAsia="Helvetica"/>
          <w:outline w:val="0"/>
          <w:color w:val="212121"/>
          <w:sz w:val="29"/>
          <w:szCs w:val="29"/>
          <w14:textFill>
            <w14:solidFill>
              <w14:srgbClr w14:val="212121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212121"/>
          <w:sz w:val="29"/>
          <w:szCs w:val="29"/>
          <w:rtl w:val="0"/>
          <w14:textFill>
            <w14:solidFill>
              <w14:srgbClr w14:val="212121"/>
            </w14:solidFill>
          </w14:textFill>
        </w:rPr>
        <w:t>.</w:t>
      </w:r>
      <w:r>
        <w:rPr>
          <w:rStyle w:val="None"/>
          <w:rFonts w:ascii="Helvetica" w:cs="Helvetica" w:hAnsi="Helvetica" w:eastAsia="Helvetica"/>
          <w:outline w:val="0"/>
          <w:color w:val="212121"/>
          <w:sz w:val="29"/>
          <w:szCs w:val="29"/>
          <w14:textFill>
            <w14:solidFill>
              <w14:srgbClr w14:val="212121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Arial" w:cs="Arial" w:hAnsi="Arial" w:eastAsia="Arial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Arial" w:cs="Arial" w:hAnsi="Arial" w:eastAsia="Arial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Arial" w:cs="Arial" w:hAnsi="Arial" w:eastAsia="Arial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Arial" w:cs="Arial" w:hAnsi="Arial" w:eastAsia="Arial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Arial" w:cs="Arial" w:hAnsi="Arial" w:eastAsia="Arial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Arial" w:cs="Arial" w:hAnsi="Arial" w:eastAsia="Arial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Arial" w:cs="Arial" w:hAnsi="Arial" w:eastAsia="Arial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Arial" w:cs="Arial" w:hAnsi="Arial" w:eastAsia="Arial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Arial" w:cs="Arial" w:hAnsi="Arial" w:eastAsia="Arial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13bc95"/>
      <w:u w:val="single"/>
      <w14:textFill>
        <w14:solidFill>
          <w14:srgbClr w14:val="13BC95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