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00" w:lineRule="auto"/>
        <w:rPr>
          <w:b w:val="1"/>
          <w:color w:val="000000"/>
        </w:rPr>
      </w:pPr>
      <w:bookmarkStart w:colFirst="0" w:colLast="0" w:name="_26i0haf3dm4h" w:id="0"/>
      <w:bookmarkEnd w:id="0"/>
      <w:r w:rsidDel="00000000" w:rsidR="00000000" w:rsidRPr="00000000">
        <w:rPr>
          <w:b w:val="1"/>
          <w:color w:val="000000"/>
          <w:rtl w:val="0"/>
        </w:rPr>
        <w:t xml:space="preserve">Capacity sharing for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Do I report trainees only when they have finished their course?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Yes, both long-term and short-term training programs must be completed before reporting (to avoid reporting the same trainee multiple times across years).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How do I report the gender ratios if I am unable to determine this for the capacity sharing result I am reporting?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There is an option to enter numbers for “unknown” when gender disaggregation numbers are unavailable. There is also an option to enter numbers for non-binary trainees.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