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00" w:lineRule="auto"/>
        <w:rPr>
          <w:color w:val="13bc95"/>
        </w:rPr>
      </w:pPr>
      <w:bookmarkStart w:colFirst="0" w:colLast="0" w:name="_rmb6eyjg6nox" w:id="0"/>
      <w:bookmarkEnd w:id="0"/>
      <w:r w:rsidDel="00000000" w:rsidR="00000000" w:rsidRPr="00000000">
        <w:rPr>
          <w:color w:val="13bc95"/>
          <w:rtl w:val="0"/>
        </w:rPr>
        <w:t xml:space="preserve">Knowledge products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0.008" w:lineRule="auto"/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Is it allowed to tag legacy publications (originating from Initiative outputs) only to the Initiatives acknowledged in the publication, or can they also be tagged to the successor Science Program(s) and/or Accelerator(s), even if these are not explicitly mentioned in the acknowledgements?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Yes, during this transition period between research portfolios, dual tagging is allowed, both to the original Initiative (as noted in the acknowledgements) and to the corresponding new Science Program(s) and/or Accelerator(s), even if they are not explicitly mentioned in the publication. This applies when requested by the researcher and aims to ensure continuity and alignment with the evolving research structure.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ind w:left="3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Who reviews and approves knowledge products that are not peer-reviewed journal articles, such as blog articles and working papers?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Knowledge products other than peer-reviewed journal articles should be reviewed using processes developed by Centers or Programs/Accelerators. The quality assurance team assumes that all knowledge products have gone through a standard review process before being reported.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ind w:lef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Each </w:t>
      </w:r>
      <w:hyperlink r:id="rId6">
        <w:r w:rsidDel="00000000" w:rsidR="00000000" w:rsidRPr="00000000">
          <w:rPr>
            <w:color w:val="13bc95"/>
            <w:u w:val="single"/>
            <w:rtl w:val="0"/>
          </w:rPr>
          <w:t xml:space="preserve">Center knowledge management team</w:t>
        </w:r>
      </w:hyperlink>
      <w:r w:rsidDel="00000000" w:rsidR="00000000" w:rsidRPr="00000000">
        <w:rPr>
          <w:rtl w:val="0"/>
        </w:rPr>
        <w:t xml:space="preserve"> can confirm Center guidelines for knowledge products. Please refer to the </w:t>
      </w:r>
      <w:hyperlink r:id="rId7">
        <w:r w:rsidDel="00000000" w:rsidR="00000000" w:rsidRPr="00000000">
          <w:rPr>
            <w:color w:val="13bc95"/>
            <w:u w:val="single"/>
            <w:rtl w:val="0"/>
          </w:rPr>
          <w:t xml:space="preserve">CGIAR Open and FAIR Data Assets Policy</w:t>
        </w:r>
      </w:hyperlink>
      <w:r w:rsidDel="00000000" w:rsidR="00000000" w:rsidRPr="00000000">
        <w:rPr>
          <w:color w:val="13bc95"/>
          <w:rtl w:val="0"/>
        </w:rPr>
        <w:t xml:space="preserve"> </w:t>
      </w:r>
      <w:r w:rsidDel="00000000" w:rsidR="00000000" w:rsidRPr="00000000">
        <w:rPr>
          <w:rtl w:val="0"/>
        </w:rPr>
        <w:t xml:space="preserve">signed by all Centers.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How can I make a CGSpace entry limited access? And what types of knowledge products would need restricted access in CGSpace?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A </w:t>
      </w:r>
      <w:hyperlink r:id="rId8">
        <w:r w:rsidDel="00000000" w:rsidR="00000000" w:rsidRPr="00000000">
          <w:rPr>
            <w:color w:val="13bc95"/>
            <w:u w:val="single"/>
            <w:rtl w:val="0"/>
          </w:rPr>
          <w:t xml:space="preserve">curator</w:t>
        </w:r>
      </w:hyperlink>
      <w:r w:rsidDel="00000000" w:rsidR="00000000" w:rsidRPr="00000000">
        <w:rPr>
          <w:rtl w:val="0"/>
        </w:rPr>
        <w:t xml:space="preserve"> can limit access to a knowledge product when submitting the material to CGSpace. If the access status for an entry needs to be changed after submission, the curator will need to contact a CGSpace administrator (Abenet Yabowork or Alan Orth) to make that change. It is possible to limit a document to CGIAR users (via Active Directory login) as well as to limit access generally until a certain date.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Published restricted articles can be entered into CGSpace. This is different from confidential evidence, where restrictions are imposed by a scientist on SharePoint or any other IT-recommended storage system at Center level. For confidential evidence, quality assurance assessors will require access to the confidential link.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ind w:lef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Who will be contacted for the QA of knowledge products?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If you tag a knowledge product with several Programs/Accelerators, that product will be represented equally among those tagged (e.g., in exports or the Results Dashboard). However, the first Program/Accelerator reporting a knowledge product will be responsible for addressing any comments from a quality assessor (e.g., a publication that was erroneously tagged as ISI by the library team in CGSpace can be questioned and the record should be updated in CGSpace during the assessment process).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Should I report knowledge products in multiple languages separately?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Knowledge products in multiple languages should not be reported separately, unless necessary to evidence the ToC (for example if pathways are differentiated for actors, or geography/geographic scope, requiring the output in different languages).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How is the FAIR score for knowledge products calculated?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FAIR (findability, accessibility, interoperability, and reusability) scores were introduced to align reporting with the </w:t>
      </w:r>
      <w:hyperlink r:id="rId9">
        <w:r w:rsidDel="00000000" w:rsidR="00000000" w:rsidRPr="00000000">
          <w:rPr>
            <w:color w:val="13bc95"/>
            <w:u w:val="single"/>
            <w:rtl w:val="0"/>
          </w:rPr>
          <w:t xml:space="preserve">CGIAR Open and FAIR Data Assets Policy</w:t>
        </w:r>
      </w:hyperlink>
      <w:r w:rsidDel="00000000" w:rsidR="00000000" w:rsidRPr="00000000">
        <w:rPr>
          <w:rtl w:val="0"/>
        </w:rPr>
        <w:t xml:space="preserve">. These scores are derived from existing CGSpace metadata to minimize data entry efforts, with equal weight assigned to each criterion.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If you wish to enhance the FAIR score for a knowledge product, liaise with your Center’s knowledge management team to implement improvements.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dl.handle.net/10568/113623" TargetMode="External"/><Relationship Id="rId5" Type="http://schemas.openxmlformats.org/officeDocument/2006/relationships/styles" Target="styles.xml"/><Relationship Id="rId6" Type="http://schemas.openxmlformats.org/officeDocument/2006/relationships/hyperlink" Target="https://cgiar.sharepoint.com/:x:/s/PCUInterim/ERhYGD_YCe9ItD6mo6Z7NqgBKt7LVsfC9aP4O0TXiIe64A?e=dO3tls" TargetMode="External"/><Relationship Id="rId7" Type="http://schemas.openxmlformats.org/officeDocument/2006/relationships/hyperlink" Target="https://cgspace.cgiar.org/bitstream/handle/10568/113623/CGIAR_OFDA_Policy_Approved_16April2021.pdf?sequence=1&amp;isAllowed=y" TargetMode="External"/><Relationship Id="rId8" Type="http://schemas.openxmlformats.org/officeDocument/2006/relationships/hyperlink" Target="https://cgiar.sharepoint.com/:x:/s/PCUInterim/ERhYGD_YCe9ItD6mo6Z7NqgBKt7LVsfC9aP4O0TXiIe64A?e=dO3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