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How to sign up a member using the new Digital Union Card</w:t>
      </w:r>
    </w:p>
    <w:p>
      <w:r>
        <w:rPr/>
        <w:t xml:space="preserve">A step-by-step walkthrough you can use in the break room, at a member’s door, or while tabling.</w:t>
      </w:r>
    </w:p>
    <w:p>
      <w:r>
        <w:rPr/>
        <w:t xml:space="preserve">Takes about 3 minutes per person — no app to download.</w:t>
      </w:r>
    </w:p>
    <w:p>
      <w:pPr>
        <w:pStyle w:val="Heading1"/>
      </w:pPr>
      <w:r>
        <w:rPr/>
        <w:t xml:space="preserve">Open the card</w:t>
      </w:r>
    </w:p>
    <w:p>
      <w:r>
        <w:rPr>
          <w:b/>
        </w:rPr>
        <w:t xml:space="preserve">unioncard.netlify.app</w:t>
      </w:r>
    </w:p>
    <w:p>
      <w:r>
        <w:rPr/>
        <w:t xml:space="preserve">Works in any phone browser — Safari, Chrome, whatever they already have.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463040" cy="1463040"/>
            <wp:docPr id="1" name="QR cod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R code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/>
        <w:t xml:space="preserve">Have the member scan the QR code or type the address.</w:t>
      </w:r>
    </w:p>
    <w:p>
      <w:pPr>
        <w:pStyle w:val="Heading1"/>
      </w:pPr>
      <w:r>
        <w:rPr/>
        <w:t xml:space="preserve">What the member will see</w:t>
      </w:r>
    </w:p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0"/>
        <w:gridCol w:w="4700"/>
      </w:tblGrid>
      <w:tr>
        <w:tc>
          <w:tcPr>
            <w:tcW w:w="4700" w:type="dxa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926080" cy="1710047"/>
                  <wp:docPr id="1" name="Step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tep 1"/>
                          <pic:cNvPicPr/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710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rPr/>
              <w:t xml:space="preserve">1. Welcome screen</w:t>
            </w:r>
          </w:p>
        </w:tc>
        <w:tc>
          <w:tcPr>
            <w:tcW w:w="4700" w:type="dxa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926080" cy="1710047"/>
                  <wp:docPr id="1" name="Step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tep 2"/>
                          <pic:cNvPicPr/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710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rPr/>
              <w:t xml:space="preserve">2. Their information</w:t>
            </w:r>
          </w:p>
        </w:tc>
      </w:tr>
      <w:tr>
        <w:tc>
          <w:tcPr>
            <w:tcW w:w="4700" w:type="dxa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926080" cy="1710047"/>
                  <wp:docPr id="1" name="Step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tep 3"/>
                          <pic:cNvPicPr/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710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rPr/>
              <w:t xml:space="preserve">3. Membership agreement + signature</w:t>
            </w:r>
          </w:p>
        </w:tc>
        <w:tc>
          <w:tcPr>
            <w:tcW w:w="4700" w:type="dxa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926080" cy="1710047"/>
                  <wp:docPr id="1" name="Step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tep 4"/>
                          <pic:cNvPicPr/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710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rPr/>
              <w:t xml:space="preserve">4. Confirmation</w:t>
            </w:r>
          </w:p>
        </w:tc>
      </w:tr>
    </w:tbl>
    <w:p>
      <w:pPr>
        <w:pStyle w:val="Heading1"/>
      </w:pPr>
      <w:r>
        <w:rPr/>
        <w:t xml:space="preserve">Tips for teaching others</w:t>
      </w:r>
    </w:p>
    <w:p>
      <w:pPr>
        <w:numPr>
          <w:ilvl w:val="0"/>
          <w:numId w:val="1"/>
        </w:numPr>
      </w:pPr>
      <w:r>
        <w:rPr/>
        <w:t xml:space="preserve">Let them hold the phone and tap through it themselves — people trust it more when they sign it.</w:t>
      </w:r>
    </w:p>
    <w:p>
      <w:pPr>
        <w:numPr>
          <w:ilvl w:val="0"/>
          <w:numId w:val="1"/>
        </w:numPr>
      </w:pPr>
      <w:r>
        <w:rPr/>
        <w:t xml:space="preserve">If English isn’t their first language, switch to their language first (top-right) — the whole form and agreement translate.</w:t>
      </w:r>
    </w:p>
    <w:p>
      <w:pPr>
        <w:numPr>
          <w:ilvl w:val="0"/>
          <w:numId w:val="1"/>
        </w:numPr>
      </w:pPr>
      <w:r>
        <w:rPr/>
        <w:t xml:space="preserve">No worksite listed? Then do not have your member fill out this card. Continue to use the paper card for now.</w:t>
      </w:r>
    </w:p>
    <w:p>
      <w:pPr>
        <w:numPr>
          <w:ilvl w:val="0"/>
          <w:numId w:val="1"/>
        </w:numPr>
      </w:pPr>
      <w:r>
        <w:rPr/>
        <w:t xml:space="preserve">No signal? The form works offline until they hit Submit — have them submit once they’re back on WiFi or data.</w:t>
      </w:r>
    </w:p>
    <w:p>
      <w:pPr>
        <w:numPr>
          <w:ilvl w:val="0"/>
          <w:numId w:val="1"/>
        </w:numPr>
      </w:pPr>
      <w:r>
        <w:rPr/>
        <w:t xml:space="preserve">They can request their own signed copy by email on the confirmation screen — totally optional, doesn’t affect their card.</w:t>
      </w:r>
    </w:p>
    <w:p>
      <w:pPr>
        <w:pStyle w:val="Heading1"/>
      </w:pPr>
      <w:r>
        <w:rPr/>
        <w:t xml:space="preserve">What happens after they submit</w:t>
      </w:r>
    </w:p>
    <w:p>
      <w:pPr>
        <w:numPr>
          <w:ilvl w:val="0"/>
          <w:numId w:val="1"/>
        </w:numPr>
      </w:pPr>
      <w:r>
        <w:rPr/>
        <w:t xml:space="preserve">Their signed card (with signature) is emailed automatically to our dues team, the rep for their worksite, and the new member — that’s the official record.</w:t>
      </w:r>
    </w:p>
    <w:p>
      <w:pPr>
        <w:numPr>
          <w:ilvl w:val="0"/>
          <w:numId w:val="1"/>
        </w:numPr>
      </w:pPr>
      <w:r>
        <w:rPr/>
        <w:t xml:space="preserve">A Union Rep or Shop Steward will contact the new member directly.</w:t>
      </w:r>
    </w:p>
    <w:p>
      <w:pPr>
        <w:numPr>
          <w:ilvl w:val="0"/>
          <w:numId w:val="1"/>
        </w:numPr>
      </w:pPr>
      <w:r>
        <w:rPr/>
        <w:t xml:space="preserve">Nothing more for you to do — no paper, no scanning, no mailing.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60" w:line="276" w:lineRule="auto"/>
    </w:pPr>
    <w:rPr>
      <w:rFonts w:ascii="Calibri" w:hAnsi="Calibri"/>
      <w:sz w:val="22"/>
    </w:rPr>
  </w:style>
  <w:style w:type="paragraph" w:styleId="Title">
    <w:name w:val="Title"/>
    <w:basedOn w:val="Normal"/>
    <w:pPr>
      <w:spacing w:after="120"/>
    </w:pPr>
    <w:rPr>
      <w:rFonts w:ascii="Calibri" w:hAnsi="Calibri"/>
      <w:b/>
      <w:sz w:val="40"/>
      <w:color w:val="161412"/>
    </w:rPr>
  </w:style>
  <w:style w:type="paragraph" w:styleId="Heading1">
    <w:name w:val="heading 1"/>
    <w:basedOn w:val="Normal"/>
    <w:pPr>
      <w:spacing w:before="280" w:after="120"/>
    </w:pPr>
    <w:rPr>
      <w:rFonts w:ascii="Calibri" w:hAnsi="Calibri"/>
      <w:b/>
      <w:sz w:val="28"/>
      <w:color w:val="ED5F18"/>
    </w:rPr>
  </w:style>
  <w:style w:type="paragraph" w:styleId="Caption">
    <w:name w:val="caption"/>
    <w:basedOn w:val="Normal"/>
    <w:pPr>
      <w:jc w:val="center"/>
      <w:spacing w:after="240"/>
    </w:pPr>
    <w:rPr>
      <w:rFonts w:ascii="Calibri" w:hAnsi="Calibri"/>
      <w:b/>
      <w:sz w:val="18"/>
      <w:color w:val="8A827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image" Target="media/qr.png"/>
<Relationship Id="rId3" Type="http://schemas.openxmlformats.org/officeDocument/2006/relationships/numbering" Target="numbering.xml"/>
<Relationship Id="rId10" Type="http://schemas.openxmlformats.org/officeDocument/2006/relationships/image" Target="media/shot0.png"/>
<Relationship Id="rId11" Type="http://schemas.openxmlformats.org/officeDocument/2006/relationships/image" Target="media/shot1.png"/>
<Relationship Id="rId12" Type="http://schemas.openxmlformats.org/officeDocument/2006/relationships/image" Target="media/shot2.png"/>
<Relationship Id="rId13" Type="http://schemas.openxmlformats.org/officeDocument/2006/relationships/image" Target="media/shot3.png"/>
</Relationships>
</file>