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CliniA: herramienta de inteligencia artificial para simular pacientes y fortalecer entrevistas psicológicas</w:t>
      </w:r>
    </w:p>
    <w:p>
      <w:r>
        <w:rPr>
          <w:rFonts w:ascii="Times New Roman" w:hAnsi="Times New Roman"/>
          <w:i/>
          <w:sz w:val="24"/>
        </w:rPr>
        <w:t>CliniA: an artificial-intelligence tool to simulate patients and strengthen psychological interviews</w:t>
      </w:r>
    </w:p>
    <w:p>
      <w:r>
        <w:rPr>
          <w:rFonts w:ascii="Times New Roman" w:hAnsi="Times New Roman"/>
          <w:b/>
          <w:sz w:val="24"/>
        </w:rPr>
        <w:t>Running title:</w:t>
      </w:r>
      <w:r>
        <w:rPr>
          <w:rFonts w:ascii="Times New Roman" w:hAnsi="Times New Roman"/>
          <w:sz w:val="24"/>
        </w:rPr>
        <w:t xml:space="preserve"> CliniA: simulación de pacientes con IA </w:t>
      </w:r>
      <w:r>
        <w:rPr>
          <w:rFonts w:ascii="Times New Roman" w:hAnsi="Times New Roman"/>
          <w:i/>
          <w:sz w:val="24"/>
        </w:rPr>
        <w:t>(38 caracteres; máx. 40)</w:t>
      </w:r>
    </w:p>
    <w:p>
      <w:r>
        <w:rPr>
          <w:rFonts w:ascii="Times New Roman" w:hAnsi="Times New Roman"/>
          <w:b/>
          <w:i/>
          <w:color w:val="808080"/>
          <w:sz w:val="20"/>
        </w:rPr>
        <w:t>Título (107 caracteres; cumple el rango 70–110 de la revista).</w:t>
      </w:r>
      <w:r>
        <w:rPr>
          <w:rFonts w:ascii="Times New Roman" w:hAnsi="Times New Roman"/>
          <w:i/>
          <w:color w:val="808080"/>
          <w:sz w:val="20"/>
        </w:rPr>
        <w:t xml:space="preserve"> Se ajustó a partir del título propuesto —"CliniA: herramienta de inteligencia artificial para simular pacientes clínicos y fortalecer entrevistas psicológicas" (116 car.)— eliminando "clínicos" para respetar el máximo, ya que el contexto clínico queda implícito.</w:t>
      </w:r>
    </w:p>
    <w:p>
      <w:r>
        <w:rPr>
          <w:rFonts w:ascii="Times New Roman" w:hAnsi="Times New Roman"/>
          <w:b/>
          <w:i/>
          <w:color w:val="808080"/>
          <w:sz w:val="20"/>
        </w:rPr>
        <w:t>Nota para el envío:</w:t>
      </w:r>
      <w:r>
        <w:rPr>
          <w:rFonts w:ascii="Times New Roman" w:hAnsi="Times New Roman"/>
          <w:i/>
          <w:color w:val="808080"/>
          <w:sz w:val="20"/>
        </w:rPr>
        <w:t xml:space="preserve"> revista </w:t>
      </w:r>
      <w:r>
        <w:rPr>
          <w:rFonts w:ascii="Times New Roman" w:hAnsi="Times New Roman"/>
          <w:i/>
          <w:color w:val="808080"/>
          <w:sz w:val="20"/>
        </w:rPr>
        <w:t>Guillermo de Ockham</w:t>
      </w:r>
      <w:r>
        <w:rPr>
          <w:rFonts w:ascii="Times New Roman" w:hAnsi="Times New Roman"/>
          <w:i/>
          <w:color w:val="808080"/>
          <w:sz w:val="20"/>
        </w:rPr>
        <w:t xml:space="preserve"> (USB Cali). Tipo: </w:t>
      </w:r>
      <w:r>
        <w:rPr>
          <w:rFonts w:ascii="Times New Roman" w:hAnsi="Times New Roman"/>
          <w:b/>
          <w:i/>
          <w:color w:val="808080"/>
          <w:sz w:val="20"/>
        </w:rPr>
        <w:t>artículo de investigación científica</w:t>
      </w:r>
      <w:r>
        <w:rPr>
          <w:rFonts w:ascii="Times New Roman" w:hAnsi="Times New Roman"/>
          <w:i/>
          <w:color w:val="808080"/>
          <w:sz w:val="20"/>
        </w:rPr>
        <w:t xml:space="preserve"> (estructura AIM-RD&amp;C). Objetivo de extensión: </w:t>
      </w:r>
      <w:r>
        <w:rPr>
          <w:rFonts w:ascii="Times New Roman" w:hAnsi="Times New Roman"/>
          <w:b/>
          <w:i/>
          <w:color w:val="808080"/>
          <w:sz w:val="20"/>
        </w:rPr>
        <w:t>6.000 palabras</w:t>
      </w:r>
      <w:r>
        <w:rPr>
          <w:rFonts w:ascii="Times New Roman" w:hAnsi="Times New Roman"/>
          <w:i/>
          <w:color w:val="808080"/>
          <w:sz w:val="20"/>
        </w:rPr>
        <w:t xml:space="preserve"> de cuerpo y </w:t>
      </w:r>
      <w:r>
        <w:rPr>
          <w:rFonts w:ascii="Times New Roman" w:hAnsi="Times New Roman"/>
          <w:b/>
          <w:i/>
          <w:color w:val="808080"/>
          <w:sz w:val="20"/>
        </w:rPr>
        <w:t>mínimo 30 fuentes</w:t>
      </w:r>
      <w:r>
        <w:rPr>
          <w:rFonts w:ascii="Times New Roman" w:hAnsi="Times New Roman"/>
          <w:i/>
          <w:color w:val="808080"/>
          <w:sz w:val="20"/>
        </w:rPr>
        <w:t xml:space="preserve"> (≈30 % latinoamericanas, 70 % internacionales). Normas </w:t>
      </w:r>
      <w:r>
        <w:rPr>
          <w:rFonts w:ascii="Times New Roman" w:hAnsi="Times New Roman"/>
          <w:b/>
          <w:i/>
          <w:color w:val="808080"/>
          <w:sz w:val="20"/>
        </w:rPr>
        <w:t>APA 7</w:t>
      </w:r>
      <w:r>
        <w:rPr>
          <w:rFonts w:ascii="Times New Roman" w:hAnsi="Times New Roman"/>
          <w:i/>
          <w:color w:val="808080"/>
          <w:sz w:val="20"/>
        </w:rPr>
        <w:t xml:space="preserve"> (estrictas; toda cita referenciada y viceversa). Maquetación final en Word: Times New Roman 12, interlineado 1,5, tamaño carta, márgenes 2,5 cm sup./inf. y 3,0 cm izq./der. Reemplazar los marcadores </w:t>
      </w:r>
      <w:r>
        <w:rPr>
          <w:rFonts w:ascii="Courier New" w:hAnsi="Courier New"/>
          <w:i/>
          <w:color w:val="808080"/>
          <w:sz w:val="20"/>
        </w:rPr>
        <w:t>[ ]</w:t>
      </w:r>
      <w:r>
        <w:rPr>
          <w:rFonts w:ascii="Times New Roman" w:hAnsi="Times New Roman"/>
          <w:i/>
          <w:color w:val="808080"/>
          <w:sz w:val="20"/>
        </w:rPr>
        <w:t xml:space="preserve"> con los datos definitivos de autoría/afiliación.</w:t>
      </w:r>
    </w:p>
    <w:p>
      <w:r>
        <w:rPr>
          <w:rFonts w:ascii="Times New Roman" w:hAnsi="Times New Roman"/>
          <w:b/>
          <w:sz w:val="24"/>
        </w:rPr>
        <w:t>Autores.</w:t>
      </w:r>
      <w:r>
        <w:rPr>
          <w:rFonts w:ascii="Times New Roman" w:hAnsi="Times New Roman"/>
          <w:sz w:val="24"/>
        </w:rPr>
        <w:t xml:space="preserve"> [Nombre Apellido]¹, [Nombre Apellido]² </w:t>
      </w:r>
      <w:r>
        <w:rPr>
          <w:rFonts w:ascii="Times New Roman" w:hAnsi="Times New Roman"/>
          <w:i/>
          <w:sz w:val="24"/>
        </w:rPr>
        <w:t>(firmar siempre igual; registrar firma en IraLIS y ORCID).</w:t>
      </w:r>
    </w:p>
    <w:p>
      <w:r>
        <w:rPr>
          <w:rFonts w:ascii="Times New Roman" w:hAnsi="Times New Roman"/>
          <w:sz w:val="24"/>
        </w:rPr>
        <w:t>¹ [Afiliación: institución que financió o apoyó la investigación; dirección postal; teléfono; correo; web]. ORCID: [____].</w:t>
      </w:r>
    </w:p>
    <w:p>
      <w:r>
        <w:rPr>
          <w:rFonts w:ascii="Times New Roman" w:hAnsi="Times New Roman"/>
          <w:sz w:val="24"/>
        </w:rPr>
        <w:t>² [Afiliación]. ORCID: [____].</w:t>
      </w:r>
    </w:p>
    <w:p>
      <w:r>
        <w:rPr>
          <w:rFonts w:ascii="Times New Roman" w:hAnsi="Times New Roman"/>
          <w:b/>
          <w:sz w:val="24"/>
        </w:rPr>
        <w:t>Correspondencia.</w:t>
      </w:r>
      <w:r>
        <w:rPr>
          <w:rFonts w:ascii="Times New Roman" w:hAnsi="Times New Roman"/>
          <w:sz w:val="24"/>
        </w:rPr>
        <w:t xml:space="preserve"> [Nombre del autor de correspondencia]. Correo electrónico: [____].</w:t>
      </w:r>
    </w:p>
    <w:p>
      <w:r>
        <w:rPr>
          <w:rFonts w:ascii="Times New Roman" w:hAnsi="Times New Roman"/>
          <w:b/>
          <w:sz w:val="24"/>
        </w:rPr>
        <w:t>Contribución de los autores (CRediT):</w:t>
      </w:r>
      <w:r>
        <w:rPr>
          <w:rFonts w:ascii="Times New Roman" w:hAnsi="Times New Roman"/>
          <w:sz w:val="24"/>
        </w:rPr>
        <w:t xml:space="preserve"> [Conceptualización; Metodología; Software; Análisis formal; Investigación; Redacción — borrador original; Redacción — revisión y edición].</w:t>
      </w:r>
    </w:p>
    <w:p>
      <w:r>
        <w:rPr>
          <w:rFonts w:ascii="Times New Roman" w:hAnsi="Times New Roman"/>
          <w:b/>
          <w:sz w:val="24"/>
        </w:rPr>
        <w:t>Financiación.</w:t>
      </w:r>
      <w:r>
        <w:rPr>
          <w:rFonts w:ascii="Times New Roman" w:hAnsi="Times New Roman"/>
          <w:sz w:val="24"/>
        </w:rPr>
        <w:t xml:space="preserve"> Esta investigación no recibió subvenciones específicas de organismos de financiación de los sectores público, comercial o sin ánimo de lucro. </w:t>
      </w:r>
      <w:r>
        <w:rPr>
          <w:rFonts w:ascii="Times New Roman" w:hAnsi="Times New Roman"/>
          <w:i/>
          <w:sz w:val="24"/>
        </w:rPr>
        <w:t>(Si hubo financiación, usar el formato: "Esta investigación fue apoyada por [institución] [código de proyecto]".)</w:t>
      </w:r>
    </w:p>
    <w:p>
      <w:r>
        <w:rPr>
          <w:rFonts w:ascii="Times New Roman" w:hAnsi="Times New Roman"/>
          <w:b/>
          <w:sz w:val="24"/>
        </w:rPr>
        <w:t>Descargo de responsabilidad.</w:t>
      </w:r>
      <w:r>
        <w:rPr>
          <w:rFonts w:ascii="Times New Roman" w:hAnsi="Times New Roman"/>
          <w:sz w:val="24"/>
        </w:rPr>
        <w:t xml:space="preserve"> Las opiniones e interpretaciones expresadas en este artículo son responsabilidad de los autores y no representan una posición oficial de sus instituciones.</w:t>
      </w:r>
    </w:p>
    <w:p>
      <w:r>
        <w:rPr>
          <w:rFonts w:ascii="Times New Roman" w:hAnsi="Times New Roman"/>
          <w:b/>
          <w:sz w:val="24"/>
        </w:rPr>
        <w:t>Agradecimientos.</w:t>
      </w:r>
      <w:r>
        <w:rPr>
          <w:rFonts w:ascii="Times New Roman" w:hAnsi="Times New Roman"/>
          <w:sz w:val="24"/>
        </w:rPr>
        <w:t xml:space="preserve"> [Personas que colaboraron sin cumplir criterios de autoría: recolección de datos, revisión del texto, apoyo bibliográfico o estadístico, etc. Eliminar si no aplica.]</w:t>
      </w:r>
    </w:p>
    <w:p>
      <w:r>
        <w:rPr>
          <w:rFonts w:ascii="Times New Roman" w:hAnsi="Times New Roman"/>
          <w:b/>
          <w:sz w:val="24"/>
        </w:rPr>
        <w:t>Conflicto de intereses:</w:t>
      </w:r>
      <w:r>
        <w:rPr>
          <w:rFonts w:ascii="Times New Roman" w:hAnsi="Times New Roman"/>
          <w:sz w:val="24"/>
        </w:rPr>
        <w:t xml:space="preserve"> Los autores declaran no tener conflicto de intereses.</w:t>
      </w:r>
    </w:p>
    <w:p>
      <w:r>
        <w:rPr>
          <w:rFonts w:ascii="Times New Roman" w:hAnsi="Times New Roman"/>
          <w:b/>
          <w:sz w:val="24"/>
        </w:rPr>
        <w:t>Declaración ética:</w:t>
      </w:r>
      <w:r>
        <w:rPr>
          <w:rFonts w:ascii="Times New Roman" w:hAnsi="Times New Roman"/>
          <w:sz w:val="24"/>
        </w:rPr>
        <w:t xml:space="preserve"> La investigación se condujo conforme a las directrices del Committee on Publication Ethics (COPE) y del Council of Science Editors (CSE). El estudio no involucró seres humanos ni datos personales (véase 3.6), por lo que no requirió aval de comité de ética. El manuscrito es original, inédito y no ha sido depositado en repositorios ni medios digitales previos a este envío.</w:t>
      </w:r>
    </w:p>
    <w:p>
      <w:r>
        <w:rPr>
          <w:rFonts w:ascii="Times New Roman" w:hAnsi="Times New Roman"/>
          <w:b/>
          <w:sz w:val="24"/>
        </w:rPr>
        <w:t>Disponibilidad de datos.</w:t>
      </w:r>
      <w:r>
        <w:rPr>
          <w:rFonts w:ascii="Times New Roman" w:hAnsi="Times New Roman"/>
          <w:sz w:val="24"/>
        </w:rPr>
        <w:t xml:space="preserve"> Todos los datos relevantes se encuentran en el artículo. Para mayor información, contacte al autor de correspondencia. El código de la plataforma y los scripts de generación y análisis del conjunto de datos sintético —que permiten la reproducibilidad de los resultados— están disponibles en [repositorio/DOI Zenodo].</w:t>
      </w:r>
    </w:p>
    <w:p>
      <w:r>
        <w:rPr>
          <w:rFonts w:ascii="Times New Roman" w:hAnsi="Times New Roman"/>
          <w:b/>
          <w:sz w:val="24"/>
        </w:rPr>
        <w:t>Licencia y cesión.</w:t>
      </w:r>
      <w:r>
        <w:rPr>
          <w:rFonts w:ascii="Times New Roman" w:hAnsi="Times New Roman"/>
          <w:sz w:val="24"/>
        </w:rPr>
        <w:t xml:space="preserve"> En caso de aceptación, los autores firmarán la cesión de derechos patrimoniales a la Universidad de San Buenaventura Cali; el artículo se publicará bajo licencia Creative Commons Atribución-NoComercial-SinDerivadas 4.0 (CC BY-NC-ND 4.0).</w:t>
      </w:r>
    </w:p>
    <w:p>
      <w:r>
        <w:rPr>
          <w:rFonts w:ascii="Times New Roman" w:hAnsi="Times New Roman"/>
          <w:b/>
          <w:sz w:val="24"/>
        </w:rPr>
        <w:t>Declaración de IA generativa.</w:t>
      </w:r>
      <w:r>
        <w:rPr>
          <w:rFonts w:ascii="Times New Roman" w:hAnsi="Times New Roman"/>
          <w:sz w:val="24"/>
        </w:rPr>
        <w:t xml:space="preserve"> Modelos de lenguaje de gran escala constituyen, a la vez, el </w:t>
      </w:r>
      <w:r>
        <w:rPr>
          <w:rFonts w:ascii="Times New Roman" w:hAnsi="Times New Roman"/>
          <w:i/>
          <w:sz w:val="24"/>
        </w:rPr>
        <w:t>objeto de estudio</w:t>
      </w:r>
      <w:r>
        <w:rPr>
          <w:rFonts w:ascii="Times New Roman" w:hAnsi="Times New Roman"/>
          <w:sz w:val="24"/>
        </w:rPr>
        <w:t xml:space="preserve"> y un </w:t>
      </w:r>
      <w:r>
        <w:rPr>
          <w:rFonts w:ascii="Times New Roman" w:hAnsi="Times New Roman"/>
          <w:i/>
          <w:sz w:val="24"/>
        </w:rPr>
        <w:t>instrumento de la investigación</w:t>
      </w:r>
      <w:r>
        <w:rPr>
          <w:rFonts w:ascii="Times New Roman" w:hAnsi="Times New Roman"/>
          <w:sz w:val="24"/>
        </w:rPr>
        <w:t xml:space="preserve">: la plataforma </w:t>
      </w:r>
      <w:r>
        <w:rPr>
          <w:rFonts w:ascii="Times New Roman" w:hAnsi="Times New Roman"/>
          <w:i/>
          <w:sz w:val="24"/>
        </w:rPr>
        <w:t>CliniA</w:t>
      </w:r>
      <w:r>
        <w:rPr>
          <w:rFonts w:ascii="Times New Roman" w:hAnsi="Times New Roman"/>
          <w:sz w:val="24"/>
        </w:rPr>
        <w:t xml:space="preserve"> descrita en este artículo emplea un LLM para generar los pacientes simulados y la evaluación automatizada, y el estudio de simulación utilizó agentes basados en LLM como sujetos sintéticos (véanse las secciones 3.2 a 3.4), bajo control y supervisión humana plena. El análisis de los datos, la interpretación de los resultados y la redacción del manuscrito fueron realizados por los autores. Cuando se utilizaron herramientas de IA generativa como apoyo en la búsqueda o el ordenamiento bibliográfico, su salida fue revisada y verificada por los autores, quienes asumen la responsabilidad íntegra del contenido.</w:t>
      </w:r>
    </w:p>
    <w:p>
      <w:r>
        <w:rPr>
          <w:rFonts w:ascii="Times New Roman" w:hAnsi="Times New Roman"/>
          <w:b/>
          <w:sz w:val="26"/>
        </w:rPr>
        <w:t>Resumen</w:t>
      </w:r>
    </w:p>
    <w:p>
      <w:r>
        <w:rPr>
          <w:rFonts w:ascii="Times New Roman" w:hAnsi="Times New Roman"/>
          <w:sz w:val="24"/>
        </w:rPr>
        <w:t xml:space="preserve">La formación en entrevista clínica enfrenta una limitación estructural: la escasez de práctica supervisada con pacientes reales y la variabilidad de los pacientes estandarizados humanos. Este artículo presenta </w:t>
      </w:r>
      <w:r>
        <w:rPr>
          <w:rFonts w:ascii="Times New Roman" w:hAnsi="Times New Roman"/>
          <w:i/>
          <w:sz w:val="24"/>
        </w:rPr>
        <w:t>CliniA</w:t>
      </w:r>
      <w:r>
        <w:rPr>
          <w:rFonts w:ascii="Times New Roman" w:hAnsi="Times New Roman"/>
          <w:sz w:val="24"/>
        </w:rPr>
        <w:t xml:space="preserve">, una plataforma web que emplea modelos de lenguaje de gran escala (LLM) para generar </w:t>
      </w:r>
      <w:r>
        <w:rPr>
          <w:rFonts w:ascii="Times New Roman" w:hAnsi="Times New Roman"/>
          <w:b/>
          <w:sz w:val="24"/>
        </w:rPr>
        <w:t>pacientes simulados</w:t>
      </w:r>
      <w:r>
        <w:rPr>
          <w:rFonts w:ascii="Times New Roman" w:hAnsi="Times New Roman"/>
          <w:sz w:val="24"/>
        </w:rPr>
        <w:t xml:space="preserve"> coherentes con tres orientaciones teóricas —psicoanalítica, cognitivo-conductual y humanista— y producir </w:t>
      </w:r>
      <w:r>
        <w:rPr>
          <w:rFonts w:ascii="Times New Roman" w:hAnsi="Times New Roman"/>
          <w:b/>
          <w:sz w:val="24"/>
        </w:rPr>
        <w:t>retroalimentación formativa automatizada</w:t>
      </w:r>
      <w:r>
        <w:rPr>
          <w:rFonts w:ascii="Times New Roman" w:hAnsi="Times New Roman"/>
          <w:sz w:val="24"/>
        </w:rPr>
        <w:t xml:space="preserve"> en cuatro dimensiones de competencia. Para caracterizar el sistema antes de su validación con usuarios humanos, se realizó un </w:t>
      </w:r>
      <w:r>
        <w:rPr>
          <w:rFonts w:ascii="Times New Roman" w:hAnsi="Times New Roman"/>
          <w:b/>
          <w:sz w:val="24"/>
        </w:rPr>
        <w:t>estudio de simulación</w:t>
      </w:r>
      <w:r>
        <w:rPr>
          <w:rFonts w:ascii="Times New Roman" w:hAnsi="Times New Roman"/>
          <w:sz w:val="24"/>
        </w:rPr>
        <w:t xml:space="preserve"> en el que 60 agentes de estudiante sintéticos —basados en LLM y programados en tres niveles de competencia— interactuaron con la plataforma a través de seis casos y las tres orientaciones, y recibieron evaluación automatizada. La evaluación discriminó con nitidez los niveles: la puntuación global media ascendió de 4,38 (novatos) a 7,98 (intermedios) y 8,54 (avanzados) en escala 1–10, con un tamaño del efecto muy grande entre niveles extremos (</w:t>
      </w:r>
      <w:r>
        <w:rPr>
          <w:rFonts w:ascii="Times New Roman" w:hAnsi="Times New Roman"/>
          <w:i/>
          <w:sz w:val="24"/>
        </w:rPr>
        <w:t>d</w:t>
      </w:r>
      <w:r>
        <w:rPr>
          <w:rFonts w:ascii="Times New Roman" w:hAnsi="Times New Roman"/>
          <w:sz w:val="24"/>
        </w:rPr>
        <w:t xml:space="preserve"> de Cohen ≈ 5,92). La discriminación fue máxima en la dimensión técnica y menor en la adecuación al contexto, con compresión en el extremo superior. Se discuten el potencial de los pacientes simulados como recurso de práctica deliberada de bajo riesgo y sus límites éticos, incluida una lectura crítica de la datificación del encuentro clínico. Los datos provienen de agentes sintéticos: la evidencia de eficacia formativa requiere estudios controlados con estudiantes reales.</w:t>
      </w:r>
    </w:p>
    <w:p>
      <w:r>
        <w:rPr>
          <w:rFonts w:ascii="Times New Roman" w:hAnsi="Times New Roman"/>
          <w:b/>
          <w:sz w:val="24"/>
        </w:rPr>
        <w:t>Palabras clave:</w:t>
      </w:r>
      <w:r>
        <w:rPr>
          <w:rFonts w:ascii="Times New Roman" w:hAnsi="Times New Roman"/>
          <w:sz w:val="24"/>
        </w:rPr>
        <w:t xml:space="preserve"> entrevista clínica; inteligencia artificial; enseñanza asistida por ordenador; formación profesional; psicología clínica; simulación; evaluación del estudiante; competencias; tecnología educativa; ética; relación terapéutica; aprendizaje.</w:t>
      </w:r>
    </w:p>
    <w:p>
      <w:r>
        <w:rPr>
          <w:rFonts w:ascii="Times New Roman" w:hAnsi="Times New Roman"/>
          <w:i/>
          <w:sz w:val="24"/>
        </w:rPr>
        <w:t>(Términos alineados en lo posible con el Tesauro de la UNESCO. Verificar cada término en el tesauro y depurar a 10–12 antes del envío.)</w:t>
      </w:r>
    </w:p>
    <w:p>
      <w:r>
        <w:rPr>
          <w:rFonts w:ascii="Times New Roman" w:hAnsi="Times New Roman"/>
          <w:b/>
          <w:sz w:val="26"/>
        </w:rPr>
        <w:t>Abstract</w:t>
      </w:r>
    </w:p>
    <w:p>
      <w:r>
        <w:rPr>
          <w:rFonts w:ascii="Times New Roman" w:hAnsi="Times New Roman"/>
          <w:sz w:val="24"/>
        </w:rPr>
        <w:t xml:space="preserve">Training in clinical interviewing faces a structural constraint: limited opportunities for supervised practice with real patients and the variability of human standardized patients. This paper introduces </w:t>
      </w:r>
      <w:r>
        <w:rPr>
          <w:rFonts w:ascii="Times New Roman" w:hAnsi="Times New Roman"/>
          <w:i/>
          <w:sz w:val="24"/>
        </w:rPr>
        <w:t>CliniA</w:t>
      </w:r>
      <w:r>
        <w:rPr>
          <w:rFonts w:ascii="Times New Roman" w:hAnsi="Times New Roman"/>
          <w:sz w:val="24"/>
        </w:rPr>
        <w:t xml:space="preserve">, a web platform that uses large language models (LLMs) to generate </w:t>
      </w:r>
      <w:r>
        <w:rPr>
          <w:rFonts w:ascii="Times New Roman" w:hAnsi="Times New Roman"/>
          <w:b/>
          <w:sz w:val="24"/>
        </w:rPr>
        <w:t>simulated patients</w:t>
      </w:r>
      <w:r>
        <w:rPr>
          <w:rFonts w:ascii="Times New Roman" w:hAnsi="Times New Roman"/>
          <w:sz w:val="24"/>
        </w:rPr>
        <w:t xml:space="preserve"> that respond consistently with three theoretical orientations —psychoanalytic, cognitive-behavioral, and humanistic— and to produce </w:t>
      </w:r>
      <w:r>
        <w:rPr>
          <w:rFonts w:ascii="Times New Roman" w:hAnsi="Times New Roman"/>
          <w:b/>
          <w:sz w:val="24"/>
        </w:rPr>
        <w:t>automated formative feedback</w:t>
      </w:r>
      <w:r>
        <w:rPr>
          <w:rFonts w:ascii="Times New Roman" w:hAnsi="Times New Roman"/>
          <w:sz w:val="24"/>
        </w:rPr>
        <w:t xml:space="preserve"> on student performance across four competence dimensions. To characterize the system's behavior prior to validation with human users, a </w:t>
      </w:r>
      <w:r>
        <w:rPr>
          <w:rFonts w:ascii="Times New Roman" w:hAnsi="Times New Roman"/>
          <w:b/>
          <w:sz w:val="24"/>
        </w:rPr>
        <w:t>simulation study</w:t>
      </w:r>
      <w:r>
        <w:rPr>
          <w:rFonts w:ascii="Times New Roman" w:hAnsi="Times New Roman"/>
          <w:sz w:val="24"/>
        </w:rPr>
        <w:t xml:space="preserve"> was conducted in which 60 synthetic student agents —themselves LLM-based and programmed at three interviewer competence levels— actually interacted with the platform across the six catalog cases and the three orientations, and received automated evaluation. The evaluation clearly discriminated competence levels: mean global scores rose from 4.38 (novice) to 7.98 (intermediate) and 8.54 (advanced) on a 1–10 scale, with a very large effect size between extreme levels (Cohen's d ≈ 5.92). Discrimination was greatest for the interviewing-technique dimension and smallest for contextual adequacy, with score compression at the upper end. We discuss the potential of simulated patients as a low-risk deliberate-practice resource, contributions from a competence-based view of clinical training, and ethical limits, including a critical reading of the datafication of the clinical encounter. We emphasize that the data come from synthetic agents and that evidence of training efficacy requires controlled studies with real students.</w:t>
      </w:r>
    </w:p>
    <w:p>
      <w:r>
        <w:rPr>
          <w:rFonts w:ascii="Times New Roman" w:hAnsi="Times New Roman"/>
          <w:b/>
          <w:sz w:val="24"/>
        </w:rPr>
        <w:t>Keywords:</w:t>
      </w:r>
      <w:r>
        <w:rPr>
          <w:rFonts w:ascii="Times New Roman" w:hAnsi="Times New Roman"/>
          <w:sz w:val="24"/>
        </w:rPr>
        <w:t xml:space="preserve"> clinical interview; artificial intelligence; computer assisted instruction; professional training; clinical psychology; simulation; student evaluation; competencies; educational technology; ethics; therapeutic relationship; learning.</w:t>
      </w:r>
    </w:p>
    <w:p>
      <w:r>
        <w:rPr>
          <w:rFonts w:ascii="Times New Roman" w:hAnsi="Times New Roman"/>
          <w:b/>
          <w:sz w:val="26"/>
        </w:rPr>
        <w:t>1. Introducción</w:t>
      </w:r>
    </w:p>
    <w:p>
      <w:r>
        <w:rPr>
          <w:rFonts w:ascii="Times New Roman" w:hAnsi="Times New Roman"/>
          <w:sz w:val="24"/>
        </w:rPr>
        <w:t xml:space="preserve">La entrevista clínica es la competencia nuclear del psicólogo: el instrumento mediante el cual se establece la alianza, se recoge información, se formulan hipótesis diagnósticas y se inicia el proceso terapéutico (Sommers-Flanagan &amp; Sommers-Flanagan, 2017). Sin embargo, su enseñanza tropieza con una restricción persistente. La práctica con pacientes reales es éticamente sensible, escasa y poco controlable como entorno de aprendizaje; el rol-playing entre pares carece de realismo y de variabilidad clínica; y los </w:t>
      </w:r>
      <w:r>
        <w:rPr>
          <w:rFonts w:ascii="Times New Roman" w:hAnsi="Times New Roman"/>
          <w:b/>
          <w:sz w:val="24"/>
        </w:rPr>
        <w:t>pacientes estandarizados</w:t>
      </w:r>
      <w:r>
        <w:rPr>
          <w:rFonts w:ascii="Times New Roman" w:hAnsi="Times New Roman"/>
          <w:sz w:val="24"/>
        </w:rPr>
        <w:t xml:space="preserve"> humanos —actores entrenados para representar un caso—, aunque eficaces, son costosos, difíciles de escalar y presentan variabilidad entre representaciones (Bokken et al., 2008). El resultado es que muchos estudiantes llegan a sus primeras prácticas con un número reducido de horas de entrevista deliberada y con escasa retroalimentación específica sobre su desempeño.</w:t>
      </w:r>
    </w:p>
    <w:p>
      <w:r>
        <w:rPr>
          <w:rFonts w:ascii="Times New Roman" w:hAnsi="Times New Roman"/>
          <w:sz w:val="24"/>
        </w:rPr>
        <w:t xml:space="preserve">La teoría de la </w:t>
      </w:r>
      <w:r>
        <w:rPr>
          <w:rFonts w:ascii="Times New Roman" w:hAnsi="Times New Roman"/>
          <w:b/>
          <w:sz w:val="24"/>
        </w:rPr>
        <w:t>práctica deliberada</w:t>
      </w:r>
      <w:r>
        <w:rPr>
          <w:rFonts w:ascii="Times New Roman" w:hAnsi="Times New Roman"/>
          <w:sz w:val="24"/>
        </w:rPr>
        <w:t xml:space="preserve"> sostiene que la adquisición de la pericia no depende de la mera exposición, sino de la repetición orientada a objetivos, en un rango de dificultad ajustado, con retroalimentación inmediata y oportunidades de corrección (Ericsson et al., 1993; Ericsson, 2008). Trasladada a la formación de terapeutas, esta perspectiva subraya que el desarrollo de competencias requiere ciclos frecuentes de ejecución–retroalimentación–ajuste, precisamente lo que el contexto formativo tradicional ofrece de forma limitada (Rousmaniere et al., 2017). De ahí el interés por entornos de simulación que permitan multiplicar las oportunidades de práctica sin riesgo para personas reales.</w:t>
      </w:r>
    </w:p>
    <w:p>
      <w:r>
        <w:rPr>
          <w:rFonts w:ascii="Times New Roman" w:hAnsi="Times New Roman"/>
          <w:sz w:val="24"/>
        </w:rPr>
        <w:t xml:space="preserve">La tradición del </w:t>
      </w:r>
      <w:r>
        <w:rPr>
          <w:rFonts w:ascii="Times New Roman" w:hAnsi="Times New Roman"/>
          <w:b/>
          <w:sz w:val="24"/>
        </w:rPr>
        <w:t>paciente estandarizado</w:t>
      </w:r>
      <w:r>
        <w:rPr>
          <w:rFonts w:ascii="Times New Roman" w:hAnsi="Times New Roman"/>
          <w:sz w:val="24"/>
        </w:rPr>
        <w:t xml:space="preserve"> ofrece el antecedente más sólido de esta idea. Desde su introducción en la educación médica, los actores entrenados para representar un caso de manera consistente han permitido enseñar y evaluar habilidades clínicas en condiciones controladas y reproducibles (Barrows, 1993). Su eficacia está documentada, pero también sus costos: requieren reclutamiento, entrenamiento y remuneración de actores, y su disponibilidad limita el número de repeticiones por estudiante. Como respuesta, los </w:t>
      </w:r>
      <w:r>
        <w:rPr>
          <w:rFonts w:ascii="Times New Roman" w:hAnsi="Times New Roman"/>
          <w:b/>
          <w:sz w:val="24"/>
        </w:rPr>
        <w:t>pacientes virtuales</w:t>
      </w:r>
      <w:r>
        <w:rPr>
          <w:rFonts w:ascii="Times New Roman" w:hAnsi="Times New Roman"/>
          <w:sz w:val="24"/>
        </w:rPr>
        <w:t xml:space="preserve"> computarizados se propusieron desde hace dos décadas como alternativa escalable; una revisión sistemática y metaanálisis temprana concluyó que mejoran el conocimiento y las habilidades clínicas frente a la ausencia de intervención, aunque con diseños entonces rígidos, basados en ramificaciones predefinidas (Cook et al., 2010). La limitación de aquellos sistemas —su incapacidad de responder a lo no anticipado— es justamente la que los modelos de lenguaje vienen a superar.</w:t>
      </w:r>
    </w:p>
    <w:p>
      <w:r>
        <w:rPr>
          <w:rFonts w:ascii="Times New Roman" w:hAnsi="Times New Roman"/>
          <w:sz w:val="24"/>
        </w:rPr>
        <w:t xml:space="preserve">Conviene, sin embargo, recordar qué es lo que se entrena. La investigación sobre resultados en psicoterapia muestra que una porción sustancial de la varianza terapéutica se explica por </w:t>
      </w:r>
      <w:r>
        <w:rPr>
          <w:rFonts w:ascii="Times New Roman" w:hAnsi="Times New Roman"/>
          <w:b/>
          <w:sz w:val="24"/>
        </w:rPr>
        <w:t>factores comunes</w:t>
      </w:r>
      <w:r>
        <w:rPr>
          <w:rFonts w:ascii="Times New Roman" w:hAnsi="Times New Roman"/>
          <w:sz w:val="24"/>
        </w:rPr>
        <w:t xml:space="preserve"> a los enfoques, y de manera destacada por la </w:t>
      </w:r>
      <w:r>
        <w:rPr>
          <w:rFonts w:ascii="Times New Roman" w:hAnsi="Times New Roman"/>
          <w:b/>
          <w:sz w:val="24"/>
        </w:rPr>
        <w:t>alianza de trabajo</w:t>
      </w:r>
      <w:r>
        <w:rPr>
          <w:rFonts w:ascii="Times New Roman" w:hAnsi="Times New Roman"/>
          <w:sz w:val="24"/>
        </w:rPr>
        <w:t xml:space="preserve"> entre paciente y terapeuta —el vínculo, el acuerdo en las tareas y el acuerdo en las metas (Bordin, 1979)— cuya asociación con el resultado clínico es robusta y transversal a las orientaciones (Flückiger et al., 2018; Wampold, 2015). La entrevista inicial es el escenario donde esa alianza comienza a gestarse; por ello, entrenar la entrevista no es entrenar un protocolo de preguntas, sino la capacidad de construir una relación. Esta consideración será central para interpretar, más adelante, tanto las posibilidades como los límites de un paciente simulado.</w:t>
      </w:r>
    </w:p>
    <w:p>
      <w:r>
        <w:rPr>
          <w:rFonts w:ascii="Times New Roman" w:hAnsi="Times New Roman"/>
          <w:sz w:val="24"/>
        </w:rPr>
        <w:t xml:space="preserve">La irrupción de los </w:t>
      </w:r>
      <w:r>
        <w:rPr>
          <w:rFonts w:ascii="Times New Roman" w:hAnsi="Times New Roman"/>
          <w:b/>
          <w:sz w:val="24"/>
        </w:rPr>
        <w:t>modelos de lenguaje de gran escala</w:t>
      </w:r>
      <w:r>
        <w:rPr>
          <w:rFonts w:ascii="Times New Roman" w:hAnsi="Times New Roman"/>
          <w:sz w:val="24"/>
        </w:rPr>
        <w:t xml:space="preserve"> (LLM) abre una posibilidad inédita en este terreno. Construidos sobre arquitecturas de atención (Vaswani et al., 2017) y entrenados sobre corpus masivos, estos modelos generan texto conversacional coherente y sensible al contexto (Brown et al., 2020), hasta el punto de que se los ha caracterizado como "modelos fundacionales" con capacidades emergentes y riesgos transversales (Bommasani et al., 2021). Ello permite instanciar interlocutores que sostienen un rol —el de un paciente con una historia, un motivo de consulta y un estilo relacional— a lo largo de una conversación abierta. A diferencia de los simuladores basados en árboles de diálogo predefinidos, un paciente basado en LLM puede responder a preguntas no anticipadas, mostrar resistencias, ofrecer material clínico de manera gradual y adaptar su apertura al comportamiento del entrevistador. La psicología ha comenzado a explorar estos modelos no solo como objeto, sino como herramienta de investigación y práctica, lo que exige un examen cuidadoso de sus alcances y sesgos (Demszky et al., 2023).</w:t>
      </w:r>
    </w:p>
    <w:p>
      <w:r>
        <w:rPr>
          <w:rFonts w:ascii="Times New Roman" w:hAnsi="Times New Roman"/>
          <w:sz w:val="24"/>
        </w:rPr>
        <w:t xml:space="preserve">Desde una </w:t>
      </w:r>
      <w:r>
        <w:rPr>
          <w:rFonts w:ascii="Times New Roman" w:hAnsi="Times New Roman"/>
          <w:b/>
          <w:sz w:val="24"/>
        </w:rPr>
        <w:t>mirada psicológica</w:t>
      </w:r>
      <w:r>
        <w:rPr>
          <w:rFonts w:ascii="Times New Roman" w:hAnsi="Times New Roman"/>
          <w:sz w:val="24"/>
        </w:rPr>
        <w:t xml:space="preserve">, la propuesta es novedosa en al menos tres sentidos. Primero, operacionaliza la orientación teórica del terapeuta como un conjunto de comportamientos esperables del paciente: un paciente "psicoanalítico" exhibe resistencias y asociación libre, uno "cognitivo-conductual" verbaliza pensamientos automáticos y distorsiones, y uno "humanista" expresa incongruencia entre el yo real y el yo ideal. Esto convierte el simulador en un dispositivo para </w:t>
      </w:r>
      <w:r>
        <w:rPr>
          <w:rFonts w:ascii="Times New Roman" w:hAnsi="Times New Roman"/>
          <w:b/>
          <w:sz w:val="24"/>
        </w:rPr>
        <w:t>practicar la coherencia técnica</w:t>
      </w:r>
      <w:r>
        <w:rPr>
          <w:rFonts w:ascii="Times New Roman" w:hAnsi="Times New Roman"/>
          <w:sz w:val="24"/>
        </w:rPr>
        <w:t xml:space="preserve"> entre marco teórico e intervención. Segundo, la evaluación automatizada explicita un </w:t>
      </w:r>
      <w:r>
        <w:rPr>
          <w:rFonts w:ascii="Times New Roman" w:hAnsi="Times New Roman"/>
          <w:b/>
          <w:sz w:val="24"/>
        </w:rPr>
        <w:t>modelo de competencia</w:t>
      </w:r>
      <w:r>
        <w:rPr>
          <w:rFonts w:ascii="Times New Roman" w:hAnsi="Times New Roman"/>
          <w:sz w:val="24"/>
        </w:rPr>
        <w:t xml:space="preserve"> de cuatro dimensiones (estructura, técnica, apertura emocional y adecuación al contexto), haciendo visible al estudiante un constructo que habitualmente permanece tácito en la supervisión. Tercero, el sistema genera una </w:t>
      </w:r>
      <w:r>
        <w:rPr>
          <w:rFonts w:ascii="Times New Roman" w:hAnsi="Times New Roman"/>
          <w:b/>
          <w:sz w:val="24"/>
        </w:rPr>
        <w:t>traza completa</w:t>
      </w:r>
      <w:r>
        <w:rPr>
          <w:rFonts w:ascii="Times New Roman" w:hAnsi="Times New Roman"/>
          <w:sz w:val="24"/>
        </w:rPr>
        <w:t xml:space="preserve"> de cada entrevista, lo que abre la puerta a una psicología del aprendizaje clínico basada en datos.</w:t>
      </w:r>
    </w:p>
    <w:p>
      <w:r>
        <w:rPr>
          <w:rFonts w:ascii="Times New Roman" w:hAnsi="Times New Roman"/>
          <w:sz w:val="24"/>
        </w:rPr>
        <w:t xml:space="preserve">Esta discusión adquiere relieve particular en el </w:t>
      </w:r>
      <w:r>
        <w:rPr>
          <w:rFonts w:ascii="Times New Roman" w:hAnsi="Times New Roman"/>
          <w:b/>
          <w:sz w:val="24"/>
        </w:rPr>
        <w:t>contexto iberoamericano</w:t>
      </w:r>
      <w:r>
        <w:rPr>
          <w:rFonts w:ascii="Times New Roman" w:hAnsi="Times New Roman"/>
          <w:sz w:val="24"/>
        </w:rPr>
        <w:t xml:space="preserve">. La formación de psicólogos en la región se ha orientado hacia modelos basados en competencias, en los que la entrevista y la evaluación clínicas figuran como competencias profesionales nucleares que los programas deben desarrollar de manera explícita (Charria Ortiz et al., 2011); sin embargo, la alta relación estudiante-docente, la demanda creciente de cupos de práctica y la distribución desigual de los escenarios clínicos agravan la escasez de oportunidades de entrevista supervisada [completar con fuentes latinoamericanas adicionales sobre prácticas clínicas y supervisión]. A ello se suma una dimensión cultural: el modo de presentar el malestar, los modismos, las normas de cortesía y los significados del sufrimiento varían entre contextos, y un paciente simulado entrenado con patrones predominantemente anglosajones podría resultar poco verosímil para estudiantes latinoamericanos. </w:t>
      </w:r>
      <w:r>
        <w:rPr>
          <w:rFonts w:ascii="Times New Roman" w:hAnsi="Times New Roman"/>
          <w:i/>
          <w:sz w:val="24"/>
        </w:rPr>
        <w:t>CliniA</w:t>
      </w:r>
      <w:r>
        <w:rPr>
          <w:rFonts w:ascii="Times New Roman" w:hAnsi="Times New Roman"/>
          <w:sz w:val="24"/>
        </w:rPr>
        <w:t xml:space="preserve"> incorpora deliberadamente registro coloquial colombiano en las respuestas del paciente, un rasgo menor en apariencia pero relevante para la validez ecológica de la práctica y, a la vez, una fuente potencial de sesgo que debe vigilarse.</w:t>
      </w:r>
    </w:p>
    <w:p>
      <w:r>
        <w:rPr>
          <w:rFonts w:ascii="Times New Roman" w:hAnsi="Times New Roman"/>
          <w:sz w:val="24"/>
        </w:rPr>
        <w:t xml:space="preserve">Esta propuesta interpela, además, una pregunta propiamente humanista: la del </w:t>
      </w:r>
      <w:r>
        <w:rPr>
          <w:rFonts w:ascii="Times New Roman" w:hAnsi="Times New Roman"/>
          <w:i/>
          <w:sz w:val="24"/>
        </w:rPr>
        <w:t>encuentro clínico</w:t>
      </w:r>
      <w:r>
        <w:rPr>
          <w:rFonts w:ascii="Times New Roman" w:hAnsi="Times New Roman"/>
          <w:sz w:val="24"/>
        </w:rPr>
        <w:t xml:space="preserve"> como experiencia entre seres humanos. La entrevista no es solo una técnica de recolección de datos; es un vínculo intersubjetivo en el que la empatía, la presencia y el reconocimiento del otro constituyen su sustancia (Rogers, 1957). Simular ese encuentro con una máquina obliga a preguntar qué se aprende y qué se pierde cuando el "paciente" es un modelo de lenguaje: ¿puede un sistema artificial sostener algo del orden de la relación terapéutica, o solo su superficie conversacional? Lejos de ser una objeción meramente técnica, esta tensión es el núcleo del valor formativo y, a la vez, del límite de la herramienta. El paciente simulado es un andamiaje —un espacio seguro para ensayar la escucha— que prepara, pero no reemplaza, el encuentro con el otro real. Pensar la formación del psicólogo en la era de la inteligencia artificial es, en este sentido, una manera de volver sobre la pregunta por lo humano: qué del oficio clínico es delegable a una máquina y qué permanece irreductiblemente humano.</w:t>
      </w:r>
    </w:p>
    <w:p>
      <w:r>
        <w:rPr>
          <w:rFonts w:ascii="Times New Roman" w:hAnsi="Times New Roman"/>
          <w:sz w:val="24"/>
        </w:rPr>
        <w:t xml:space="preserve">Ahora bien, antes de afirmar que una herramienta de este tipo mejora el aprendizaje, es necesario caracterizar su comportamiento: ¿produce evaluaciones que discriminan niveles de competencia del entrevistador?, ¿es sensible a la orientación teórica?, ¿se comporta de forma coherente? Este artículo aborda esa pregunta previa mediante un </w:t>
      </w:r>
      <w:r>
        <w:rPr>
          <w:rFonts w:ascii="Times New Roman" w:hAnsi="Times New Roman"/>
          <w:b/>
          <w:sz w:val="24"/>
        </w:rPr>
        <w:t>estudio de simulación</w:t>
      </w:r>
      <w:r>
        <w:rPr>
          <w:rFonts w:ascii="Times New Roman" w:hAnsi="Times New Roman"/>
          <w:sz w:val="24"/>
        </w:rPr>
        <w:t xml:space="preserve">. No se trata de un ensayo con estudiantes reales —cuya evidencia constituye trabajo futuro— sino de una caracterización técnica y conceptual del sistema usando </w:t>
      </w:r>
      <w:r>
        <w:rPr>
          <w:rFonts w:ascii="Times New Roman" w:hAnsi="Times New Roman"/>
          <w:b/>
          <w:sz w:val="24"/>
        </w:rPr>
        <w:t>agentes de estudiante sintéticos</w:t>
      </w:r>
      <w:r>
        <w:rPr>
          <w:rFonts w:ascii="Times New Roman" w:hAnsi="Times New Roman"/>
          <w:sz w:val="24"/>
        </w:rPr>
        <w:t xml:space="preserve"> que interactúan realmente con el sistema. Los objetivos son: (1) describir la arquitectura y el diseño psicológico de la plataforma </w:t>
      </w:r>
      <w:r>
        <w:rPr>
          <w:rFonts w:ascii="Times New Roman" w:hAnsi="Times New Roman"/>
          <w:i/>
          <w:sz w:val="24"/>
        </w:rPr>
        <w:t>CliniA</w:t>
      </w:r>
      <w:r>
        <w:rPr>
          <w:rFonts w:ascii="Times New Roman" w:hAnsi="Times New Roman"/>
          <w:sz w:val="24"/>
        </w:rPr>
        <w:t>; (2) examinar, mediante simulación, si la evaluación automatizada discrimina niveles de competencia del entrevistador y se comporta de manera coherente entre orientaciones teóricas; y (3) discutir las contribuciones, los riesgos y los límites de los pacientes simulados con IA para la formación en psicología.</w:t>
      </w:r>
    </w:p>
    <w:p>
      <w:r>
        <w:rPr>
          <w:rFonts w:ascii="Times New Roman" w:hAnsi="Times New Roman"/>
          <w:b/>
          <w:sz w:val="26"/>
        </w:rPr>
        <w:t>2. Trabajos relacionados</w:t>
      </w:r>
    </w:p>
    <w:p>
      <w:r>
        <w:rPr>
          <w:rFonts w:ascii="Times New Roman" w:hAnsi="Times New Roman"/>
          <w:sz w:val="24"/>
        </w:rPr>
        <w:t>El uso de pacientes virtuales en la educación de las profesiones de la salud no es nuevo, pero ha experimentado una transformación cualitativa con los LLM. Una revisión sistemática reciente sobre sistemas de pacientes virtuales basados en LLM para la anamnesis en educación médica documenta un crecimiento acelerado de estas aplicaciones y, a la vez, la heterogeneidad de sus diseños y la escasez de validaciones rigurosas (Kus et al., 2025). Esta tensión —entusiasmo por la herramienta frente a evidencia aún incipiente— enmarca el presente trabajo.</w:t>
      </w:r>
    </w:p>
    <w:p>
      <w:r>
        <w:rPr>
          <w:rFonts w:ascii="Times New Roman" w:hAnsi="Times New Roman"/>
          <w:b/>
          <w:sz w:val="24"/>
        </w:rPr>
        <w:t>Pacientes simulados con LLM.</w:t>
      </w:r>
      <w:r>
        <w:rPr>
          <w:rFonts w:ascii="Times New Roman" w:hAnsi="Times New Roman"/>
          <w:sz w:val="24"/>
        </w:rPr>
        <w:t xml:space="preserve"> En el campo de la salud mental, </w:t>
      </w:r>
      <w:r>
        <w:rPr>
          <w:rFonts w:ascii="Times New Roman" w:hAnsi="Times New Roman"/>
          <w:i/>
          <w:sz w:val="24"/>
        </w:rPr>
        <w:t>PATIENT-Ψ</w:t>
      </w:r>
      <w:r>
        <w:rPr>
          <w:rFonts w:ascii="Times New Roman" w:hAnsi="Times New Roman"/>
          <w:sz w:val="24"/>
        </w:rPr>
        <w:t xml:space="preserve"> constituye el antecedente más directo: integra modelos cognitivos derivados de la terapia cognitivo-conductual con un LLM para simular pacientes con los que entrenar a profesionales; en su evaluación, expertos y aprendices valoraron el entorno de entrenamiento como superior a métodos tradicionales y a un LLM sin el andamiaje cognitivo para mejorar habilidades clínicas (Wang et al., 2024). En una línea afín, </w:t>
      </w:r>
      <w:r>
        <w:rPr>
          <w:rFonts w:ascii="Times New Roman" w:hAnsi="Times New Roman"/>
          <w:i/>
          <w:sz w:val="24"/>
        </w:rPr>
        <w:t>Client101</w:t>
      </w:r>
      <w:r>
        <w:rPr>
          <w:rFonts w:ascii="Times New Roman" w:hAnsi="Times New Roman"/>
          <w:sz w:val="24"/>
        </w:rPr>
        <w:t xml:space="preserve"> desarrolla y evalúa la usabilidad de clientes psicoterapéuticos simulados con GPT-4 para casos de depresión y ansiedad generalizada (Cabrera Lozoya et al., 2025). Otros trabajos han abordado el modelado de </w:t>
      </w:r>
      <w:r>
        <w:rPr>
          <w:rFonts w:ascii="Times New Roman" w:hAnsi="Times New Roman"/>
          <w:i/>
          <w:sz w:val="24"/>
        </w:rPr>
        <w:t>interacciones difíciles</w:t>
      </w:r>
      <w:r>
        <w:rPr>
          <w:rFonts w:ascii="Times New Roman" w:hAnsi="Times New Roman"/>
          <w:sz w:val="24"/>
        </w:rPr>
        <w:t xml:space="preserve"> y de pacientes culturalmente diversos para el entrenamiento en comunicación clínica (Borg et al., 2025), así como plataformas de paciente virtual con GPT-4 para conversaciones de alta carga emocional, como la comunicación de resultados anormales (Webb et al., 2025). El denominador común es el desplazamiento desde árboles de diálogo cerrados hacia interlocutores generativos abiertos, con el consiguiente realismo —y los consiguientes riesgos de inconsistencia y sesgo.</w:t>
      </w:r>
    </w:p>
    <w:p>
      <w:r>
        <w:rPr>
          <w:rFonts w:ascii="Times New Roman" w:hAnsi="Times New Roman"/>
          <w:b/>
          <w:sz w:val="24"/>
        </w:rPr>
        <w:t>LLM como evaluadores y generadores de retroalimentación.</w:t>
      </w:r>
      <w:r>
        <w:rPr>
          <w:rFonts w:ascii="Times New Roman" w:hAnsi="Times New Roman"/>
          <w:sz w:val="24"/>
        </w:rPr>
        <w:t xml:space="preserve"> Una segunda línea emplea el paradigma </w:t>
      </w:r>
      <w:r>
        <w:rPr>
          <w:rFonts w:ascii="Times New Roman" w:hAnsi="Times New Roman"/>
          <w:i/>
          <w:sz w:val="24"/>
        </w:rPr>
        <w:t>LLM-as-a-judge</w:t>
      </w:r>
      <w:r>
        <w:rPr>
          <w:rFonts w:ascii="Times New Roman" w:hAnsi="Times New Roman"/>
          <w:sz w:val="24"/>
        </w:rPr>
        <w:t xml:space="preserve"> para evaluar desempeños clínicos. Trabajos de 2025 exploran la evaluación automatizada de entrevistas con pacientes estandarizados mediante rúbricas y modelos GPT-4o (Sancheti et al., 2025), y sistemas como </w:t>
      </w:r>
      <w:r>
        <w:rPr>
          <w:rFonts w:ascii="Times New Roman" w:hAnsi="Times New Roman"/>
          <w:i/>
          <w:sz w:val="24"/>
        </w:rPr>
        <w:t>MedSimAI</w:t>
      </w:r>
      <w:r>
        <w:rPr>
          <w:rFonts w:ascii="Times New Roman" w:hAnsi="Times New Roman"/>
          <w:sz w:val="24"/>
        </w:rPr>
        <w:t xml:space="preserve"> combinan simulación y generación de retroalimentación formativa para potenciar la práctica deliberada en educación médica (Hicke et al., 2025). En consejería, propuestas de </w:t>
      </w:r>
      <w:r>
        <w:rPr>
          <w:rFonts w:ascii="Times New Roman" w:hAnsi="Times New Roman"/>
          <w:i/>
          <w:sz w:val="24"/>
        </w:rPr>
        <w:t>scaffolding</w:t>
      </w:r>
      <w:r>
        <w:rPr>
          <w:rFonts w:ascii="Times New Roman" w:hAnsi="Times New Roman"/>
          <w:sz w:val="24"/>
        </w:rPr>
        <w:t xml:space="preserve"> de la empatía añaden visualizaciones del desempeño a nivel de cada intervención del entrevistador (Min et al., 2025). Estos sistemas comparten con </w:t>
      </w:r>
      <w:r>
        <w:rPr>
          <w:rFonts w:ascii="Times New Roman" w:hAnsi="Times New Roman"/>
          <w:i/>
          <w:sz w:val="24"/>
        </w:rPr>
        <w:t>CliniA</w:t>
      </w:r>
      <w:r>
        <w:rPr>
          <w:rFonts w:ascii="Times New Roman" w:hAnsi="Times New Roman"/>
          <w:sz w:val="24"/>
        </w:rPr>
        <w:t xml:space="preserve"> la apuesta por una retroalimentación inmediata y estructurada, pero también heredan el problema —poco resuelto— de la validez de la evaluación automática frente al juicio experto.</w:t>
      </w:r>
    </w:p>
    <w:p>
      <w:r>
        <w:rPr>
          <w:rFonts w:ascii="Times New Roman" w:hAnsi="Times New Roman"/>
          <w:b/>
          <w:sz w:val="24"/>
        </w:rPr>
        <w:t>El problema de la validez de la evaluación automática.</w:t>
      </w:r>
      <w:r>
        <w:rPr>
          <w:rFonts w:ascii="Times New Roman" w:hAnsi="Times New Roman"/>
          <w:sz w:val="24"/>
        </w:rPr>
        <w:t xml:space="preserve"> El uso de un LLM como juez plantea una cuestión metodológica que la literatura apenas comienza a abordar: ¿en qué medida sus puntuaciones reflejan criterios clínicos válidos y no meras regularidades del lenguaje o sesgos de complacencia? Los estudios disponibles muestran concordancias variables entre evaluadores automáticos y expertos humanos, dependientes del dominio, de la rúbrica y del diseño de las instrucciones, y advierten sobre la dificultad de trasladar estos jueces a campos especializados como el clínico, que exigen conocimiento experto y criterios sutiles (Sancheti et al., 2025). Esta incertidumbre no invalida la aproximación, pero obliga a un orden de prioridades: antes de afirmar que un sistema evalúa bien, conviene comprobar que al menos </w:t>
      </w:r>
      <w:r>
        <w:rPr>
          <w:rFonts w:ascii="Times New Roman" w:hAnsi="Times New Roman"/>
          <w:i/>
          <w:sz w:val="24"/>
        </w:rPr>
        <w:t>discrimina</w:t>
      </w:r>
      <w:r>
        <w:rPr>
          <w:rFonts w:ascii="Times New Roman" w:hAnsi="Times New Roman"/>
          <w:sz w:val="24"/>
        </w:rPr>
        <w:t xml:space="preserve"> desempeños de distinta calidad de manera coherente —el objetivo modesto, pero necesario, que persigue el presente estudio.</w:t>
      </w:r>
    </w:p>
    <w:p>
      <w:r>
        <w:rPr>
          <w:rFonts w:ascii="Times New Roman" w:hAnsi="Times New Roman"/>
          <w:b/>
          <w:sz w:val="24"/>
        </w:rPr>
        <w:t>Estudios de simulación con agentes.</w:t>
      </w:r>
      <w:r>
        <w:rPr>
          <w:rFonts w:ascii="Times New Roman" w:hAnsi="Times New Roman"/>
          <w:sz w:val="24"/>
        </w:rPr>
        <w:t xml:space="preserve"> Una práctica metodológica incipiente consiste en emplear agentes basados en LLM para poner a prueba sistemas antes de su despliegue con personas, generando interacciones sintéticas a gran escala. Este enfoque, afín a la simulación social basada en agentes, permite auditar el comportamiento de una herramienta de forma reproducible y sin riesgo ético inmediato, a condición de declarar con transparencia la naturaleza artificial de los datos y de no confundir la coherencia interna del sistema con su validez externa. El presente trabajo adopta y explicita ese encuadre.</w:t>
      </w:r>
    </w:p>
    <w:p>
      <w:r>
        <w:rPr>
          <w:rFonts w:ascii="Times New Roman" w:hAnsi="Times New Roman"/>
          <w:b/>
          <w:sz w:val="24"/>
        </w:rPr>
        <w:t>Vacío que aborda este trabajo.</w:t>
      </w:r>
      <w:r>
        <w:rPr>
          <w:rFonts w:ascii="Times New Roman" w:hAnsi="Times New Roman"/>
          <w:sz w:val="24"/>
        </w:rPr>
        <w:t xml:space="preserve"> Tres rasgos distinguen la propuesta. Primero, la mayoría de los desarrollos provienen de la educación médica anglosajona; </w:t>
      </w:r>
      <w:r>
        <w:rPr>
          <w:rFonts w:ascii="Times New Roman" w:hAnsi="Times New Roman"/>
          <w:i/>
          <w:sz w:val="24"/>
        </w:rPr>
        <w:t>CliniA</w:t>
      </w:r>
      <w:r>
        <w:rPr>
          <w:rFonts w:ascii="Times New Roman" w:hAnsi="Times New Roman"/>
          <w:sz w:val="24"/>
        </w:rPr>
        <w:t xml:space="preserve"> se sitúa en la </w:t>
      </w:r>
      <w:r>
        <w:rPr>
          <w:rFonts w:ascii="Times New Roman" w:hAnsi="Times New Roman"/>
          <w:b/>
          <w:sz w:val="24"/>
        </w:rPr>
        <w:t>formación de psicólogos</w:t>
      </w:r>
      <w:r>
        <w:rPr>
          <w:rFonts w:ascii="Times New Roman" w:hAnsi="Times New Roman"/>
          <w:sz w:val="24"/>
        </w:rPr>
        <w:t xml:space="preserve"> y en un contexto </w:t>
      </w:r>
      <w:r>
        <w:rPr>
          <w:rFonts w:ascii="Times New Roman" w:hAnsi="Times New Roman"/>
          <w:b/>
          <w:sz w:val="24"/>
        </w:rPr>
        <w:t>iberoamericano</w:t>
      </w:r>
      <w:r>
        <w:rPr>
          <w:rFonts w:ascii="Times New Roman" w:hAnsi="Times New Roman"/>
          <w:sz w:val="24"/>
        </w:rPr>
        <w:t xml:space="preserve">, con pacientes que emplean registro coloquial colombiano. Segundo, el sistema operacionaliza explícitamente la </w:t>
      </w:r>
      <w:r>
        <w:rPr>
          <w:rFonts w:ascii="Times New Roman" w:hAnsi="Times New Roman"/>
          <w:b/>
          <w:sz w:val="24"/>
        </w:rPr>
        <w:t>orientación teórica</w:t>
      </w:r>
      <w:r>
        <w:rPr>
          <w:rFonts w:ascii="Times New Roman" w:hAnsi="Times New Roman"/>
          <w:sz w:val="24"/>
        </w:rPr>
        <w:t xml:space="preserve"> del entrevistador (psicoanalítica, cognitivo-conductual, humanista) como comportamientos diferenciales del paciente, dimensión ausente en los simuladores médicos. Tercero, frente a la práctica común de validar estas herramientas directamente con usuarios, se propone un </w:t>
      </w:r>
      <w:r>
        <w:rPr>
          <w:rFonts w:ascii="Times New Roman" w:hAnsi="Times New Roman"/>
          <w:b/>
          <w:sz w:val="24"/>
        </w:rPr>
        <w:t>estudio de simulación con agentes sintéticos</w:t>
      </w:r>
      <w:r>
        <w:rPr>
          <w:rFonts w:ascii="Times New Roman" w:hAnsi="Times New Roman"/>
          <w:sz w:val="24"/>
        </w:rPr>
        <w:t xml:space="preserve"> como paso intermedio de auditoría, antes de exponer a estudiantes reales.</w:t>
      </w:r>
    </w:p>
    <w:p>
      <w:r>
        <w:rPr>
          <w:rFonts w:ascii="Times New Roman" w:hAnsi="Times New Roman"/>
          <w:b/>
          <w:sz w:val="26"/>
        </w:rPr>
        <w:t>3. Metodología</w:t>
      </w:r>
    </w:p>
    <w:p>
      <w:r>
        <w:rPr>
          <w:rFonts w:ascii="Times New Roman" w:hAnsi="Times New Roman"/>
          <w:b/>
          <w:sz w:val="24"/>
        </w:rPr>
        <w:t>3.1. Tipo de estudio</w:t>
      </w:r>
    </w:p>
    <w:p>
      <w:r>
        <w:rPr>
          <w:rFonts w:ascii="Times New Roman" w:hAnsi="Times New Roman"/>
          <w:sz w:val="24"/>
        </w:rPr>
        <w:t xml:space="preserve">Estudio de simulación computacional, de carácter descriptivo-exploratorio, orientado a caracterizar el comportamiento del sistema. </w:t>
      </w:r>
      <w:r>
        <w:rPr>
          <w:rFonts w:ascii="Times New Roman" w:hAnsi="Times New Roman"/>
          <w:b/>
          <w:sz w:val="24"/>
        </w:rPr>
        <w:t>Todos los datos sobre desempeño de estudiantes que se reportan son sintéticos</w:t>
      </w:r>
      <w:r>
        <w:rPr>
          <w:rFonts w:ascii="Times New Roman" w:hAnsi="Times New Roman"/>
          <w:sz w:val="24"/>
        </w:rPr>
        <w:t>: no se recogió información de seres humanos. Esta decisión es metodológica y ética: permite probar la sensibilidad del instrumento de evaluación de forma reproducible y sin exponer a personas, dejando la validación con usuarios reales para una fase posterior.</w:t>
      </w:r>
    </w:p>
    <w:p>
      <w:r>
        <w:rPr>
          <w:rFonts w:ascii="Times New Roman" w:hAnsi="Times New Roman"/>
          <w:b/>
          <w:sz w:val="24"/>
        </w:rPr>
        <w:t xml:space="preserve">3.2. Instrumentos: la plataforma </w:t>
      </w:r>
      <w:r>
        <w:rPr>
          <w:rFonts w:ascii="Times New Roman" w:hAnsi="Times New Roman"/>
          <w:b/>
          <w:i/>
          <w:sz w:val="24"/>
        </w:rPr>
        <w:t>CliniA</w:t>
      </w:r>
    </w:p>
    <w:p>
      <w:r>
        <w:rPr>
          <w:rFonts w:ascii="Times New Roman" w:hAnsi="Times New Roman"/>
          <w:i/>
          <w:sz w:val="24"/>
        </w:rPr>
        <w:t>CliniA</w:t>
      </w:r>
      <w:r>
        <w:rPr>
          <w:rFonts w:ascii="Times New Roman" w:hAnsi="Times New Roman"/>
          <w:sz w:val="24"/>
        </w:rPr>
        <w:t xml:space="preserve"> es una aplicación web de arquitectura cliente-servidor. El </w:t>
      </w:r>
      <w:r>
        <w:rPr>
          <w:rFonts w:ascii="Times New Roman" w:hAnsi="Times New Roman"/>
          <w:b/>
          <w:sz w:val="24"/>
        </w:rPr>
        <w:t>backend</w:t>
      </w:r>
      <w:r>
        <w:rPr>
          <w:rFonts w:ascii="Times New Roman" w:hAnsi="Times New Roman"/>
          <w:sz w:val="24"/>
        </w:rPr>
        <w:t xml:space="preserve"> (Node.js/Express, base de datos SQLite) gestiona autenticación con cuatro roles (administrador, docente, estudiante e invitado), un catálogo de casos clínicos y el registro de sesiones, y orquesta las llamadas a un modelo de lenguaje de gran escala a través de su interfaz de programación. El </w:t>
      </w:r>
      <w:r>
        <w:rPr>
          <w:rFonts w:ascii="Times New Roman" w:hAnsi="Times New Roman"/>
          <w:b/>
          <w:sz w:val="24"/>
        </w:rPr>
        <w:t>frontend</w:t>
      </w:r>
      <w:r>
        <w:rPr>
          <w:rFonts w:ascii="Times New Roman" w:hAnsi="Times New Roman"/>
          <w:sz w:val="24"/>
        </w:rPr>
        <w:t xml:space="preserve"> (React) implementa el flujo del estudiante en cinco pasos: registro y elección de orientación teórica, selección de caso, entrevista conversacional, redacción de la historia clínica e informe de evaluación.</w:t>
      </w:r>
    </w:p>
    <w:p>
      <w:r>
        <w:rPr>
          <w:rFonts w:ascii="Times New Roman" w:hAnsi="Times New Roman"/>
          <w:b/>
          <w:sz w:val="24"/>
        </w:rPr>
        <w:t>Casos clínicos.</w:t>
      </w:r>
      <w:r>
        <w:rPr>
          <w:rFonts w:ascii="Times New Roman" w:hAnsi="Times New Roman"/>
          <w:sz w:val="24"/>
        </w:rPr>
        <w:t xml:space="preserve"> Cada caso se parametriza con nombre, edad, género, motivo de consulta, presentación inicial, contexto sociocultural, rasgos de personalidad, antecedentes médicos y dinámica familiar, además de metadatos de categoría (ansiedad, depresión, trauma, etc.) y nivel de dificultad (básico, intermedio, avanzado). Los docentes pueden crear, duplicar, importar y exportar casos. El estudio empleó los seis casos del catálogo base de la plataforma, que cubren un rango de motivos de consulta y grupos etarios: dificultades en las relaciones sociales (mujer, 23 años), insomnio y nerviosismo (hombre, 42), episodios de llanto y anhedonia (mujer, 35), problemas de conducta y conflictos familiares (adolescente, 17), ataques de pánico tras la jubilación (mujer, 58) y problemas de pareja con dificultad para controlar la ira (hombre, 28).</w:t>
      </w:r>
    </w:p>
    <w:p>
      <w:r>
        <w:rPr>
          <w:rFonts w:ascii="Times New Roman" w:hAnsi="Times New Roman"/>
          <w:b/>
          <w:sz w:val="24"/>
        </w:rPr>
        <w:t>Paciente simulado.</w:t>
      </w:r>
      <w:r>
        <w:rPr>
          <w:rFonts w:ascii="Times New Roman" w:hAnsi="Times New Roman"/>
          <w:sz w:val="24"/>
        </w:rPr>
        <w:t xml:space="preserve"> Durante la entrevista, el LLM recibe una instrucción de sistema que combina (a) un guion de comportamiento específico de la orientación teórica seleccionada y (b) los datos del caso. El guion psicoanalítico solicita al modelo mostrar resistencias, lapsus y asociación libre, y abrir material inconsciente solo ante intervenciones apropiadas (señalamientos, interpretaciones, análisis de la transferencia). El guion cognitivo-conductual solicita verbalizar pensamientos automáticos y distorsiones cognitivas identificables (catastrofización, lectura de pensamiento, sobregeneralización) y mostrar apertura al cambio ante técnicas TCC. El guion humanista solicita expresar incongruencia entre el yo real y el yo ideal y abrirse emocionalmente ante empatía, aceptación incondicional y congruencia. En todos los casos el modelo debe responder siempre en el rol de paciente, de manera breve y con registro coloquial.</w:t>
      </w:r>
    </w:p>
    <w:p>
      <w:r>
        <w:rPr>
          <w:rFonts w:ascii="Times New Roman" w:hAnsi="Times New Roman"/>
          <w:b/>
          <w:sz w:val="24"/>
        </w:rPr>
        <w:t>Evaluación automatizada.</w:t>
      </w:r>
      <w:r>
        <w:rPr>
          <w:rFonts w:ascii="Times New Roman" w:hAnsi="Times New Roman"/>
          <w:sz w:val="24"/>
        </w:rPr>
        <w:t xml:space="preserve"> Al finalizar, el sistema envía al modelo la transcripción completa de la entrevista junto con una instrucción que solicita el rol de "supervisor experto". El modelo califica de 1 a 10 cuatro dimensiones y devuelve, en formato estructurado (JSON), una puntuación y un comentario por dimensión más tres fortalezas y tres áreas de mejora. Las cuatro dimensiones operacionalizan un modelo de competencia de entrevista clínica: (1) </w:t>
      </w:r>
      <w:r>
        <w:rPr>
          <w:rFonts w:ascii="Times New Roman" w:hAnsi="Times New Roman"/>
          <w:i/>
          <w:sz w:val="24"/>
        </w:rPr>
        <w:t>estructura de las preguntas</w:t>
      </w:r>
      <w:r>
        <w:rPr>
          <w:rFonts w:ascii="Times New Roman" w:hAnsi="Times New Roman"/>
          <w:sz w:val="24"/>
        </w:rPr>
        <w:t xml:space="preserve"> evalúa la organización lógica y la conducción del proceso —apertura, exploración, cierre—; (2) </w:t>
      </w:r>
      <w:r>
        <w:rPr>
          <w:rFonts w:ascii="Times New Roman" w:hAnsi="Times New Roman"/>
          <w:i/>
          <w:sz w:val="24"/>
        </w:rPr>
        <w:t>técnica de entrevista</w:t>
      </w:r>
      <w:r>
        <w:rPr>
          <w:rFonts w:ascii="Times New Roman" w:hAnsi="Times New Roman"/>
          <w:sz w:val="24"/>
        </w:rPr>
        <w:t xml:space="preserve"> valora el uso de procedimientos apropiados a la orientación teórica declarada por el estudiante (por ejemplo, reflejos y empatía en el marco humanista, o identificación de pensamientos automáticos en el cognitivo-conductual); (3) </w:t>
      </w:r>
      <w:r>
        <w:rPr>
          <w:rFonts w:ascii="Times New Roman" w:hAnsi="Times New Roman"/>
          <w:i/>
          <w:sz w:val="24"/>
        </w:rPr>
        <w:t>apertura emocional</w:t>
      </w:r>
      <w:r>
        <w:rPr>
          <w:rFonts w:ascii="Times New Roman" w:hAnsi="Times New Roman"/>
          <w:sz w:val="24"/>
        </w:rPr>
        <w:t xml:space="preserve"> aprecia la capacidad de generar un espacio seguro que favorezca la expresión afectiva del paciente; y (4) </w:t>
      </w:r>
      <w:r>
        <w:rPr>
          <w:rFonts w:ascii="Times New Roman" w:hAnsi="Times New Roman"/>
          <w:i/>
          <w:sz w:val="24"/>
        </w:rPr>
        <w:t>adecuación al contexto</w:t>
      </w:r>
      <w:r>
        <w:rPr>
          <w:rFonts w:ascii="Times New Roman" w:hAnsi="Times New Roman"/>
          <w:sz w:val="24"/>
        </w:rPr>
        <w:t xml:space="preserve"> examina la consideración del contexto sociocultural en la formulación de preguntas e hipótesis. La elección de estas cuatro dimensiones busca un equilibrio entre lo técnico (1 y 2) y lo relacional-contextual (3 y 4), reconociendo que una buena entrevista no se reduce a la corrección procedimental. Esta salida constituye la retroalimentación formativa que recibe el estudiante y la unidad de análisis del presente estudio.</w:t>
      </w:r>
    </w:p>
    <w:p>
      <w:r>
        <w:rPr>
          <w:rFonts w:ascii="Times New Roman" w:hAnsi="Times New Roman"/>
          <w:b/>
          <w:sz w:val="24"/>
        </w:rPr>
        <w:t>3.3. Participantes: agentes de estudiante sintéticos</w:t>
      </w:r>
    </w:p>
    <w:p>
      <w:r>
        <w:rPr>
          <w:rFonts w:ascii="Times New Roman" w:hAnsi="Times New Roman"/>
          <w:sz w:val="24"/>
        </w:rPr>
        <w:t xml:space="preserve">A diferencia de un estudio con datos fabricados estadísticamente, las puntuaciones de este trabajo </w:t>
      </w:r>
      <w:r>
        <w:rPr>
          <w:rFonts w:ascii="Times New Roman" w:hAnsi="Times New Roman"/>
          <w:b/>
          <w:sz w:val="24"/>
        </w:rPr>
        <w:t>no se simularon con una distribución teórica</w:t>
      </w:r>
      <w:r>
        <w:rPr>
          <w:rFonts w:ascii="Times New Roman" w:hAnsi="Times New Roman"/>
          <w:sz w:val="24"/>
        </w:rPr>
        <w:t xml:space="preserve">, sino que se obtuvieron haciendo que agentes de estudiante sintéticos </w:t>
      </w:r>
      <w:r>
        <w:rPr>
          <w:rFonts w:ascii="Times New Roman" w:hAnsi="Times New Roman"/>
          <w:i/>
          <w:sz w:val="24"/>
        </w:rPr>
        <w:t>interactuaran realmente</w:t>
      </w:r>
      <w:r>
        <w:rPr>
          <w:rFonts w:ascii="Times New Roman" w:hAnsi="Times New Roman"/>
          <w:sz w:val="24"/>
        </w:rPr>
        <w:t xml:space="preserve"> con el sistema. Cada agente es a su vez un LLM, instruido para representar uno de tres </w:t>
      </w:r>
      <w:r>
        <w:rPr>
          <w:rFonts w:ascii="Times New Roman" w:hAnsi="Times New Roman"/>
          <w:b/>
          <w:sz w:val="24"/>
        </w:rPr>
        <w:t>niveles de competencia</w:t>
      </w:r>
      <w:r>
        <w:rPr>
          <w:rFonts w:ascii="Times New Roman" w:hAnsi="Times New Roman"/>
          <w:sz w:val="24"/>
        </w:rPr>
        <w:t xml:space="preserve"> de entrevistador: </w:t>
      </w:r>
      <w:r>
        <w:rPr>
          <w:rFonts w:ascii="Times New Roman" w:hAnsi="Times New Roman"/>
          <w:i/>
          <w:sz w:val="24"/>
        </w:rPr>
        <w:t>novato</w:t>
      </w:r>
      <w:r>
        <w:rPr>
          <w:rFonts w:ascii="Times New Roman" w:hAnsi="Times New Roman"/>
          <w:sz w:val="24"/>
        </w:rPr>
        <w:t xml:space="preserve"> (preguntas cerradas y vagas, cambios bruscos de tema, consejos prematuros, escasa exploración emocional y nula aplicación de técnicas propias de su orientación), </w:t>
      </w:r>
      <w:r>
        <w:rPr>
          <w:rFonts w:ascii="Times New Roman" w:hAnsi="Times New Roman"/>
          <w:i/>
          <w:sz w:val="24"/>
        </w:rPr>
        <w:t>intermedio</w:t>
      </w:r>
      <w:r>
        <w:rPr>
          <w:rFonts w:ascii="Times New Roman" w:hAnsi="Times New Roman"/>
          <w:sz w:val="24"/>
        </w:rPr>
        <w:t xml:space="preserve"> (estructura parcial, mezcla de preguntas abiertas y cerradas, empatía intermitente y aplicación inconsistente de técnicas) y </w:t>
      </w:r>
      <w:r>
        <w:rPr>
          <w:rFonts w:ascii="Times New Roman" w:hAnsi="Times New Roman"/>
          <w:i/>
          <w:sz w:val="24"/>
        </w:rPr>
        <w:t>avanzado</w:t>
      </w:r>
      <w:r>
        <w:rPr>
          <w:rFonts w:ascii="Times New Roman" w:hAnsi="Times New Roman"/>
          <w:sz w:val="24"/>
        </w:rPr>
        <w:t xml:space="preserve"> (preguntas abiertas, escucha reflexiva, exploración del afecto y del contexto, y aplicación coherente de las técnicas de su orientación). Estos niveles operan como un </w:t>
      </w:r>
      <w:r>
        <w:rPr>
          <w:rFonts w:ascii="Times New Roman" w:hAnsi="Times New Roman"/>
          <w:i/>
          <w:sz w:val="24"/>
        </w:rPr>
        <w:t>ground truth</w:t>
      </w:r>
      <w:r>
        <w:rPr>
          <w:rFonts w:ascii="Times New Roman" w:hAnsi="Times New Roman"/>
          <w:sz w:val="24"/>
        </w:rPr>
        <w:t xml:space="preserve"> aproximado de competencia, frente al cual se examina si la evaluación automática discrimina.</w:t>
      </w:r>
    </w:p>
    <w:p>
      <w:r>
        <w:rPr>
          <w:rFonts w:ascii="Times New Roman" w:hAnsi="Times New Roman"/>
          <w:sz w:val="24"/>
        </w:rPr>
        <w:t>Se generaron 60 perfiles distribuidos equitativamente entre las tres orientaciones (20 por orientación). A cada perfil se le asignó un nivel de competencia con probabilidades de 0,40 (novato), 0,40 (intermedio) y 0,20 (avanzado), simulando una cohorte realista en la que predominan estudiantes en formación inicial, y un caso clínico extraído al azar del catálogo base.</w:t>
      </w:r>
    </w:p>
    <w:p>
      <w:r>
        <w:rPr>
          <w:rFonts w:ascii="Times New Roman" w:hAnsi="Times New Roman"/>
          <w:b/>
          <w:sz w:val="24"/>
        </w:rPr>
        <w:t>3.4. Procedimiento y generación de datos</w:t>
      </w:r>
    </w:p>
    <w:p>
      <w:r>
        <w:rPr>
          <w:rFonts w:ascii="Times New Roman" w:hAnsi="Times New Roman"/>
          <w:sz w:val="24"/>
        </w:rPr>
        <w:t xml:space="preserve">Cada sesión reprodujo el flujo real de la plataforma. El paciente simulado abría la conversación con la presentación del caso; a continuación se ejecutaron cinco intercambios estudiante–paciente, en los que el agente-estudiante (condicionado por su nivel y su orientación) formulaba una intervención y el agente-paciente (condicionado por la orientación y los datos del caso) respondía. Concluido el diálogo, la transcripción completa se sometió al módulo de evaluación, que devolvió las puntuaciones en las cuatro dimensiones. Tanto los pacientes como el supervisor emplearon exactamente las mismas instrucciones de sistema que utiliza la aplicación en producción; las llamadas se realizaron a la interfaz de programación de un modelo de la familia Claude (Anthropic; modelo </w:t>
      </w:r>
      <w:r>
        <w:rPr>
          <w:rFonts w:ascii="Courier New" w:hAnsi="Courier New"/>
          <w:sz w:val="24"/>
        </w:rPr>
        <w:t>claude-sonnet-4-6</w:t>
      </w:r>
      <w:r>
        <w:rPr>
          <w:rFonts w:ascii="Times New Roman" w:hAnsi="Times New Roman"/>
          <w:sz w:val="24"/>
        </w:rPr>
        <w:t xml:space="preserve">). El procedimiento es </w:t>
      </w:r>
      <w:r>
        <w:rPr>
          <w:rFonts w:ascii="Times New Roman" w:hAnsi="Times New Roman"/>
          <w:b/>
          <w:sz w:val="24"/>
        </w:rPr>
        <w:t>reproducible</w:t>
      </w:r>
      <w:r>
        <w:rPr>
          <w:rFonts w:ascii="Times New Roman" w:hAnsi="Times New Roman"/>
          <w:sz w:val="24"/>
        </w:rPr>
        <w:t xml:space="preserve"> (semilla fija para la asignación de niveles y casos) y tanto el código de orquestación como las transcripciones y puntuaciones resultantes se encuentran disponibles en el repositorio del proyecto.</w:t>
      </w:r>
    </w:p>
    <w:p>
      <w:r>
        <w:rPr>
          <w:rFonts w:ascii="Times New Roman" w:hAnsi="Times New Roman"/>
          <w:b/>
          <w:sz w:val="24"/>
        </w:rPr>
        <w:t>3.5. Análisis estadístico</w:t>
      </w:r>
    </w:p>
    <w:p>
      <w:r>
        <w:rPr>
          <w:rFonts w:ascii="Times New Roman" w:hAnsi="Times New Roman"/>
          <w:sz w:val="24"/>
        </w:rPr>
        <w:t xml:space="preserve">La pregunta central —¿discrimina la evaluación automática los niveles de competencia del entrevistador?— se abordó comparando las puntuaciones (por dimensión y globales) entre los tres niveles. Se calcularon medias y desviaciones estándar por nivel, por dimensión y por orientación. Como medida de magnitud del efecto se empleó la </w:t>
      </w:r>
      <w:r>
        <w:rPr>
          <w:rFonts w:ascii="Times New Roman" w:hAnsi="Times New Roman"/>
          <w:i/>
          <w:sz w:val="24"/>
        </w:rPr>
        <w:t>d</w:t>
      </w:r>
      <w:r>
        <w:rPr>
          <w:rFonts w:ascii="Times New Roman" w:hAnsi="Times New Roman"/>
          <w:sz w:val="24"/>
        </w:rPr>
        <w:t xml:space="preserve"> de Cohen entre los niveles extremos (novato vs. avanzado), calculada con la desviación estándar agrupada; se prioriza el tamaño del efecto sobre las pruebas de significación, dado que el número de sesiones es un parámetro del diseño y no una muestra probabilística de una población. Los cálculos se realizaron con Python 3.12 (módulo </w:t>
      </w:r>
      <w:r>
        <w:rPr>
          <w:rFonts w:ascii="Courier New" w:hAnsi="Courier New"/>
          <w:sz w:val="24"/>
        </w:rPr>
        <w:t>statistics</w:t>
      </w:r>
      <w:r>
        <w:rPr>
          <w:rFonts w:ascii="Times New Roman" w:hAnsi="Times New Roman"/>
          <w:sz w:val="24"/>
        </w:rPr>
        <w:t xml:space="preserve"> de la biblioteca estándar); el código de análisis se incluye en el repositorio para su verificación. Dado el carácter exploratorio y sintético del estudio, los estadísticos se interpretan como </w:t>
      </w:r>
      <w:r>
        <w:rPr>
          <w:rFonts w:ascii="Times New Roman" w:hAnsi="Times New Roman"/>
          <w:b/>
          <w:sz w:val="24"/>
        </w:rPr>
        <w:t>evidencia de validez de constructo del instrumento de evaluación</w:t>
      </w:r>
      <w:r>
        <w:rPr>
          <w:rFonts w:ascii="Times New Roman" w:hAnsi="Times New Roman"/>
          <w:sz w:val="24"/>
        </w:rPr>
        <w:t xml:space="preserve"> (su capacidad de ordenar desempeños de distinta calidad), no como evidencia de eficacia formativa en personas.</w:t>
      </w:r>
    </w:p>
    <w:p>
      <w:r>
        <w:rPr>
          <w:rFonts w:ascii="Times New Roman" w:hAnsi="Times New Roman"/>
          <w:b/>
          <w:sz w:val="24"/>
        </w:rPr>
        <w:t>3.6. Consideraciones éticas</w:t>
      </w:r>
    </w:p>
    <w:p>
      <w:r>
        <w:rPr>
          <w:rFonts w:ascii="Times New Roman" w:hAnsi="Times New Roman"/>
          <w:sz w:val="24"/>
        </w:rPr>
        <w:t>El estudio no involucró seres humanos ni datos personales, por lo que no requirió aval de comité de ética. Los casos clínicos son ficticios. Se declara explícitamente la naturaleza sintética de los datos para evitar cualquier interpretación de los resultados como evidencia empírica de aprendizaje en personas. El sistema fue diseñado con salvaguardas: el modelo opera siempre en el rol de paciente de entrenamiento y la plataforma advierte que no sustituye la supervisión clínica.</w:t>
      </w:r>
    </w:p>
    <w:p>
      <w:r>
        <w:rPr>
          <w:rFonts w:ascii="Times New Roman" w:hAnsi="Times New Roman"/>
          <w:b/>
          <w:sz w:val="26"/>
        </w:rPr>
        <w:t>4. Resultados</w:t>
      </w:r>
    </w:p>
    <w:p>
      <w:r>
        <w:rPr>
          <w:rFonts w:ascii="Times New Roman" w:hAnsi="Times New Roman"/>
          <w:sz w:val="24"/>
        </w:rPr>
        <w:t>Las 60 sesiones se ejecutaron sin errores de procesamiento. Cada sesión comprendió cinco intercambios estudiante–paciente (diez turnos conversacionales) seguidos de la evaluación automática. Los seis casos del catálogo y las tres orientaciones estuvieron representados. La asignación aleatoria de niveles de competencia produjo 27 perfiles novatos, 27 intermedios y 6 avanzados, distribución coherente con las probabilidades fijadas (0,40 / 0,40 / 0,20).</w:t>
      </w:r>
    </w:p>
    <w:p>
      <w:r>
        <w:rPr>
          <w:rFonts w:ascii="Times New Roman" w:hAnsi="Times New Roman"/>
          <w:b/>
          <w:sz w:val="24"/>
        </w:rPr>
        <w:t>4.1. Discriminación de los niveles de competencia</w:t>
      </w:r>
    </w:p>
    <w:p>
      <w:r>
        <w:rPr>
          <w:rFonts w:ascii="Times New Roman" w:hAnsi="Times New Roman"/>
          <w:sz w:val="24"/>
        </w:rPr>
        <w:t xml:space="preserve">El resultado central es que la evaluación automática </w:t>
      </w:r>
      <w:r>
        <w:rPr>
          <w:rFonts w:ascii="Times New Roman" w:hAnsi="Times New Roman"/>
          <w:b/>
          <w:sz w:val="24"/>
        </w:rPr>
        <w:t>ordena con claridad los tres niveles de competencia del entrevistador</w:t>
      </w:r>
      <w:r>
        <w:rPr>
          <w:rFonts w:ascii="Times New Roman" w:hAnsi="Times New Roman"/>
          <w:sz w:val="24"/>
        </w:rPr>
        <w:t xml:space="preserve"> (Tabla 1). La puntuación global media ascendió monotónicamente de los perfiles novatos (M = 4,38; DE = 0,98) a los intermedios (M = 7,98; DE = 0,50) y a los avanzados (M = 8,54; DE = 0,17). La diferencia entre niveles extremos fue muy grande (</w:t>
      </w:r>
      <w:r>
        <w:rPr>
          <w:rFonts w:ascii="Times New Roman" w:hAnsi="Times New Roman"/>
          <w:i/>
          <w:sz w:val="24"/>
        </w:rPr>
        <w:t>d</w:t>
      </w:r>
      <w:r>
        <w:rPr>
          <w:rFonts w:ascii="Times New Roman" w:hAnsi="Times New Roman"/>
          <w:sz w:val="24"/>
        </w:rPr>
        <w:t xml:space="preserve"> de Cohen ≈ 5,92), lo que indica que el instrumento separa de manera inequívoca el desempeño deficiente del competente. El salto principal se produjo entre el nivel novato y el intermedio (+3,60 puntos), mientras que la distancia entre intermedio y avanzado fue menor (+0,56), señal de una cierta </w:t>
      </w:r>
      <w:r>
        <w:rPr>
          <w:rFonts w:ascii="Times New Roman" w:hAnsi="Times New Roman"/>
          <w:b/>
          <w:sz w:val="24"/>
        </w:rPr>
        <w:t>compresión en el extremo superior</w:t>
      </w:r>
      <w:r>
        <w:rPr>
          <w:rFonts w:ascii="Times New Roman" w:hAnsi="Times New Roman"/>
          <w:sz w:val="24"/>
        </w:rPr>
        <w:t xml:space="preserve"> de la escala: una vez que el entrevistador alcanza un desempeño adecuado, el sistema tiende a puntuar alto y discrimina menos entre lo bueno y lo excelente.</w:t>
      </w:r>
    </w:p>
    <w:p>
      <w:r>
        <w:rPr>
          <w:rFonts w:ascii="Times New Roman" w:hAnsi="Times New Roman"/>
          <w:b/>
          <w:sz w:val="24"/>
        </w:rPr>
        <w:t>Tabla 1.</w:t>
      </w:r>
      <w:r>
        <w:rPr>
          <w:rFonts w:ascii="Times New Roman" w:hAnsi="Times New Roman"/>
          <w:sz w:val="24"/>
        </w:rPr>
        <w:t xml:space="preserve"> </w:t>
      </w:r>
      <w:r>
        <w:rPr>
          <w:rFonts w:ascii="Times New Roman" w:hAnsi="Times New Roman"/>
          <w:i/>
          <w:sz w:val="24"/>
        </w:rPr>
        <w:t>Puntuación global por nivel de competencia (escala 1–10)</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Pr>
                <w:rFonts w:ascii="Times New Roman" w:hAnsi="Times New Roman"/>
                <w:b/>
                <w:sz w:val="24"/>
              </w:rPr>
            </w:r>
            <w:r>
              <w:rPr>
                <w:rFonts w:ascii="Times New Roman" w:hAnsi="Times New Roman"/>
                <w:b/>
                <w:sz w:val="24"/>
              </w:rPr>
              <w:t>Nivel</w:t>
            </w:r>
          </w:p>
        </w:tc>
        <w:tc>
          <w:tcPr>
            <w:tcW w:type="dxa" w:w="2209"/>
          </w:tcPr>
          <w:p>
            <w:r>
              <w:rPr>
                <w:rFonts w:ascii="Times New Roman" w:hAnsi="Times New Roman"/>
                <w:b/>
                <w:sz w:val="24"/>
              </w:rPr>
            </w:r>
            <w:r>
              <w:rPr>
                <w:rFonts w:ascii="Times New Roman" w:hAnsi="Times New Roman"/>
                <w:b/>
                <w:sz w:val="24"/>
              </w:rPr>
              <w:t>n</w:t>
            </w:r>
          </w:p>
        </w:tc>
        <w:tc>
          <w:tcPr>
            <w:tcW w:type="dxa" w:w="2209"/>
          </w:tcPr>
          <w:p>
            <w:r>
              <w:rPr>
                <w:rFonts w:ascii="Times New Roman" w:hAnsi="Times New Roman"/>
                <w:b/>
                <w:sz w:val="24"/>
              </w:rPr>
            </w:r>
            <w:r>
              <w:rPr>
                <w:rFonts w:ascii="Times New Roman" w:hAnsi="Times New Roman"/>
                <w:b/>
                <w:sz w:val="24"/>
              </w:rPr>
              <w:t>M</w:t>
            </w:r>
          </w:p>
        </w:tc>
        <w:tc>
          <w:tcPr>
            <w:tcW w:type="dxa" w:w="2209"/>
          </w:tcPr>
          <w:p>
            <w:r>
              <w:rPr>
                <w:rFonts w:ascii="Times New Roman" w:hAnsi="Times New Roman"/>
                <w:b/>
                <w:sz w:val="24"/>
              </w:rPr>
            </w:r>
            <w:r>
              <w:rPr>
                <w:rFonts w:ascii="Times New Roman" w:hAnsi="Times New Roman"/>
                <w:b/>
                <w:sz w:val="24"/>
              </w:rPr>
              <w:t>DE</w:t>
            </w:r>
          </w:p>
        </w:tc>
      </w:tr>
      <w:tr>
        <w:tc>
          <w:tcPr>
            <w:tcW w:type="dxa" w:w="2209"/>
          </w:tcPr>
          <w:p>
            <w:r>
              <w:rPr>
                <w:rFonts w:ascii="Times New Roman" w:hAnsi="Times New Roman"/>
                <w:sz w:val="24"/>
              </w:rPr>
            </w:r>
            <w:r>
              <w:rPr>
                <w:rFonts w:ascii="Times New Roman" w:hAnsi="Times New Roman"/>
                <w:sz w:val="24"/>
              </w:rPr>
              <w:t>Novato</w:t>
            </w:r>
          </w:p>
        </w:tc>
        <w:tc>
          <w:tcPr>
            <w:tcW w:type="dxa" w:w="2209"/>
          </w:tcPr>
          <w:p>
            <w:r>
              <w:rPr>
                <w:rFonts w:ascii="Times New Roman" w:hAnsi="Times New Roman"/>
                <w:sz w:val="24"/>
              </w:rPr>
            </w:r>
            <w:r>
              <w:rPr>
                <w:rFonts w:ascii="Times New Roman" w:hAnsi="Times New Roman"/>
                <w:sz w:val="24"/>
              </w:rPr>
              <w:t>27</w:t>
            </w:r>
          </w:p>
        </w:tc>
        <w:tc>
          <w:tcPr>
            <w:tcW w:type="dxa" w:w="2209"/>
          </w:tcPr>
          <w:p>
            <w:r>
              <w:rPr>
                <w:rFonts w:ascii="Times New Roman" w:hAnsi="Times New Roman"/>
                <w:sz w:val="24"/>
              </w:rPr>
            </w:r>
            <w:r>
              <w:rPr>
                <w:rFonts w:ascii="Times New Roman" w:hAnsi="Times New Roman"/>
                <w:sz w:val="24"/>
              </w:rPr>
              <w:t>4,38</w:t>
            </w:r>
          </w:p>
        </w:tc>
        <w:tc>
          <w:tcPr>
            <w:tcW w:type="dxa" w:w="2209"/>
          </w:tcPr>
          <w:p>
            <w:r>
              <w:rPr>
                <w:rFonts w:ascii="Times New Roman" w:hAnsi="Times New Roman"/>
                <w:sz w:val="24"/>
              </w:rPr>
            </w:r>
            <w:r>
              <w:rPr>
                <w:rFonts w:ascii="Times New Roman" w:hAnsi="Times New Roman"/>
                <w:sz w:val="24"/>
              </w:rPr>
              <w:t>0,98</w:t>
            </w:r>
          </w:p>
        </w:tc>
      </w:tr>
      <w:tr>
        <w:tc>
          <w:tcPr>
            <w:tcW w:type="dxa" w:w="2209"/>
          </w:tcPr>
          <w:p>
            <w:r>
              <w:rPr>
                <w:rFonts w:ascii="Times New Roman" w:hAnsi="Times New Roman"/>
                <w:sz w:val="24"/>
              </w:rPr>
            </w:r>
            <w:r>
              <w:rPr>
                <w:rFonts w:ascii="Times New Roman" w:hAnsi="Times New Roman"/>
                <w:sz w:val="24"/>
              </w:rPr>
              <w:t>Intermedio</w:t>
            </w:r>
          </w:p>
        </w:tc>
        <w:tc>
          <w:tcPr>
            <w:tcW w:type="dxa" w:w="2209"/>
          </w:tcPr>
          <w:p>
            <w:r>
              <w:rPr>
                <w:rFonts w:ascii="Times New Roman" w:hAnsi="Times New Roman"/>
                <w:sz w:val="24"/>
              </w:rPr>
            </w:r>
            <w:r>
              <w:rPr>
                <w:rFonts w:ascii="Times New Roman" w:hAnsi="Times New Roman"/>
                <w:sz w:val="24"/>
              </w:rPr>
              <w:t>27</w:t>
            </w:r>
          </w:p>
        </w:tc>
        <w:tc>
          <w:tcPr>
            <w:tcW w:type="dxa" w:w="2209"/>
          </w:tcPr>
          <w:p>
            <w:r>
              <w:rPr>
                <w:rFonts w:ascii="Times New Roman" w:hAnsi="Times New Roman"/>
                <w:sz w:val="24"/>
              </w:rPr>
            </w:r>
            <w:r>
              <w:rPr>
                <w:rFonts w:ascii="Times New Roman" w:hAnsi="Times New Roman"/>
                <w:sz w:val="24"/>
              </w:rPr>
              <w:t>7,98</w:t>
            </w:r>
          </w:p>
        </w:tc>
        <w:tc>
          <w:tcPr>
            <w:tcW w:type="dxa" w:w="2209"/>
          </w:tcPr>
          <w:p>
            <w:r>
              <w:rPr>
                <w:rFonts w:ascii="Times New Roman" w:hAnsi="Times New Roman"/>
                <w:sz w:val="24"/>
              </w:rPr>
            </w:r>
            <w:r>
              <w:rPr>
                <w:rFonts w:ascii="Times New Roman" w:hAnsi="Times New Roman"/>
                <w:sz w:val="24"/>
              </w:rPr>
              <w:t>0,50</w:t>
            </w:r>
          </w:p>
        </w:tc>
      </w:tr>
      <w:tr>
        <w:tc>
          <w:tcPr>
            <w:tcW w:type="dxa" w:w="2209"/>
          </w:tcPr>
          <w:p>
            <w:r>
              <w:rPr>
                <w:rFonts w:ascii="Times New Roman" w:hAnsi="Times New Roman"/>
                <w:sz w:val="24"/>
              </w:rPr>
            </w:r>
            <w:r>
              <w:rPr>
                <w:rFonts w:ascii="Times New Roman" w:hAnsi="Times New Roman"/>
                <w:sz w:val="24"/>
              </w:rPr>
              <w:t>Avanzado</w:t>
            </w:r>
          </w:p>
        </w:tc>
        <w:tc>
          <w:tcPr>
            <w:tcW w:type="dxa" w:w="2209"/>
          </w:tcPr>
          <w:p>
            <w:r>
              <w:rPr>
                <w:rFonts w:ascii="Times New Roman" w:hAnsi="Times New Roman"/>
                <w:sz w:val="24"/>
              </w:rPr>
            </w:r>
            <w:r>
              <w:rPr>
                <w:rFonts w:ascii="Times New Roman" w:hAnsi="Times New Roman"/>
                <w:sz w:val="24"/>
              </w:rPr>
              <w:t>6</w:t>
            </w:r>
          </w:p>
        </w:tc>
        <w:tc>
          <w:tcPr>
            <w:tcW w:type="dxa" w:w="2209"/>
          </w:tcPr>
          <w:p>
            <w:r>
              <w:rPr>
                <w:rFonts w:ascii="Times New Roman" w:hAnsi="Times New Roman"/>
                <w:sz w:val="24"/>
              </w:rPr>
            </w:r>
            <w:r>
              <w:rPr>
                <w:rFonts w:ascii="Times New Roman" w:hAnsi="Times New Roman"/>
                <w:sz w:val="24"/>
              </w:rPr>
              <w:t>8,54</w:t>
            </w:r>
          </w:p>
        </w:tc>
        <w:tc>
          <w:tcPr>
            <w:tcW w:type="dxa" w:w="2209"/>
          </w:tcPr>
          <w:p>
            <w:r>
              <w:rPr>
                <w:rFonts w:ascii="Times New Roman" w:hAnsi="Times New Roman"/>
                <w:sz w:val="24"/>
              </w:rPr>
            </w:r>
            <w:r>
              <w:rPr>
                <w:rFonts w:ascii="Times New Roman" w:hAnsi="Times New Roman"/>
                <w:sz w:val="24"/>
              </w:rPr>
              <w:t>0,17</w:t>
            </w:r>
          </w:p>
        </w:tc>
      </w:tr>
    </w:tbl>
    <w:p/>
    <w:p>
      <w:r>
        <w:rPr>
          <w:rFonts w:ascii="Times New Roman" w:hAnsi="Times New Roman"/>
          <w:i/>
          <w:sz w:val="24"/>
        </w:rPr>
        <w:t>Nota.</w:t>
      </w:r>
      <w:r>
        <w:rPr>
          <w:rFonts w:ascii="Times New Roman" w:hAnsi="Times New Roman"/>
          <w:sz w:val="24"/>
        </w:rPr>
        <w:t xml:space="preserve"> Escala de 1 a 10. </w:t>
      </w:r>
      <w:r>
        <w:rPr>
          <w:rFonts w:ascii="Times New Roman" w:hAnsi="Times New Roman"/>
          <w:i/>
          <w:sz w:val="24"/>
        </w:rPr>
        <w:t>d</w:t>
      </w:r>
      <w:r>
        <w:rPr>
          <w:rFonts w:ascii="Times New Roman" w:hAnsi="Times New Roman"/>
          <w:sz w:val="24"/>
        </w:rPr>
        <w:t xml:space="preserve"> de Cohen (novato vs. avanzado) = 5,92. M = media; DE = desviación estándar; n = número de sesiones.</w:t>
      </w:r>
    </w:p>
    <w:p>
      <w:r>
        <w:rPr>
          <w:rFonts w:ascii="Times New Roman" w:hAnsi="Times New Roman"/>
          <w:b/>
          <w:sz w:val="24"/>
        </w:rPr>
        <w:t>4.2. Sensibilidad por dimensión</w:t>
      </w:r>
    </w:p>
    <w:p>
      <w:r>
        <w:rPr>
          <w:rFonts w:ascii="Times New Roman" w:hAnsi="Times New Roman"/>
          <w:sz w:val="24"/>
        </w:rPr>
        <w:t xml:space="preserve">El patrón de discriminación se reprodujo en las cuatro dimensiones, aunque con distinta amplitud (Tabla 2; Figura 1). La mayor capacidad de discriminación correspondió a </w:t>
      </w:r>
      <w:r>
        <w:rPr>
          <w:rFonts w:ascii="Times New Roman" w:hAnsi="Times New Roman"/>
          <w:i/>
          <w:sz w:val="24"/>
        </w:rPr>
        <w:t>técnica de entrevista</w:t>
      </w:r>
      <w:r>
        <w:rPr>
          <w:rFonts w:ascii="Times New Roman" w:hAnsi="Times New Roman"/>
          <w:sz w:val="24"/>
        </w:rPr>
        <w:t xml:space="preserve"> (de 3,30 en novatos a 8,67 en avanzados; un rango de 5,37 puntos), lo que es teóricamente esperable: la aplicación de técnicas propias de cada orientación es el rasgo que más nítidamente separa a un entrevistador formado de uno principiante. La dimensión más comprimida fue </w:t>
      </w:r>
      <w:r>
        <w:rPr>
          <w:rFonts w:ascii="Times New Roman" w:hAnsi="Times New Roman"/>
          <w:i/>
          <w:sz w:val="24"/>
        </w:rPr>
        <w:t>adecuación al contexto</w:t>
      </w:r>
      <w:r>
        <w:rPr>
          <w:rFonts w:ascii="Times New Roman" w:hAnsi="Times New Roman"/>
          <w:sz w:val="24"/>
        </w:rPr>
        <w:t xml:space="preserve"> (de 4,74 a 7,33; rango de 2,59 puntos), lo que sugiere que la consideración del contexto sociocultural es más difícil de evidenciar —y de puntuar— en entrevistas breves, o que el evaluador dispone de menos señales textuales para discriminarla. </w:t>
      </w:r>
      <w:r>
        <w:rPr>
          <w:rFonts w:ascii="Times New Roman" w:hAnsi="Times New Roman"/>
          <w:i/>
          <w:sz w:val="24"/>
        </w:rPr>
        <w:t>Apertura emocional</w:t>
      </w:r>
      <w:r>
        <w:rPr>
          <w:rFonts w:ascii="Times New Roman" w:hAnsi="Times New Roman"/>
          <w:sz w:val="24"/>
        </w:rPr>
        <w:t xml:space="preserve"> obtuvo las puntuaciones absolutas más altas en todos los niveles, incluido el avanzado (M = 9,50).</w:t>
      </w:r>
    </w:p>
    <w:p>
      <w:r>
        <w:rPr>
          <w:rFonts w:ascii="Times New Roman" w:hAnsi="Times New Roman"/>
          <w:b/>
          <w:sz w:val="24"/>
        </w:rPr>
        <w:t>Tabla 2.</w:t>
      </w:r>
      <w:r>
        <w:rPr>
          <w:rFonts w:ascii="Times New Roman" w:hAnsi="Times New Roman"/>
          <w:sz w:val="24"/>
        </w:rPr>
        <w:t xml:space="preserve"> </w:t>
      </w:r>
      <w:r>
        <w:rPr>
          <w:rFonts w:ascii="Times New Roman" w:hAnsi="Times New Roman"/>
          <w:i/>
          <w:sz w:val="24"/>
        </w:rPr>
        <w:t>Medias por dimensión y nivel de competencia (escala 1–10)</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Pr>
                <w:rFonts w:ascii="Times New Roman" w:hAnsi="Times New Roman"/>
                <w:b/>
                <w:sz w:val="24"/>
              </w:rPr>
            </w:r>
            <w:r>
              <w:rPr>
                <w:rFonts w:ascii="Times New Roman" w:hAnsi="Times New Roman"/>
                <w:b/>
                <w:sz w:val="24"/>
              </w:rPr>
              <w:t>Dimensión</w:t>
            </w:r>
          </w:p>
        </w:tc>
        <w:tc>
          <w:tcPr>
            <w:tcW w:type="dxa" w:w="2209"/>
          </w:tcPr>
          <w:p>
            <w:r>
              <w:rPr>
                <w:rFonts w:ascii="Times New Roman" w:hAnsi="Times New Roman"/>
                <w:b/>
                <w:sz w:val="24"/>
              </w:rPr>
            </w:r>
            <w:r>
              <w:rPr>
                <w:rFonts w:ascii="Times New Roman" w:hAnsi="Times New Roman"/>
                <w:b/>
                <w:sz w:val="24"/>
              </w:rPr>
              <w:t>Novato</w:t>
            </w:r>
          </w:p>
        </w:tc>
        <w:tc>
          <w:tcPr>
            <w:tcW w:type="dxa" w:w="2209"/>
          </w:tcPr>
          <w:p>
            <w:r>
              <w:rPr>
                <w:rFonts w:ascii="Times New Roman" w:hAnsi="Times New Roman"/>
                <w:b/>
                <w:sz w:val="24"/>
              </w:rPr>
            </w:r>
            <w:r>
              <w:rPr>
                <w:rFonts w:ascii="Times New Roman" w:hAnsi="Times New Roman"/>
                <w:b/>
                <w:sz w:val="24"/>
              </w:rPr>
              <w:t>Intermedio</w:t>
            </w:r>
          </w:p>
        </w:tc>
        <w:tc>
          <w:tcPr>
            <w:tcW w:type="dxa" w:w="2209"/>
          </w:tcPr>
          <w:p>
            <w:r>
              <w:rPr>
                <w:rFonts w:ascii="Times New Roman" w:hAnsi="Times New Roman"/>
                <w:b/>
                <w:sz w:val="24"/>
              </w:rPr>
            </w:r>
            <w:r>
              <w:rPr>
                <w:rFonts w:ascii="Times New Roman" w:hAnsi="Times New Roman"/>
                <w:b/>
                <w:sz w:val="24"/>
              </w:rPr>
              <w:t>Avanzado</w:t>
            </w:r>
          </w:p>
        </w:tc>
      </w:tr>
      <w:tr>
        <w:tc>
          <w:tcPr>
            <w:tcW w:type="dxa" w:w="2209"/>
          </w:tcPr>
          <w:p>
            <w:r>
              <w:rPr>
                <w:rFonts w:ascii="Times New Roman" w:hAnsi="Times New Roman"/>
                <w:sz w:val="24"/>
              </w:rPr>
            </w:r>
            <w:r>
              <w:rPr>
                <w:rFonts w:ascii="Times New Roman" w:hAnsi="Times New Roman"/>
                <w:sz w:val="24"/>
              </w:rPr>
              <w:t>Estructura de las preguntas</w:t>
            </w:r>
          </w:p>
        </w:tc>
        <w:tc>
          <w:tcPr>
            <w:tcW w:type="dxa" w:w="2209"/>
          </w:tcPr>
          <w:p>
            <w:r>
              <w:rPr>
                <w:rFonts w:ascii="Times New Roman" w:hAnsi="Times New Roman"/>
                <w:sz w:val="24"/>
              </w:rPr>
            </w:r>
            <w:r>
              <w:rPr>
                <w:rFonts w:ascii="Times New Roman" w:hAnsi="Times New Roman"/>
                <w:sz w:val="24"/>
              </w:rPr>
              <w:t>4,48</w:t>
            </w:r>
          </w:p>
        </w:tc>
        <w:tc>
          <w:tcPr>
            <w:tcW w:type="dxa" w:w="2209"/>
          </w:tcPr>
          <w:p>
            <w:r>
              <w:rPr>
                <w:rFonts w:ascii="Times New Roman" w:hAnsi="Times New Roman"/>
                <w:sz w:val="24"/>
              </w:rPr>
            </w:r>
            <w:r>
              <w:rPr>
                <w:rFonts w:ascii="Times New Roman" w:hAnsi="Times New Roman"/>
                <w:sz w:val="24"/>
              </w:rPr>
              <w:t>8,44</w:t>
            </w:r>
          </w:p>
        </w:tc>
        <w:tc>
          <w:tcPr>
            <w:tcW w:type="dxa" w:w="2209"/>
          </w:tcPr>
          <w:p>
            <w:r>
              <w:rPr>
                <w:rFonts w:ascii="Times New Roman" w:hAnsi="Times New Roman"/>
                <w:sz w:val="24"/>
              </w:rPr>
            </w:r>
            <w:r>
              <w:rPr>
                <w:rFonts w:ascii="Times New Roman" w:hAnsi="Times New Roman"/>
                <w:sz w:val="24"/>
              </w:rPr>
              <w:t>8,67</w:t>
            </w:r>
          </w:p>
        </w:tc>
      </w:tr>
      <w:tr>
        <w:tc>
          <w:tcPr>
            <w:tcW w:type="dxa" w:w="2209"/>
          </w:tcPr>
          <w:p>
            <w:r>
              <w:rPr>
                <w:rFonts w:ascii="Times New Roman" w:hAnsi="Times New Roman"/>
                <w:sz w:val="24"/>
              </w:rPr>
            </w:r>
            <w:r>
              <w:rPr>
                <w:rFonts w:ascii="Times New Roman" w:hAnsi="Times New Roman"/>
                <w:sz w:val="24"/>
              </w:rPr>
              <w:t>Técnica de entrevista</w:t>
            </w:r>
          </w:p>
        </w:tc>
        <w:tc>
          <w:tcPr>
            <w:tcW w:type="dxa" w:w="2209"/>
          </w:tcPr>
          <w:p>
            <w:r>
              <w:rPr>
                <w:rFonts w:ascii="Times New Roman" w:hAnsi="Times New Roman"/>
                <w:sz w:val="24"/>
              </w:rPr>
            </w:r>
            <w:r>
              <w:rPr>
                <w:rFonts w:ascii="Times New Roman" w:hAnsi="Times New Roman"/>
                <w:sz w:val="24"/>
              </w:rPr>
              <w:t>3,30</w:t>
            </w:r>
          </w:p>
        </w:tc>
        <w:tc>
          <w:tcPr>
            <w:tcW w:type="dxa" w:w="2209"/>
          </w:tcPr>
          <w:p>
            <w:r>
              <w:rPr>
                <w:rFonts w:ascii="Times New Roman" w:hAnsi="Times New Roman"/>
                <w:sz w:val="24"/>
              </w:rPr>
            </w:r>
            <w:r>
              <w:rPr>
                <w:rFonts w:ascii="Times New Roman" w:hAnsi="Times New Roman"/>
                <w:sz w:val="24"/>
              </w:rPr>
              <w:t>8,07</w:t>
            </w:r>
          </w:p>
        </w:tc>
        <w:tc>
          <w:tcPr>
            <w:tcW w:type="dxa" w:w="2209"/>
          </w:tcPr>
          <w:p>
            <w:r>
              <w:rPr>
                <w:rFonts w:ascii="Times New Roman" w:hAnsi="Times New Roman"/>
                <w:sz w:val="24"/>
              </w:rPr>
            </w:r>
            <w:r>
              <w:rPr>
                <w:rFonts w:ascii="Times New Roman" w:hAnsi="Times New Roman"/>
                <w:sz w:val="24"/>
              </w:rPr>
              <w:t>8,67</w:t>
            </w:r>
          </w:p>
        </w:tc>
      </w:tr>
      <w:tr>
        <w:tc>
          <w:tcPr>
            <w:tcW w:type="dxa" w:w="2209"/>
          </w:tcPr>
          <w:p>
            <w:r>
              <w:rPr>
                <w:rFonts w:ascii="Times New Roman" w:hAnsi="Times New Roman"/>
                <w:sz w:val="24"/>
              </w:rPr>
            </w:r>
            <w:r>
              <w:rPr>
                <w:rFonts w:ascii="Times New Roman" w:hAnsi="Times New Roman"/>
                <w:sz w:val="24"/>
              </w:rPr>
              <w:t>Apertura emocional</w:t>
            </w:r>
          </w:p>
        </w:tc>
        <w:tc>
          <w:tcPr>
            <w:tcW w:type="dxa" w:w="2209"/>
          </w:tcPr>
          <w:p>
            <w:r>
              <w:rPr>
                <w:rFonts w:ascii="Times New Roman" w:hAnsi="Times New Roman"/>
                <w:sz w:val="24"/>
              </w:rPr>
            </w:r>
            <w:r>
              <w:rPr>
                <w:rFonts w:ascii="Times New Roman" w:hAnsi="Times New Roman"/>
                <w:sz w:val="24"/>
              </w:rPr>
              <w:t>5,00</w:t>
            </w:r>
          </w:p>
        </w:tc>
        <w:tc>
          <w:tcPr>
            <w:tcW w:type="dxa" w:w="2209"/>
          </w:tcPr>
          <w:p>
            <w:r>
              <w:rPr>
                <w:rFonts w:ascii="Times New Roman" w:hAnsi="Times New Roman"/>
                <w:sz w:val="24"/>
              </w:rPr>
            </w:r>
            <w:r>
              <w:rPr>
                <w:rFonts w:ascii="Times New Roman" w:hAnsi="Times New Roman"/>
                <w:sz w:val="24"/>
              </w:rPr>
              <w:t>8,74</w:t>
            </w:r>
          </w:p>
        </w:tc>
        <w:tc>
          <w:tcPr>
            <w:tcW w:type="dxa" w:w="2209"/>
          </w:tcPr>
          <w:p>
            <w:r>
              <w:rPr>
                <w:rFonts w:ascii="Times New Roman" w:hAnsi="Times New Roman"/>
                <w:sz w:val="24"/>
              </w:rPr>
            </w:r>
            <w:r>
              <w:rPr>
                <w:rFonts w:ascii="Times New Roman" w:hAnsi="Times New Roman"/>
                <w:sz w:val="24"/>
              </w:rPr>
              <w:t>9,50</w:t>
            </w:r>
          </w:p>
        </w:tc>
      </w:tr>
      <w:tr>
        <w:tc>
          <w:tcPr>
            <w:tcW w:type="dxa" w:w="2209"/>
          </w:tcPr>
          <w:p>
            <w:r>
              <w:rPr>
                <w:rFonts w:ascii="Times New Roman" w:hAnsi="Times New Roman"/>
                <w:sz w:val="24"/>
              </w:rPr>
            </w:r>
            <w:r>
              <w:rPr>
                <w:rFonts w:ascii="Times New Roman" w:hAnsi="Times New Roman"/>
                <w:sz w:val="24"/>
              </w:rPr>
              <w:t>Adecuación al contexto</w:t>
            </w:r>
          </w:p>
        </w:tc>
        <w:tc>
          <w:tcPr>
            <w:tcW w:type="dxa" w:w="2209"/>
          </w:tcPr>
          <w:p>
            <w:r>
              <w:rPr>
                <w:rFonts w:ascii="Times New Roman" w:hAnsi="Times New Roman"/>
                <w:sz w:val="24"/>
              </w:rPr>
            </w:r>
            <w:r>
              <w:rPr>
                <w:rFonts w:ascii="Times New Roman" w:hAnsi="Times New Roman"/>
                <w:sz w:val="24"/>
              </w:rPr>
              <w:t>4,74</w:t>
            </w:r>
          </w:p>
        </w:tc>
        <w:tc>
          <w:tcPr>
            <w:tcW w:type="dxa" w:w="2209"/>
          </w:tcPr>
          <w:p>
            <w:r>
              <w:rPr>
                <w:rFonts w:ascii="Times New Roman" w:hAnsi="Times New Roman"/>
                <w:sz w:val="24"/>
              </w:rPr>
            </w:r>
            <w:r>
              <w:rPr>
                <w:rFonts w:ascii="Times New Roman" w:hAnsi="Times New Roman"/>
                <w:sz w:val="24"/>
              </w:rPr>
              <w:t>6,67</w:t>
            </w:r>
          </w:p>
        </w:tc>
        <w:tc>
          <w:tcPr>
            <w:tcW w:type="dxa" w:w="2209"/>
          </w:tcPr>
          <w:p>
            <w:r>
              <w:rPr>
                <w:rFonts w:ascii="Times New Roman" w:hAnsi="Times New Roman"/>
                <w:sz w:val="24"/>
              </w:rPr>
            </w:r>
            <w:r>
              <w:rPr>
                <w:rFonts w:ascii="Times New Roman" w:hAnsi="Times New Roman"/>
                <w:sz w:val="24"/>
              </w:rPr>
              <w:t>7,33</w:t>
            </w:r>
          </w:p>
        </w:tc>
      </w:tr>
    </w:tbl>
    <w:p/>
    <w:p>
      <w:r>
        <w:rPr>
          <w:rFonts w:ascii="Times New Roman" w:hAnsi="Times New Roman"/>
          <w:i/>
          <w:sz w:val="24"/>
        </w:rPr>
        <w:t>Nota.</w:t>
      </w:r>
      <w:r>
        <w:rPr>
          <w:rFonts w:ascii="Times New Roman" w:hAnsi="Times New Roman"/>
          <w:sz w:val="24"/>
        </w:rPr>
        <w:t xml:space="preserve"> Escala de 1 a 10. Valores promediados sobre las sesiones de cada nivel (novato n = 27; intermedio n = 27; avanzado n = 6).</w:t>
      </w:r>
    </w:p>
    <w:p>
      <w:r>
        <w:rPr>
          <w:rFonts w:ascii="Times New Roman" w:hAnsi="Times New Roman"/>
          <w:b/>
          <w:sz w:val="24"/>
        </w:rPr>
        <w:t>Figura 1.</w:t>
      </w:r>
      <w:r>
        <w:rPr>
          <w:rFonts w:ascii="Times New Roman" w:hAnsi="Times New Roman"/>
          <w:sz w:val="24"/>
        </w:rPr>
        <w:t xml:space="preserve"> </w:t>
      </w:r>
      <w:r>
        <w:rPr>
          <w:rFonts w:ascii="Times New Roman" w:hAnsi="Times New Roman"/>
          <w:i/>
          <w:sz w:val="24"/>
        </w:rPr>
        <w:t>Puntuación media por dimensión y nivel de competencia</w:t>
      </w:r>
    </w:p>
    <w:p>
      <w:pPr>
        <w:jc w:val="center"/>
      </w:pPr>
      <w:r>
        <w:drawing>
          <wp:inline xmlns:a="http://schemas.openxmlformats.org/drawingml/2006/main" xmlns:pic="http://schemas.openxmlformats.org/drawingml/2006/picture">
            <wp:extent cx="5486400" cy="3242899"/>
            <wp:docPr id="1" name="Picture 1"/>
            <wp:cNvGraphicFramePr>
              <a:graphicFrameLocks noChangeAspect="1"/>
            </wp:cNvGraphicFramePr>
            <a:graphic>
              <a:graphicData uri="http://schemas.openxmlformats.org/drawingml/2006/picture">
                <pic:pic>
                  <pic:nvPicPr>
                    <pic:cNvPr id="0" name="figura1_dimensiones_nivel.png"/>
                    <pic:cNvPicPr/>
                  </pic:nvPicPr>
                  <pic:blipFill>
                    <a:blip r:embed="rId9"/>
                    <a:stretch>
                      <a:fillRect/>
                    </a:stretch>
                  </pic:blipFill>
                  <pic:spPr>
                    <a:xfrm>
                      <a:off x="0" y="0"/>
                      <a:ext cx="5486400" cy="3242899"/>
                    </a:xfrm>
                    <a:prstGeom prst="rect"/>
                  </pic:spPr>
                </pic:pic>
              </a:graphicData>
            </a:graphic>
          </wp:inline>
        </w:drawing>
      </w:r>
    </w:p>
    <w:p>
      <w:r>
        <w:rPr>
          <w:rFonts w:ascii="Times New Roman" w:hAnsi="Times New Roman"/>
          <w:i/>
          <w:sz w:val="24"/>
        </w:rPr>
        <w:t>Nota.</w:t>
      </w:r>
      <w:r>
        <w:rPr>
          <w:rFonts w:ascii="Times New Roman" w:hAnsi="Times New Roman"/>
          <w:sz w:val="24"/>
        </w:rPr>
        <w:t xml:space="preserve"> La figura muestra el incremento monotónico de las puntuaciones del nivel novato al avanzado en las cuatro dimensiones evaluadas. La mayor separación entre niveles se observa en </w:t>
      </w:r>
      <w:r>
        <w:rPr>
          <w:rFonts w:ascii="Times New Roman" w:hAnsi="Times New Roman"/>
          <w:i/>
          <w:sz w:val="24"/>
        </w:rPr>
        <w:t>técnica de entrevista</w:t>
      </w:r>
      <w:r>
        <w:rPr>
          <w:rFonts w:ascii="Times New Roman" w:hAnsi="Times New Roman"/>
          <w:sz w:val="24"/>
        </w:rPr>
        <w:t xml:space="preserve"> y la menor en </w:t>
      </w:r>
      <w:r>
        <w:rPr>
          <w:rFonts w:ascii="Times New Roman" w:hAnsi="Times New Roman"/>
          <w:i/>
          <w:sz w:val="24"/>
        </w:rPr>
        <w:t>adecuación al contexto</w:t>
      </w:r>
      <w:r>
        <w:rPr>
          <w:rFonts w:ascii="Times New Roman" w:hAnsi="Times New Roman"/>
          <w:sz w:val="24"/>
        </w:rPr>
        <w:t>. Archivo fuente en alta resolución (300 ppp) disponible en el repositorio.</w:t>
      </w:r>
    </w:p>
    <w:p>
      <w:r>
        <w:rPr>
          <w:rFonts w:ascii="Times New Roman" w:hAnsi="Times New Roman"/>
          <w:b/>
          <w:sz w:val="24"/>
        </w:rPr>
        <w:t>4.3. Comportamiento por orientación teórica</w:t>
      </w:r>
    </w:p>
    <w:p>
      <w:r>
        <w:rPr>
          <w:rFonts w:ascii="Times New Roman" w:hAnsi="Times New Roman"/>
          <w:sz w:val="24"/>
        </w:rPr>
        <w:t xml:space="preserve">Las puntuaciones globales por orientación (Tabla 3) fueron comparables, con una diferencia de menos de un punto entre la más alta (humanista, M = 6,81) y la más baja (psicoanalítica, M = 5,76). La mayor dispersión se observó en la orientación psicoanalítica (DE = 2,09), lo que sugiere que el desempeño en esta orientación fue más sensible al nivel de competencia del agente: ejecutar y hacer reconocibles intervenciones psicoanalíticas (señalamientos, manejo de la transferencia) en cinco intercambios resulta más exigente que verbalizar técnicas cognitivo-conductuales o actitudes humanistas, más explícitas y de reconocimiento más directo. Dado que la distribución de niveles varió por azar entre orientaciones, estas diferencias deben leerse como </w:t>
      </w:r>
      <w:r>
        <w:rPr>
          <w:rFonts w:ascii="Times New Roman" w:hAnsi="Times New Roman"/>
          <w:b/>
          <w:sz w:val="24"/>
        </w:rPr>
        <w:t>hipótesis exploratorias</w:t>
      </w:r>
      <w:r>
        <w:rPr>
          <w:rFonts w:ascii="Times New Roman" w:hAnsi="Times New Roman"/>
          <w:sz w:val="24"/>
        </w:rPr>
        <w:t xml:space="preserve"> y no como una jerarquía de dificultad: la </w:t>
      </w:r>
      <w:r>
        <w:rPr>
          <w:rFonts w:ascii="Times New Roman" w:hAnsi="Times New Roman"/>
          <w:i/>
          <w:sz w:val="24"/>
        </w:rPr>
        <w:t>puntuabilidad</w:t>
      </w:r>
      <w:r>
        <w:rPr>
          <w:rFonts w:ascii="Times New Roman" w:hAnsi="Times New Roman"/>
          <w:sz w:val="24"/>
        </w:rPr>
        <w:t xml:space="preserve"> de una orientación por un evaluador automático no equivale a su </w:t>
      </w:r>
      <w:r>
        <w:rPr>
          <w:rFonts w:ascii="Times New Roman" w:hAnsi="Times New Roman"/>
          <w:i/>
          <w:sz w:val="24"/>
        </w:rPr>
        <w:t>dificultad clínica</w:t>
      </w:r>
      <w:r>
        <w:rPr>
          <w:rFonts w:ascii="Times New Roman" w:hAnsi="Times New Roman"/>
          <w:sz w:val="24"/>
        </w:rPr>
        <w:t>.</w:t>
      </w:r>
    </w:p>
    <w:p>
      <w:r>
        <w:rPr>
          <w:rFonts w:ascii="Times New Roman" w:hAnsi="Times New Roman"/>
          <w:b/>
          <w:sz w:val="24"/>
        </w:rPr>
        <w:t>Tabla 3.</w:t>
      </w:r>
      <w:r>
        <w:rPr>
          <w:rFonts w:ascii="Times New Roman" w:hAnsi="Times New Roman"/>
          <w:sz w:val="24"/>
        </w:rPr>
        <w:t xml:space="preserve"> </w:t>
      </w:r>
      <w:r>
        <w:rPr>
          <w:rFonts w:ascii="Times New Roman" w:hAnsi="Times New Roman"/>
          <w:i/>
          <w:sz w:val="24"/>
        </w:rPr>
        <w:t>Puntuación global por orientación teórica (escala 1–10)</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Pr>
                <w:rFonts w:ascii="Times New Roman" w:hAnsi="Times New Roman"/>
                <w:b/>
                <w:sz w:val="24"/>
              </w:rPr>
            </w:r>
            <w:r>
              <w:rPr>
                <w:rFonts w:ascii="Times New Roman" w:hAnsi="Times New Roman"/>
                <w:b/>
                <w:sz w:val="24"/>
              </w:rPr>
              <w:t>Orientación</w:t>
            </w:r>
          </w:p>
        </w:tc>
        <w:tc>
          <w:tcPr>
            <w:tcW w:type="dxa" w:w="2209"/>
          </w:tcPr>
          <w:p>
            <w:r>
              <w:rPr>
                <w:rFonts w:ascii="Times New Roman" w:hAnsi="Times New Roman"/>
                <w:b/>
                <w:sz w:val="24"/>
              </w:rPr>
            </w:r>
            <w:r>
              <w:rPr>
                <w:rFonts w:ascii="Times New Roman" w:hAnsi="Times New Roman"/>
                <w:b/>
                <w:sz w:val="24"/>
              </w:rPr>
              <w:t>n</w:t>
            </w:r>
          </w:p>
        </w:tc>
        <w:tc>
          <w:tcPr>
            <w:tcW w:type="dxa" w:w="2209"/>
          </w:tcPr>
          <w:p>
            <w:r>
              <w:rPr>
                <w:rFonts w:ascii="Times New Roman" w:hAnsi="Times New Roman"/>
                <w:b/>
                <w:sz w:val="24"/>
              </w:rPr>
            </w:r>
            <w:r>
              <w:rPr>
                <w:rFonts w:ascii="Times New Roman" w:hAnsi="Times New Roman"/>
                <w:b/>
                <w:sz w:val="24"/>
              </w:rPr>
              <w:t>M</w:t>
            </w:r>
          </w:p>
        </w:tc>
        <w:tc>
          <w:tcPr>
            <w:tcW w:type="dxa" w:w="2209"/>
          </w:tcPr>
          <w:p>
            <w:r>
              <w:rPr>
                <w:rFonts w:ascii="Times New Roman" w:hAnsi="Times New Roman"/>
                <w:b/>
                <w:sz w:val="24"/>
              </w:rPr>
            </w:r>
            <w:r>
              <w:rPr>
                <w:rFonts w:ascii="Times New Roman" w:hAnsi="Times New Roman"/>
                <w:b/>
                <w:sz w:val="24"/>
              </w:rPr>
              <w:t>DE</w:t>
            </w:r>
          </w:p>
        </w:tc>
      </w:tr>
      <w:tr>
        <w:tc>
          <w:tcPr>
            <w:tcW w:type="dxa" w:w="2209"/>
          </w:tcPr>
          <w:p>
            <w:r>
              <w:rPr>
                <w:rFonts w:ascii="Times New Roman" w:hAnsi="Times New Roman"/>
                <w:sz w:val="24"/>
              </w:rPr>
            </w:r>
            <w:r>
              <w:rPr>
                <w:rFonts w:ascii="Times New Roman" w:hAnsi="Times New Roman"/>
                <w:sz w:val="24"/>
              </w:rPr>
              <w:t>Psicoanalítica</w:t>
            </w:r>
          </w:p>
        </w:tc>
        <w:tc>
          <w:tcPr>
            <w:tcW w:type="dxa" w:w="2209"/>
          </w:tcPr>
          <w:p>
            <w:r>
              <w:rPr>
                <w:rFonts w:ascii="Times New Roman" w:hAnsi="Times New Roman"/>
                <w:sz w:val="24"/>
              </w:rPr>
            </w:r>
            <w:r>
              <w:rPr>
                <w:rFonts w:ascii="Times New Roman" w:hAnsi="Times New Roman"/>
                <w:sz w:val="24"/>
              </w:rPr>
              <w:t>20</w:t>
            </w:r>
          </w:p>
        </w:tc>
        <w:tc>
          <w:tcPr>
            <w:tcW w:type="dxa" w:w="2209"/>
          </w:tcPr>
          <w:p>
            <w:r>
              <w:rPr>
                <w:rFonts w:ascii="Times New Roman" w:hAnsi="Times New Roman"/>
                <w:sz w:val="24"/>
              </w:rPr>
            </w:r>
            <w:r>
              <w:rPr>
                <w:rFonts w:ascii="Times New Roman" w:hAnsi="Times New Roman"/>
                <w:sz w:val="24"/>
              </w:rPr>
              <w:t>5,76</w:t>
            </w:r>
          </w:p>
        </w:tc>
        <w:tc>
          <w:tcPr>
            <w:tcW w:type="dxa" w:w="2209"/>
          </w:tcPr>
          <w:p>
            <w:r>
              <w:rPr>
                <w:rFonts w:ascii="Times New Roman" w:hAnsi="Times New Roman"/>
                <w:sz w:val="24"/>
              </w:rPr>
            </w:r>
            <w:r>
              <w:rPr>
                <w:rFonts w:ascii="Times New Roman" w:hAnsi="Times New Roman"/>
                <w:sz w:val="24"/>
              </w:rPr>
              <w:t>2,09</w:t>
            </w:r>
          </w:p>
        </w:tc>
      </w:tr>
      <w:tr>
        <w:tc>
          <w:tcPr>
            <w:tcW w:type="dxa" w:w="2209"/>
          </w:tcPr>
          <w:p>
            <w:r>
              <w:rPr>
                <w:rFonts w:ascii="Times New Roman" w:hAnsi="Times New Roman"/>
                <w:sz w:val="24"/>
              </w:rPr>
            </w:r>
            <w:r>
              <w:rPr>
                <w:rFonts w:ascii="Times New Roman" w:hAnsi="Times New Roman"/>
                <w:sz w:val="24"/>
              </w:rPr>
              <w:t>Cognitivo-Conductual</w:t>
            </w:r>
          </w:p>
        </w:tc>
        <w:tc>
          <w:tcPr>
            <w:tcW w:type="dxa" w:w="2209"/>
          </w:tcPr>
          <w:p>
            <w:r>
              <w:rPr>
                <w:rFonts w:ascii="Times New Roman" w:hAnsi="Times New Roman"/>
                <w:sz w:val="24"/>
              </w:rPr>
            </w:r>
            <w:r>
              <w:rPr>
                <w:rFonts w:ascii="Times New Roman" w:hAnsi="Times New Roman"/>
                <w:sz w:val="24"/>
              </w:rPr>
              <w:t>20</w:t>
            </w:r>
          </w:p>
        </w:tc>
        <w:tc>
          <w:tcPr>
            <w:tcW w:type="dxa" w:w="2209"/>
          </w:tcPr>
          <w:p>
            <w:r>
              <w:rPr>
                <w:rFonts w:ascii="Times New Roman" w:hAnsi="Times New Roman"/>
                <w:sz w:val="24"/>
              </w:rPr>
            </w:r>
            <w:r>
              <w:rPr>
                <w:rFonts w:ascii="Times New Roman" w:hAnsi="Times New Roman"/>
                <w:sz w:val="24"/>
              </w:rPr>
              <w:t>6,67</w:t>
            </w:r>
          </w:p>
        </w:tc>
        <w:tc>
          <w:tcPr>
            <w:tcW w:type="dxa" w:w="2209"/>
          </w:tcPr>
          <w:p>
            <w:r>
              <w:rPr>
                <w:rFonts w:ascii="Times New Roman" w:hAnsi="Times New Roman"/>
                <w:sz w:val="24"/>
              </w:rPr>
            </w:r>
            <w:r>
              <w:rPr>
                <w:rFonts w:ascii="Times New Roman" w:hAnsi="Times New Roman"/>
                <w:sz w:val="24"/>
              </w:rPr>
              <w:t>1,63</w:t>
            </w:r>
          </w:p>
        </w:tc>
      </w:tr>
      <w:tr>
        <w:tc>
          <w:tcPr>
            <w:tcW w:type="dxa" w:w="2209"/>
          </w:tcPr>
          <w:p>
            <w:r>
              <w:rPr>
                <w:rFonts w:ascii="Times New Roman" w:hAnsi="Times New Roman"/>
                <w:sz w:val="24"/>
              </w:rPr>
            </w:r>
            <w:r>
              <w:rPr>
                <w:rFonts w:ascii="Times New Roman" w:hAnsi="Times New Roman"/>
                <w:sz w:val="24"/>
              </w:rPr>
              <w:t>Humanista</w:t>
            </w:r>
          </w:p>
        </w:tc>
        <w:tc>
          <w:tcPr>
            <w:tcW w:type="dxa" w:w="2209"/>
          </w:tcPr>
          <w:p>
            <w:r>
              <w:rPr>
                <w:rFonts w:ascii="Times New Roman" w:hAnsi="Times New Roman"/>
                <w:sz w:val="24"/>
              </w:rPr>
            </w:r>
            <w:r>
              <w:rPr>
                <w:rFonts w:ascii="Times New Roman" w:hAnsi="Times New Roman"/>
                <w:sz w:val="24"/>
              </w:rPr>
              <w:t>20</w:t>
            </w:r>
          </w:p>
        </w:tc>
        <w:tc>
          <w:tcPr>
            <w:tcW w:type="dxa" w:w="2209"/>
          </w:tcPr>
          <w:p>
            <w:r>
              <w:rPr>
                <w:rFonts w:ascii="Times New Roman" w:hAnsi="Times New Roman"/>
                <w:sz w:val="24"/>
              </w:rPr>
            </w:r>
            <w:r>
              <w:rPr>
                <w:rFonts w:ascii="Times New Roman" w:hAnsi="Times New Roman"/>
                <w:sz w:val="24"/>
              </w:rPr>
              <w:t>6,81</w:t>
            </w:r>
          </w:p>
        </w:tc>
        <w:tc>
          <w:tcPr>
            <w:tcW w:type="dxa" w:w="2209"/>
          </w:tcPr>
          <w:p>
            <w:r>
              <w:rPr>
                <w:rFonts w:ascii="Times New Roman" w:hAnsi="Times New Roman"/>
                <w:sz w:val="24"/>
              </w:rPr>
            </w:r>
            <w:r>
              <w:rPr>
                <w:rFonts w:ascii="Times New Roman" w:hAnsi="Times New Roman"/>
                <w:sz w:val="24"/>
              </w:rPr>
              <w:t>2,05</w:t>
            </w:r>
          </w:p>
        </w:tc>
      </w:tr>
    </w:tbl>
    <w:p/>
    <w:p>
      <w:r>
        <w:rPr>
          <w:rFonts w:ascii="Times New Roman" w:hAnsi="Times New Roman"/>
          <w:i/>
          <w:sz w:val="24"/>
        </w:rPr>
        <w:t>Nota.</w:t>
      </w:r>
      <w:r>
        <w:rPr>
          <w:rFonts w:ascii="Times New Roman" w:hAnsi="Times New Roman"/>
          <w:sz w:val="24"/>
        </w:rPr>
        <w:t xml:space="preserve"> Escala de 1 a 10. Puntuación global = promedio de las cuatro dimensiones. La distribución de niveles de competencia varió por azar entre orientaciones, lo que condiciona la comparación.</w:t>
      </w:r>
    </w:p>
    <w:p>
      <w:r>
        <w:rPr>
          <w:rFonts w:ascii="Times New Roman" w:hAnsi="Times New Roman"/>
          <w:sz w:val="24"/>
        </w:rPr>
        <w:t xml:space="preserve">En conjunto, los resultados aportan evidencia de </w:t>
      </w:r>
      <w:r>
        <w:rPr>
          <w:rFonts w:ascii="Times New Roman" w:hAnsi="Times New Roman"/>
          <w:b/>
          <w:sz w:val="24"/>
        </w:rPr>
        <w:t>validez de constructo</w:t>
      </w:r>
      <w:r>
        <w:rPr>
          <w:rFonts w:ascii="Times New Roman" w:hAnsi="Times New Roman"/>
          <w:sz w:val="24"/>
        </w:rPr>
        <w:t xml:space="preserve"> del módulo de evaluación: sus puntuaciones se comportan como cabría esperar de una medida de competencia clínica —discriminan niveles de pericia, lo hacen con mayor nitidez en la dimensión técnica y muestran una compresión razonable en el extremo superior—, todo ello a partir de interacciones reales con el sistema y no de datos fabricados estadísticamente.</w:t>
      </w:r>
    </w:p>
    <w:p>
      <w:r>
        <w:rPr>
          <w:rFonts w:ascii="Times New Roman" w:hAnsi="Times New Roman"/>
          <w:b/>
          <w:sz w:val="26"/>
        </w:rPr>
        <w:t>5. Discusión</w:t>
      </w:r>
    </w:p>
    <w:p>
      <w:r>
        <w:rPr>
          <w:rFonts w:ascii="Times New Roman" w:hAnsi="Times New Roman"/>
          <w:sz w:val="24"/>
        </w:rPr>
        <w:t xml:space="preserve">Este trabajo presentó </w:t>
      </w:r>
      <w:r>
        <w:rPr>
          <w:rFonts w:ascii="Times New Roman" w:hAnsi="Times New Roman"/>
          <w:i/>
          <w:sz w:val="24"/>
        </w:rPr>
        <w:t>CliniA</w:t>
      </w:r>
      <w:r>
        <w:rPr>
          <w:rFonts w:ascii="Times New Roman" w:hAnsi="Times New Roman"/>
          <w:sz w:val="24"/>
        </w:rPr>
        <w:t xml:space="preserve">, una plataforma que emplea modelos de lenguaje para generar pacientes simulados teóricamente diferenciados y retroalimentación formativa automatizada, y examinó su comportamiento mediante un estudio de simulación con agentes sintéticos. El principal hallazgo es que el módulo de evaluación </w:t>
      </w:r>
      <w:r>
        <w:rPr>
          <w:rFonts w:ascii="Times New Roman" w:hAnsi="Times New Roman"/>
          <w:b/>
          <w:sz w:val="24"/>
        </w:rPr>
        <w:t>discrimina con un efecto muy grande los niveles de competencia del entrevistador</w:t>
      </w:r>
      <w:r>
        <w:rPr>
          <w:rFonts w:ascii="Times New Roman" w:hAnsi="Times New Roman"/>
          <w:sz w:val="24"/>
        </w:rPr>
        <w:t xml:space="preserve"> (novato &lt; intermedio &lt; avanzado), con mayor poder discriminativo en la dimensión técnica, una compresión de las puntuaciones en el extremo superior y diferencias menores —aunque no triviales— entre orientaciones teóricas. A la luz de estos resultados y del marco conceptual adoptado, tres hallazgos merecen destacarse.</w:t>
      </w:r>
    </w:p>
    <w:p>
      <w:r>
        <w:rPr>
          <w:rFonts w:ascii="Times New Roman" w:hAnsi="Times New Roman"/>
          <w:b/>
          <w:sz w:val="24"/>
        </w:rPr>
        <w:t>Primero, la viabilidad de un paciente coherente con la teoría.</w:t>
      </w:r>
      <w:r>
        <w:rPr>
          <w:rFonts w:ascii="Times New Roman" w:hAnsi="Times New Roman"/>
          <w:sz w:val="24"/>
        </w:rPr>
        <w:t xml:space="preserve"> El diseño muestra que es posible traducir marcos teóricos en comportamientos observables del paciente simulado, convirtiendo el simulador en un dispositivo para entrenar la coherencia entre orientación e intervención —un objetivo formativo difícil de operacionalizar con métodos tradicionales. Esto conecta con una concepción de la competencia clínica como repertorio de acciones situadas, no como conocimiento declarativo.</w:t>
      </w:r>
    </w:p>
    <w:p>
      <w:r>
        <w:rPr>
          <w:rFonts w:ascii="Times New Roman" w:hAnsi="Times New Roman"/>
          <w:b/>
          <w:sz w:val="24"/>
        </w:rPr>
        <w:t>Segundo, la evaluación como artefacto que hace visible un modelo de competencia.</w:t>
      </w:r>
      <w:r>
        <w:rPr>
          <w:rFonts w:ascii="Times New Roman" w:hAnsi="Times New Roman"/>
          <w:sz w:val="24"/>
        </w:rPr>
        <w:t xml:space="preserve"> Al explicitar cuatro dimensiones y devolver fortalezas y áreas de mejora, el sistema externaliza un constructo habitualmente tácito en la supervisión. Desde la psicología del aprendizaje, esta visibilidad es valiosa: convierte la retroalimentación en información accionable y puede favorecer la autorregulación del estudiante. La simulación aportó evidencia de validez de constructo: el esquema de puntuación discriminó con un efecto muy grande los niveles de competencia del entrevistador, con mayor nitidez en la dimensión técnica, condición necesaria —aunque no suficiente— para su utilidad formativa. La compresión observada en el extremo superior advierte, no obstante, que la herramienta separa mejor "deficiente vs. competente" que "competente vs. excelente", límite relevante para su uso en niveles avanzados de formación.</w:t>
      </w:r>
    </w:p>
    <w:p>
      <w:r>
        <w:rPr>
          <w:rFonts w:ascii="Times New Roman" w:hAnsi="Times New Roman"/>
          <w:b/>
          <w:sz w:val="24"/>
        </w:rPr>
        <w:t>Tercero, la diferencia entre puntuabilidad y dificultad.</w:t>
      </w:r>
      <w:r>
        <w:rPr>
          <w:rFonts w:ascii="Times New Roman" w:hAnsi="Times New Roman"/>
          <w:sz w:val="24"/>
        </w:rPr>
        <w:t xml:space="preserve"> Las diferencias observadas entre orientaciones ilustran un riesgo de los evaluadores automáticos: premiar lo explícito y operacionalizable por encima de lo sutil. Un proceso humanista o psicoanalítico logrado puede ser clínicamente excelente y, sin embargo, recibir puntuaciones más conservadoras. Este sesgo potencial debe vigilarse y calibrarse contra juicios de supervisores humanos.</w:t>
      </w:r>
    </w:p>
    <w:p>
      <w:r>
        <w:rPr>
          <w:rFonts w:ascii="Times New Roman" w:hAnsi="Times New Roman"/>
          <w:b/>
          <w:sz w:val="24"/>
        </w:rPr>
        <w:t>5.1. La datificación del encuentro clínico: una lectura crítica</w:t>
      </w:r>
    </w:p>
    <w:p>
      <w:r>
        <w:rPr>
          <w:rFonts w:ascii="Times New Roman" w:hAnsi="Times New Roman"/>
          <w:sz w:val="24"/>
        </w:rPr>
        <w:t xml:space="preserve">Un sistema que reduce la calidad de una entrevista a cuatro números invita a la cautela que la propia filosofía de la educación ha señalado para las tecnologías digitales: el riesgo de reconfigurar al estudiante como "estudiante-dato", cuya competencia queda subordinada a métricas algorítmicas, y de desplazar las dimensiones ética, cultural y relacional del oficio hacia lo que es medible (Herrera Urízar, 2026). </w:t>
      </w:r>
      <w:r>
        <w:rPr>
          <w:rFonts w:ascii="Times New Roman" w:hAnsi="Times New Roman"/>
          <w:i/>
          <w:sz w:val="24"/>
        </w:rPr>
        <w:t>CliniA</w:t>
      </w:r>
      <w:r>
        <w:rPr>
          <w:rFonts w:ascii="Times New Roman" w:hAnsi="Times New Roman"/>
          <w:sz w:val="24"/>
        </w:rPr>
        <w:t xml:space="preserve"> no es inmune a esa crítica: al hacer visible un modelo de competencia lo vuelve, simultáneamente, optimizable, y puede inducir una racionalidad de la eficiencia —"puntuar alto"— en lugar del cultivo de la escucha. Asumimos esta tensión como constitutiva y no como objeción externa. La respuesta de diseño no es renunciar a la métrica, sino subordinarla: situar la puntuación como insumo de una conversación de supervisión humana, conservar y devolver la </w:t>
      </w:r>
      <w:r>
        <w:rPr>
          <w:rFonts w:ascii="Times New Roman" w:hAnsi="Times New Roman"/>
          <w:i/>
          <w:sz w:val="24"/>
        </w:rPr>
        <w:t>traza</w:t>
      </w:r>
      <w:r>
        <w:rPr>
          <w:rFonts w:ascii="Times New Roman" w:hAnsi="Times New Roman"/>
          <w:sz w:val="24"/>
        </w:rPr>
        <w:t xml:space="preserve"> cualitativa (fortalezas y áreas de mejora narradas) y recordar, en la propia interfaz, que el número es un andamiaje y no el criterio último de un buen encuentro clínico. La herramienta es valiosa en la medida en que devuelve al estudiante a la relación, no en que lo retiene en el tablero de indicadores.</w:t>
      </w:r>
    </w:p>
    <w:p>
      <w:r>
        <w:rPr>
          <w:rFonts w:ascii="Times New Roman" w:hAnsi="Times New Roman"/>
          <w:sz w:val="24"/>
        </w:rPr>
        <w:t xml:space="preserve">Esta posición es coherente con los marcos éticos emergentes para la inteligencia artificial en educación, que insisten en la supervisión humana, la transparencia, la equidad y la rendición de cuentas como condiciones de un uso responsable (Floridi &amp; Cowls, 2019; UNESCO, 2021, 2023). En particular, la orientación de la UNESCO sobre IA generativa en educación reclama que estas tecnologías se introduzcan al servicio de fines pedagógicos explícitos y bajo control docente, evitando tanto la delegación acrítica como la opacidad de los sistemas (UNESCO, 2023). En el ámbito latinoamericano, análisis recientes sobre la irrupción de la IA en la educación superior coinciden en que la región debe fortalecer las competencias menos automatizables —el pensamiento crítico, el juicio ético, la relación— en lugar de delegarlas (UNESCO IESALC, 2023), una orientación especialmente pertinente para la formación clínica. El diseño de </w:t>
      </w:r>
      <w:r>
        <w:rPr>
          <w:rFonts w:ascii="Times New Roman" w:hAnsi="Times New Roman"/>
          <w:i/>
          <w:sz w:val="24"/>
        </w:rPr>
        <w:t>CliniA</w:t>
      </w:r>
      <w:r>
        <w:rPr>
          <w:rFonts w:ascii="Times New Roman" w:hAnsi="Times New Roman"/>
          <w:sz w:val="24"/>
        </w:rPr>
        <w:t xml:space="preserve"> —que conserva al docente como administrador de los casos y como destinatario de los reportes, y que declara abiertamente el carácter artificial del paciente— busca inscribirse en ese horizonte; pero la coherencia entre el principio y la práctica deberá auditarse empíricamente, no presuponerse.</w:t>
      </w:r>
    </w:p>
    <w:p>
      <w:r>
        <w:rPr>
          <w:rFonts w:ascii="Times New Roman" w:hAnsi="Times New Roman"/>
          <w:b/>
          <w:sz w:val="24"/>
        </w:rPr>
        <w:t>Contribuciones.</w:t>
      </w:r>
      <w:r>
        <w:rPr>
          <w:rFonts w:ascii="Times New Roman" w:hAnsi="Times New Roman"/>
          <w:sz w:val="24"/>
        </w:rPr>
        <w:t xml:space="preserve"> El trabajo aporta (a) un diseño replicable de paciente simulado teóricamente diferenciado; (b) un modelo de evaluación formativa de cuatro dimensiones integrable en cursos de práctica clínica; (c) una infraestructura que genera trazas completas de entrevista, abriendo una vía para la investigación basada en datos sobre el aprendizaje de la entrevista clínica; y (d) un encuadre metodológico —el estudio de simulación con agentes sintéticos— para auditar herramientas de IA educativa antes de exponerlas a estudiantes.</w:t>
      </w:r>
    </w:p>
    <w:p>
      <w:r>
        <w:rPr>
          <w:rFonts w:ascii="Times New Roman" w:hAnsi="Times New Roman"/>
          <w:b/>
          <w:sz w:val="24"/>
        </w:rPr>
        <w:t>5.2. Implicaciones para la formación de psicólogos</w:t>
      </w:r>
    </w:p>
    <w:p>
      <w:r>
        <w:rPr>
          <w:rFonts w:ascii="Times New Roman" w:hAnsi="Times New Roman"/>
          <w:sz w:val="24"/>
        </w:rPr>
        <w:t xml:space="preserve">Si la evidencia futura con estudiantes reales confirmara estos resultados preliminares, una herramienta como </w:t>
      </w:r>
      <w:r>
        <w:rPr>
          <w:rFonts w:ascii="Times New Roman" w:hAnsi="Times New Roman"/>
          <w:i/>
          <w:sz w:val="24"/>
        </w:rPr>
        <w:t>CliniA</w:t>
      </w:r>
      <w:r>
        <w:rPr>
          <w:rFonts w:ascii="Times New Roman" w:hAnsi="Times New Roman"/>
          <w:sz w:val="24"/>
        </w:rPr>
        <w:t xml:space="preserve"> tendría un lugar específico en el currículo: el de un </w:t>
      </w:r>
      <w:r>
        <w:rPr>
          <w:rFonts w:ascii="Times New Roman" w:hAnsi="Times New Roman"/>
          <w:b/>
          <w:sz w:val="24"/>
        </w:rPr>
        <w:t>espacio de práctica intermedio</w:t>
      </w:r>
      <w:r>
        <w:rPr>
          <w:rFonts w:ascii="Times New Roman" w:hAnsi="Times New Roman"/>
          <w:sz w:val="24"/>
        </w:rPr>
        <w:t xml:space="preserve"> entre el estudio teórico y la atención de pacientes reales. La práctica deliberada exige volumen y retroalimentación, dos recursos escasos en la supervisión tradicional; un paciente simulado disponible las veinticuatro horas permitiría que cada estudiante condujera decenas de entrevistas antes de su primer paciente real, con un riesgo nulo para terceros. La diferenciación por orientación teórica habilita, además, un uso pedagógico preciso: practicar el señalamiento psicoanalítico, la reestructuración cognitiva o el reflejo empático con un interlocutor que responde de manera coherente con cada marco, algo difícil de orquestar con pacientes estandarizados humanos.</w:t>
      </w:r>
    </w:p>
    <w:p>
      <w:r>
        <w:rPr>
          <w:rFonts w:ascii="Times New Roman" w:hAnsi="Times New Roman"/>
          <w:sz w:val="24"/>
        </w:rPr>
        <w:t xml:space="preserve">El mayor poder de discriminación observado en la dimensión técnica sugiere que el sistema es especialmente útil para el entrenamiento y la autoevaluación de </w:t>
      </w:r>
      <w:r>
        <w:rPr>
          <w:rFonts w:ascii="Times New Roman" w:hAnsi="Times New Roman"/>
          <w:b/>
          <w:sz w:val="24"/>
        </w:rPr>
        <w:t>técnicas de entrevista</w:t>
      </w:r>
      <w:r>
        <w:rPr>
          <w:rFonts w:ascii="Times New Roman" w:hAnsi="Times New Roman"/>
          <w:sz w:val="24"/>
        </w:rPr>
        <w:t xml:space="preserve"> identificables, mientras que la apertura emocional y la adecuación al contexto —más dependientes de matices relacionales— se beneficiarían de la mediación de un docente. Esto refuerza un principio de diseño: la herramienta no desplaza al supervisor, sino que </w:t>
      </w:r>
      <w:r>
        <w:rPr>
          <w:rFonts w:ascii="Times New Roman" w:hAnsi="Times New Roman"/>
          <w:b/>
          <w:sz w:val="24"/>
        </w:rPr>
        <w:t>reorganiza su tarea</w:t>
      </w:r>
      <w:r>
        <w:rPr>
          <w:rFonts w:ascii="Times New Roman" w:hAnsi="Times New Roman"/>
          <w:sz w:val="24"/>
        </w:rPr>
        <w:t>, liberándolo de la supervisión de los rudimentos para concentrarlo en lo relacional y lo ético, que es donde su juicio resulta insustituible. Una integración responsable implicaría, por tanto, ciclos en los que el estudiante practica con el sistema, lleva las trazas a la supervisión y discute con el docente aquello que la métrica no captura.</w:t>
      </w:r>
    </w:p>
    <w:p>
      <w:r>
        <w:rPr>
          <w:rFonts w:ascii="Times New Roman" w:hAnsi="Times New Roman"/>
          <w:sz w:val="24"/>
        </w:rPr>
        <w:t>Por último, la capacidad del sistema de registrar cada entrevista abre una posibilidad de investigación formativa: estudiar, sobre datos reales, cómo evoluciona la competencia de entrevista a lo largo de un semestre, qué dimensiones progresan antes y qué errores son más persistentes. La formación clínica, históricamente apoyada en la impresión del supervisor, podría así complementarse con evidencia longitudinal, siempre que se preserven la privacidad y el consentimiento de los estudiantes y se evite convertir el aprendizaje en mera vigilancia.</w:t>
      </w:r>
    </w:p>
    <w:p>
      <w:r>
        <w:rPr>
          <w:rFonts w:ascii="Times New Roman" w:hAnsi="Times New Roman"/>
          <w:b/>
          <w:sz w:val="24"/>
        </w:rPr>
        <w:t>5.3. Limitaciones</w:t>
      </w:r>
    </w:p>
    <w:p>
      <w:r>
        <w:rPr>
          <w:rFonts w:ascii="Times New Roman" w:hAnsi="Times New Roman"/>
          <w:sz w:val="24"/>
        </w:rPr>
        <w:t xml:space="preserve">La limitación principal es definitoria: </w:t>
      </w:r>
      <w:r>
        <w:rPr>
          <w:rFonts w:ascii="Times New Roman" w:hAnsi="Times New Roman"/>
          <w:b/>
          <w:sz w:val="24"/>
        </w:rPr>
        <w:t>los datos provienen de agentes sintéticos</w:t>
      </w:r>
      <w:r>
        <w:rPr>
          <w:rFonts w:ascii="Times New Roman" w:hAnsi="Times New Roman"/>
          <w:sz w:val="24"/>
        </w:rPr>
        <w:t xml:space="preserve">. Los resultados verifican la coherencia y la sensibilidad del diseño de medición, pero </w:t>
      </w:r>
      <w:r>
        <w:rPr>
          <w:rFonts w:ascii="Times New Roman" w:hAnsi="Times New Roman"/>
          <w:b/>
          <w:sz w:val="24"/>
        </w:rPr>
        <w:t>no constituyen evidencia de que la herramienta mejore el aprendizaje</w:t>
      </w:r>
      <w:r>
        <w:rPr>
          <w:rFonts w:ascii="Times New Roman" w:hAnsi="Times New Roman"/>
          <w:sz w:val="24"/>
        </w:rPr>
        <w:t xml:space="preserve"> de estudiantes reales. Una limitación metodológica adicional, propia de este diseño, es la </w:t>
      </w:r>
      <w:r>
        <w:rPr>
          <w:rFonts w:ascii="Times New Roman" w:hAnsi="Times New Roman"/>
          <w:b/>
          <w:sz w:val="24"/>
        </w:rPr>
        <w:t>circularidad parcial</w:t>
      </w:r>
      <w:r>
        <w:rPr>
          <w:rFonts w:ascii="Times New Roman" w:hAnsi="Times New Roman"/>
          <w:sz w:val="24"/>
        </w:rPr>
        <w:t>: tanto el paciente como el evaluador y el estudiante sintético son instancias de modelos de lenguaje de la misma familia, de modo que la evaluación podría reflejar regularidades internas del modelo más que criterios clínicos externos. Esta es, precisamente, la razón por la cual los hallazgos se presentan como validez de constructo aparente y no como validación.</w:t>
      </w:r>
    </w:p>
    <w:p>
      <w:r>
        <w:rPr>
          <w:rFonts w:ascii="Times New Roman" w:hAnsi="Times New Roman"/>
          <w:sz w:val="24"/>
        </w:rPr>
        <w:t xml:space="preserve">Otras limitaciones son: (a) la evaluación automatizada no ha sido contrastada contra juicios de supervisores expertos sobre las mismas transcripciones (validez de criterio pendiente); (b) los LLM pueden producir respuestas inconsistentes, alucinaciones o representaciones culturalmente sesgadas del paciente, riesgos ampliamente documentados (Weidinger et al., 2021) que en un contexto formativo podrían transmitir modelos clínicos erróneos; (c) el realismo conversacional del paciente simulado no equivale a la complejidad relacional de un paciente real: difícilmente puede sostener una </w:t>
      </w:r>
      <w:r>
        <w:rPr>
          <w:rFonts w:ascii="Times New Roman" w:hAnsi="Times New Roman"/>
          <w:b/>
          <w:sz w:val="24"/>
        </w:rPr>
        <w:t>alianza de trabajo</w:t>
      </w:r>
      <w:r>
        <w:rPr>
          <w:rFonts w:ascii="Times New Roman" w:hAnsi="Times New Roman"/>
          <w:sz w:val="24"/>
        </w:rPr>
        <w:t xml:space="preserve"> genuina ni reproducir fenómenos como la transferencia, que son centrales en la clínica y que constituyen buena parte de aquello que el estudiante debe aprender a leer (Bordin, 1979; Norcross &amp; Lambert, 2019); y (d) existe el riesgo de que los estudiantes desarrollen estrategias para "ganar" la rúbrica —fenómeno de optimización de la métrica— en lugar de competencias clínicas genuinas. El número fijo de cinco intercambios por sesión, elegido por economía computacional, constituye además una simplificación frente a la duración real de una entrevista inicial.</w:t>
      </w:r>
    </w:p>
    <w:p>
      <w:r>
        <w:rPr>
          <w:rFonts w:ascii="Times New Roman" w:hAnsi="Times New Roman"/>
          <w:b/>
          <w:sz w:val="24"/>
        </w:rPr>
        <w:t>5.4. Trabajo futuro</w:t>
      </w:r>
    </w:p>
    <w:p>
      <w:r>
        <w:rPr>
          <w:rFonts w:ascii="Times New Roman" w:hAnsi="Times New Roman"/>
          <w:sz w:val="24"/>
        </w:rPr>
        <w:t xml:space="preserve">La agenda prioritaria es un </w:t>
      </w:r>
      <w:r>
        <w:rPr>
          <w:rFonts w:ascii="Times New Roman" w:hAnsi="Times New Roman"/>
          <w:b/>
          <w:sz w:val="24"/>
        </w:rPr>
        <w:t>estudio controlado con estudiantes reales</w:t>
      </w:r>
      <w:r>
        <w:rPr>
          <w:rFonts w:ascii="Times New Roman" w:hAnsi="Times New Roman"/>
          <w:sz w:val="24"/>
        </w:rPr>
        <w:t xml:space="preserve"> que compare </w:t>
      </w:r>
      <w:r>
        <w:rPr>
          <w:rFonts w:ascii="Times New Roman" w:hAnsi="Times New Roman"/>
          <w:i/>
          <w:sz w:val="24"/>
        </w:rPr>
        <w:t>CliniA</w:t>
      </w:r>
      <w:r>
        <w:rPr>
          <w:rFonts w:ascii="Times New Roman" w:hAnsi="Times New Roman"/>
          <w:sz w:val="24"/>
        </w:rPr>
        <w:t xml:space="preserve"> con formación habitual, midiendo transferencia a entrevistas con pacientes estandarizados humanos. En paralelo, se requiere un estudio de </w:t>
      </w:r>
      <w:r>
        <w:rPr>
          <w:rFonts w:ascii="Times New Roman" w:hAnsi="Times New Roman"/>
          <w:b/>
          <w:sz w:val="24"/>
        </w:rPr>
        <w:t>validez de criterio</w:t>
      </w:r>
      <w:r>
        <w:rPr>
          <w:rFonts w:ascii="Times New Roman" w:hAnsi="Times New Roman"/>
          <w:sz w:val="24"/>
        </w:rPr>
        <w:t xml:space="preserve"> que correlacione las puntuaciones automáticas con las de supervisores expertos sobre las mismas transcripciones, análisis de equidad de la evaluación entre orientaciones y casos, y estudios cualitativos sobre la experiencia de aprendizaje y la alianza percibida con el paciente simulado.</w:t>
      </w:r>
    </w:p>
    <w:p>
      <w:r>
        <w:rPr>
          <w:rFonts w:ascii="Times New Roman" w:hAnsi="Times New Roman"/>
          <w:b/>
          <w:sz w:val="26"/>
        </w:rPr>
        <w:t>6. Conclusiones</w:t>
      </w:r>
    </w:p>
    <w:p>
      <w:r>
        <w:rPr>
          <w:rFonts w:ascii="Times New Roman" w:hAnsi="Times New Roman"/>
          <w:sz w:val="24"/>
        </w:rPr>
        <w:t>Los pacientes simulados basados en modelos de lenguaje ofrecen una vía prometedora para multiplicar las oportunidades de práctica deliberada de la entrevista clínica en condiciones de bajo riesgo, con retroalimentación inmediata y diferenciada por orientación teórica. El estudio de simulación presentado responde a su objetivo principal —caracterizar el comportamiento del sistema antes de exponerlo a estudiantes reales— y arroja tres conclusiones.</w:t>
      </w:r>
    </w:p>
    <w:p>
      <w:r>
        <w:rPr>
          <w:rFonts w:ascii="Times New Roman" w:hAnsi="Times New Roman"/>
          <w:sz w:val="24"/>
        </w:rPr>
        <w:t xml:space="preserve">Primero, el módulo de evaluación de </w:t>
      </w:r>
      <w:r>
        <w:rPr>
          <w:rFonts w:ascii="Times New Roman" w:hAnsi="Times New Roman"/>
          <w:i/>
          <w:sz w:val="24"/>
        </w:rPr>
        <w:t>CliniA</w:t>
      </w:r>
      <w:r>
        <w:rPr>
          <w:rFonts w:ascii="Times New Roman" w:hAnsi="Times New Roman"/>
          <w:sz w:val="24"/>
        </w:rPr>
        <w:t xml:space="preserve"> </w:t>
      </w:r>
      <w:r>
        <w:rPr>
          <w:rFonts w:ascii="Times New Roman" w:hAnsi="Times New Roman"/>
          <w:b/>
          <w:sz w:val="24"/>
        </w:rPr>
        <w:t>posee validez de constructo aparente</w:t>
      </w:r>
      <w:r>
        <w:rPr>
          <w:rFonts w:ascii="Times New Roman" w:hAnsi="Times New Roman"/>
          <w:sz w:val="24"/>
        </w:rPr>
        <w:t xml:space="preserve">: ordena de manera inequívoca los niveles de competencia del entrevistador (novato, intermedio, avanzado), con un tamaño del efecto muy grande entre los extremos y una discriminación máxima en la dimensión técnica, la más teóricamente ligada a la pericia clínica. Segundo, el sistema muestra una </w:t>
      </w:r>
      <w:r>
        <w:rPr>
          <w:rFonts w:ascii="Times New Roman" w:hAnsi="Times New Roman"/>
          <w:b/>
          <w:sz w:val="24"/>
        </w:rPr>
        <w:t>compresión de las puntuaciones en el extremo superior</w:t>
      </w:r>
      <w:r>
        <w:rPr>
          <w:rFonts w:ascii="Times New Roman" w:hAnsi="Times New Roman"/>
          <w:sz w:val="24"/>
        </w:rPr>
        <w:t xml:space="preserve">: separa con claridad el desempeño deficiente del competente, pero distingue peor entre lo competente y lo excelente, lo que delimita su utilidad a las fases iniciales de la formación y advierte contra su uso como criterio de certificación. Tercero, las diferencias por orientación teórica sugieren que la </w:t>
      </w:r>
      <w:r>
        <w:rPr>
          <w:rFonts w:ascii="Times New Roman" w:hAnsi="Times New Roman"/>
          <w:i/>
          <w:sz w:val="24"/>
        </w:rPr>
        <w:t>puntuabilidad</w:t>
      </w:r>
      <w:r>
        <w:rPr>
          <w:rFonts w:ascii="Times New Roman" w:hAnsi="Times New Roman"/>
          <w:sz w:val="24"/>
        </w:rPr>
        <w:t xml:space="preserve"> automática no equivale a la </w:t>
      </w:r>
      <w:r>
        <w:rPr>
          <w:rFonts w:ascii="Times New Roman" w:hAnsi="Times New Roman"/>
          <w:i/>
          <w:sz w:val="24"/>
        </w:rPr>
        <w:t>dificultad clínica</w:t>
      </w:r>
      <w:r>
        <w:rPr>
          <w:rFonts w:ascii="Times New Roman" w:hAnsi="Times New Roman"/>
          <w:sz w:val="24"/>
        </w:rPr>
        <w:t>, un sesgo que debe calibrarse contra el juicio de supervisores humanos.</w:t>
      </w:r>
    </w:p>
    <w:p>
      <w:r>
        <w:rPr>
          <w:rFonts w:ascii="Times New Roman" w:hAnsi="Times New Roman"/>
          <w:sz w:val="24"/>
        </w:rPr>
        <w:t xml:space="preserve">Como toda herramienta que traduce un saber relacional a indicadores, </w:t>
      </w:r>
      <w:r>
        <w:rPr>
          <w:rFonts w:ascii="Times New Roman" w:hAnsi="Times New Roman"/>
          <w:i/>
          <w:sz w:val="24"/>
        </w:rPr>
        <w:t>CliniA</w:t>
      </w:r>
      <w:r>
        <w:rPr>
          <w:rFonts w:ascii="Times New Roman" w:hAnsi="Times New Roman"/>
          <w:sz w:val="24"/>
        </w:rPr>
        <w:t xml:space="preserve"> debe usarse subordinando la métrica a la relación: como andamiaje de la práctica y como insumo de la supervisión humana, nunca como su sustituto. Quedan abiertas, para otras investigaciones, las preguntas sobre la transferencia del aprendizaje al encuentro con pacientes reales, la equidad de la evaluación entre poblaciones y orientaciones, y los efectos subjetivos de aprender la escucha clínica frente a un interlocutor artificial. La principal contribución de este trabajo es doble: presentar una herramienta y un diseño psicológico novedosos para la formación de psicólogos en el contexto iberoamericano, y proponer un encuadre honesto —el estudio de simulación con agentes sintéticos— para auditar tecnologías de IA educativa sin sobreafirmar sus beneficios.</w:t>
      </w:r>
    </w:p>
    <w:p>
      <w:r>
        <w:rPr>
          <w:rFonts w:ascii="Times New Roman" w:hAnsi="Times New Roman"/>
          <w:b/>
          <w:sz w:val="26"/>
        </w:rPr>
        <w:t>Referencias</w:t>
      </w:r>
    </w:p>
    <w:p>
      <w:r>
        <w:rPr>
          <w:rFonts w:ascii="Times New Roman" w:hAnsi="Times New Roman"/>
          <w:i/>
          <w:color w:val="808080"/>
          <w:sz w:val="20"/>
        </w:rPr>
        <w:t>Nota de cobertura.</w:t>
      </w:r>
      <w:r>
        <w:rPr>
          <w:rFonts w:ascii="Times New Roman" w:hAnsi="Times New Roman"/>
          <w:i/>
          <w:color w:val="808080"/>
          <w:sz w:val="20"/>
        </w:rPr>
        <w:t xml:space="preserve"> La revista recomienda que ≈30 % de las fuentes sean latinoamericanas y 70 % internacionales. La lista actual cumple holgadamente el mínimo internacional; </w:t>
      </w:r>
      <w:r>
        <w:rPr>
          <w:rFonts w:ascii="Times New Roman" w:hAnsi="Times New Roman"/>
          <w:b/>
          <w:i/>
          <w:color w:val="808080"/>
          <w:sz w:val="20"/>
        </w:rPr>
        <w:t>es indispensable añadir las fuentes latinoamericanas marcadas más abajo</w:t>
      </w:r>
      <w:r>
        <w:rPr>
          <w:rFonts w:ascii="Times New Roman" w:hAnsi="Times New Roman"/>
          <w:i/>
          <w:color w:val="808080"/>
          <w:sz w:val="20"/>
        </w:rPr>
        <w:t xml:space="preserve"> (con datos reales verificados) para satisfacer ese criterio y el mínimo de 30 referencias del tipo "artículo de investigación".</w:t>
      </w:r>
    </w:p>
    <w:p>
      <w:r>
        <w:rPr>
          <w:rFonts w:ascii="Times New Roman" w:hAnsi="Times New Roman"/>
          <w:sz w:val="24"/>
        </w:rPr>
        <w:t xml:space="preserve">Anthropic. (2025). </w:t>
      </w:r>
      <w:r>
        <w:rPr>
          <w:rFonts w:ascii="Times New Roman" w:hAnsi="Times New Roman"/>
          <w:i/>
          <w:sz w:val="24"/>
        </w:rPr>
        <w:t>Claude (modelo Sonnet 4.6)</w:t>
      </w:r>
      <w:r>
        <w:rPr>
          <w:rFonts w:ascii="Times New Roman" w:hAnsi="Times New Roman"/>
          <w:sz w:val="24"/>
        </w:rPr>
        <w:t xml:space="preserve"> [Modelo de lenguaje de gran escala]. https://www.anthropic.com</w:t>
      </w:r>
    </w:p>
    <w:p>
      <w:r>
        <w:rPr>
          <w:rFonts w:ascii="Times New Roman" w:hAnsi="Times New Roman"/>
          <w:sz w:val="24"/>
        </w:rPr>
        <w:t xml:space="preserve">Barrows, H. S. (1993). An overview of the uses of standardized patients for teaching and evaluating clinical skills. </w:t>
      </w:r>
      <w:r>
        <w:rPr>
          <w:rFonts w:ascii="Times New Roman" w:hAnsi="Times New Roman"/>
          <w:i/>
          <w:sz w:val="24"/>
        </w:rPr>
        <w:t>Academic Medicine, 68</w:t>
      </w:r>
      <w:r>
        <w:rPr>
          <w:rFonts w:ascii="Times New Roman" w:hAnsi="Times New Roman"/>
          <w:sz w:val="24"/>
        </w:rPr>
        <w:t>(6), 443–451. https://doi.org/10.1097/00001888-199306000-00002</w:t>
      </w:r>
    </w:p>
    <w:p>
      <w:r>
        <w:rPr>
          <w:rFonts w:ascii="Times New Roman" w:hAnsi="Times New Roman"/>
          <w:sz w:val="24"/>
        </w:rPr>
        <w:t xml:space="preserve">Bokken, L., Linssen, T., Scherpbier, A., van der Vleuten, C., &amp; Rethans, J. J. (2008). Feedback by simulated patients in undergraduate medical education: A systematic review of the literature. </w:t>
      </w:r>
      <w:r>
        <w:rPr>
          <w:rFonts w:ascii="Times New Roman" w:hAnsi="Times New Roman"/>
          <w:i/>
          <w:sz w:val="24"/>
        </w:rPr>
        <w:t>Medical Education, 42</w:t>
      </w:r>
      <w:r>
        <w:rPr>
          <w:rFonts w:ascii="Times New Roman" w:hAnsi="Times New Roman"/>
          <w:sz w:val="24"/>
        </w:rPr>
        <w:t>(2), 202–210. https://doi.org/10.1111/j.1365-2923.2007.02939.x</w:t>
      </w:r>
    </w:p>
    <w:p>
      <w:r>
        <w:rPr>
          <w:rFonts w:ascii="Times New Roman" w:hAnsi="Times New Roman"/>
          <w:sz w:val="24"/>
        </w:rPr>
        <w:t xml:space="preserve">Bommasani, R., Hudson, D. A., Adeli, E., Altman, R., Arora, S., von Arx, S., … Liang, P. (2021). </w:t>
      </w:r>
      <w:r>
        <w:rPr>
          <w:rFonts w:ascii="Times New Roman" w:hAnsi="Times New Roman"/>
          <w:i/>
          <w:sz w:val="24"/>
        </w:rPr>
        <w:t>On the opportunities and risks of foundation models</w:t>
      </w:r>
      <w:r>
        <w:rPr>
          <w:rFonts w:ascii="Times New Roman" w:hAnsi="Times New Roman"/>
          <w:sz w:val="24"/>
        </w:rPr>
        <w:t>. arXiv. https://doi.org/10.48550/arXiv.2108.07258</w:t>
      </w:r>
    </w:p>
    <w:p>
      <w:r>
        <w:rPr>
          <w:rFonts w:ascii="Times New Roman" w:hAnsi="Times New Roman"/>
          <w:sz w:val="24"/>
        </w:rPr>
        <w:t xml:space="preserve">Bordin, E. S. (1979). The generalizability of the psychoanalytic concept of the working alliance. </w:t>
      </w:r>
      <w:r>
        <w:rPr>
          <w:rFonts w:ascii="Times New Roman" w:hAnsi="Times New Roman"/>
          <w:i/>
          <w:sz w:val="24"/>
        </w:rPr>
        <w:t>Psychotherapy: Theory, Research &amp; Practice, 16</w:t>
      </w:r>
      <w:r>
        <w:rPr>
          <w:rFonts w:ascii="Times New Roman" w:hAnsi="Times New Roman"/>
          <w:sz w:val="24"/>
        </w:rPr>
        <w:t>(3), 252–260. https://doi.org/10.1037/h0085885</w:t>
      </w:r>
    </w:p>
    <w:p>
      <w:r>
        <w:rPr>
          <w:rFonts w:ascii="Times New Roman" w:hAnsi="Times New Roman"/>
          <w:sz w:val="24"/>
        </w:rPr>
        <w:t xml:space="preserve">Brown, T. B., Mann, B., Ryder, N., Subbiah, M., Kaplan, J., Dhariwal, P., … Amodei, D. (2020). Language models are few-shot learners. </w:t>
      </w:r>
      <w:r>
        <w:rPr>
          <w:rFonts w:ascii="Times New Roman" w:hAnsi="Times New Roman"/>
          <w:i/>
          <w:sz w:val="24"/>
        </w:rPr>
        <w:t>Advances in Neural Information Processing Systems, 33</w:t>
      </w:r>
      <w:r>
        <w:rPr>
          <w:rFonts w:ascii="Times New Roman" w:hAnsi="Times New Roman"/>
          <w:sz w:val="24"/>
        </w:rPr>
        <w:t>, 1877–1901.</w:t>
      </w:r>
    </w:p>
    <w:p>
      <w:r>
        <w:rPr>
          <w:rFonts w:ascii="Times New Roman" w:hAnsi="Times New Roman"/>
          <w:sz w:val="24"/>
        </w:rPr>
        <w:t xml:space="preserve">Charria Ortiz, V. H., Sarsosa Prowesk, K. V., Uribe Rodríguez, A. F., López Lesmes, C. N., &amp; Arenas Ortiz, F. (2011). Definición y clasificación teórica de las competencias académicas, profesionales y laborales: Las competencias del psicólogo en Colombia. </w:t>
      </w:r>
      <w:r>
        <w:rPr>
          <w:rFonts w:ascii="Times New Roman" w:hAnsi="Times New Roman"/>
          <w:i/>
          <w:sz w:val="24"/>
        </w:rPr>
        <w:t>Psicología desde el Caribe, (28)</w:t>
      </w:r>
      <w:r>
        <w:rPr>
          <w:rFonts w:ascii="Times New Roman" w:hAnsi="Times New Roman"/>
          <w:sz w:val="24"/>
        </w:rPr>
        <w:t>, 133–165.</w:t>
      </w:r>
    </w:p>
    <w:p>
      <w:r>
        <w:rPr>
          <w:rFonts w:ascii="Times New Roman" w:hAnsi="Times New Roman"/>
          <w:sz w:val="24"/>
        </w:rPr>
        <w:t xml:space="preserve">Cook, D. A., Erwin, P. J., &amp; Triola, M. M. (2010). Computerized virtual patients in health professions education: A systematic review and meta-analysis. </w:t>
      </w:r>
      <w:r>
        <w:rPr>
          <w:rFonts w:ascii="Times New Roman" w:hAnsi="Times New Roman"/>
          <w:i/>
          <w:sz w:val="24"/>
        </w:rPr>
        <w:t>Academic Medicine, 85</w:t>
      </w:r>
      <w:r>
        <w:rPr>
          <w:rFonts w:ascii="Times New Roman" w:hAnsi="Times New Roman"/>
          <w:sz w:val="24"/>
        </w:rPr>
        <w:t>(10), 1589–1602. https://doi.org/10.1097/ACM.0b013e3181edfe13</w:t>
      </w:r>
    </w:p>
    <w:p>
      <w:r>
        <w:rPr>
          <w:rFonts w:ascii="Times New Roman" w:hAnsi="Times New Roman"/>
          <w:sz w:val="24"/>
        </w:rPr>
        <w:t xml:space="preserve">Demszky, D., Yang, D., Yeager, D. S., Bryan, C. J., Clapper, M., Chandhok, S., … Pennebaker, J. W. (2023). Using large language models in psychology. </w:t>
      </w:r>
      <w:r>
        <w:rPr>
          <w:rFonts w:ascii="Times New Roman" w:hAnsi="Times New Roman"/>
          <w:i/>
          <w:sz w:val="24"/>
        </w:rPr>
        <w:t>Nature Reviews Psychology, 2</w:t>
      </w:r>
      <w:r>
        <w:rPr>
          <w:rFonts w:ascii="Times New Roman" w:hAnsi="Times New Roman"/>
          <w:sz w:val="24"/>
        </w:rPr>
        <w:t>, 688–701. https://doi.org/10.1038/s44159-023-00241-5</w:t>
      </w:r>
    </w:p>
    <w:p>
      <w:r>
        <w:rPr>
          <w:rFonts w:ascii="Times New Roman" w:hAnsi="Times New Roman"/>
          <w:sz w:val="24"/>
        </w:rPr>
        <w:t xml:space="preserve">Ericsson, K. A. (2008). Deliberate practice and acquisition of expert performance: A general overview. </w:t>
      </w:r>
      <w:r>
        <w:rPr>
          <w:rFonts w:ascii="Times New Roman" w:hAnsi="Times New Roman"/>
          <w:i/>
          <w:sz w:val="24"/>
        </w:rPr>
        <w:t>Academic Emergency Medicine, 15</w:t>
      </w:r>
      <w:r>
        <w:rPr>
          <w:rFonts w:ascii="Times New Roman" w:hAnsi="Times New Roman"/>
          <w:sz w:val="24"/>
        </w:rPr>
        <w:t>(11), 988–994. https://doi.org/10.1111/j.1553-2712.2008.00227.x</w:t>
      </w:r>
    </w:p>
    <w:p>
      <w:r>
        <w:rPr>
          <w:rFonts w:ascii="Times New Roman" w:hAnsi="Times New Roman"/>
          <w:sz w:val="24"/>
        </w:rPr>
        <w:t xml:space="preserve">Ericsson, K. A., Krampe, R. T., &amp; Tesch-Römer, C. (1993). The role of deliberate practice in the acquisition of expert performance. </w:t>
      </w:r>
      <w:r>
        <w:rPr>
          <w:rFonts w:ascii="Times New Roman" w:hAnsi="Times New Roman"/>
          <w:i/>
          <w:sz w:val="24"/>
        </w:rPr>
        <w:t>Psychological Review, 100</w:t>
      </w:r>
      <w:r>
        <w:rPr>
          <w:rFonts w:ascii="Times New Roman" w:hAnsi="Times New Roman"/>
          <w:sz w:val="24"/>
        </w:rPr>
        <w:t>(3), 363–406. https://doi.org/10.1037/0033-295X.100.3.363</w:t>
      </w:r>
    </w:p>
    <w:p>
      <w:r>
        <w:rPr>
          <w:rFonts w:ascii="Times New Roman" w:hAnsi="Times New Roman"/>
          <w:sz w:val="24"/>
        </w:rPr>
        <w:t xml:space="preserve">Floridi, L., &amp; Cowls, J. (2019). A unified framework of five principles for AI in society. </w:t>
      </w:r>
      <w:r>
        <w:rPr>
          <w:rFonts w:ascii="Times New Roman" w:hAnsi="Times New Roman"/>
          <w:i/>
          <w:sz w:val="24"/>
        </w:rPr>
        <w:t>Harvard Data Science Review, 1</w:t>
      </w:r>
      <w:r>
        <w:rPr>
          <w:rFonts w:ascii="Times New Roman" w:hAnsi="Times New Roman"/>
          <w:sz w:val="24"/>
        </w:rPr>
        <w:t>(1). https://doi.org/10.1162/99608f92.8cd550d1</w:t>
      </w:r>
    </w:p>
    <w:p>
      <w:r>
        <w:rPr>
          <w:rFonts w:ascii="Times New Roman" w:hAnsi="Times New Roman"/>
          <w:sz w:val="24"/>
        </w:rPr>
        <w:t xml:space="preserve">Flückiger, C., Del Re, A. C., Wampold, B. E., &amp; Horvath, A. O. (2018). The alliance in adult psychotherapy: A meta-analytic synthesis. </w:t>
      </w:r>
      <w:r>
        <w:rPr>
          <w:rFonts w:ascii="Times New Roman" w:hAnsi="Times New Roman"/>
          <w:i/>
          <w:sz w:val="24"/>
        </w:rPr>
        <w:t>Psychotherapy, 55</w:t>
      </w:r>
      <w:r>
        <w:rPr>
          <w:rFonts w:ascii="Times New Roman" w:hAnsi="Times New Roman"/>
          <w:sz w:val="24"/>
        </w:rPr>
        <w:t>(4), 316–340. https://doi.org/10.1037/pst0000172</w:t>
      </w:r>
    </w:p>
    <w:p>
      <w:r>
        <w:rPr>
          <w:rFonts w:ascii="Times New Roman" w:hAnsi="Times New Roman"/>
          <w:sz w:val="24"/>
        </w:rPr>
        <w:t xml:space="preserve">Herrera Urízar, G. (2026). Neurodidáctica y tecnologías digitales como dispositivos neoliberales de subjetivación en la educación contemporánea. </w:t>
      </w:r>
      <w:r>
        <w:rPr>
          <w:rFonts w:ascii="Times New Roman" w:hAnsi="Times New Roman"/>
          <w:i/>
          <w:sz w:val="24"/>
        </w:rPr>
        <w:t>Revista Guillermo de Ockham, 24</w:t>
      </w:r>
      <w:r>
        <w:rPr>
          <w:rFonts w:ascii="Times New Roman" w:hAnsi="Times New Roman"/>
          <w:sz w:val="24"/>
        </w:rPr>
        <w:t>, e8034. https://doi.org/10.21500/22563202.8034</w:t>
      </w:r>
    </w:p>
    <w:p>
      <w:r>
        <w:rPr>
          <w:rFonts w:ascii="Times New Roman" w:hAnsi="Times New Roman"/>
          <w:sz w:val="24"/>
        </w:rPr>
        <w:t xml:space="preserve">Norcross, J. C., &amp; Lambert, M. J. (2019). </w:t>
      </w:r>
      <w:r>
        <w:rPr>
          <w:rFonts w:ascii="Times New Roman" w:hAnsi="Times New Roman"/>
          <w:i/>
          <w:sz w:val="24"/>
        </w:rPr>
        <w:t>Psychotherapy relationships that work: Volume 1. Evidence-based therapist contributions</w:t>
      </w:r>
      <w:r>
        <w:rPr>
          <w:rFonts w:ascii="Times New Roman" w:hAnsi="Times New Roman"/>
          <w:sz w:val="24"/>
        </w:rPr>
        <w:t xml:space="preserve"> (3rd ed.). Oxford University Press. https://doi.org/10.1093/med-psych/9780190843953.001.0001</w:t>
      </w:r>
    </w:p>
    <w:p>
      <w:r>
        <w:rPr>
          <w:rFonts w:ascii="Times New Roman" w:hAnsi="Times New Roman"/>
          <w:sz w:val="24"/>
        </w:rPr>
        <w:t xml:space="preserve">UNESCO. (2021). </w:t>
      </w:r>
      <w:r>
        <w:rPr>
          <w:rFonts w:ascii="Times New Roman" w:hAnsi="Times New Roman"/>
          <w:i/>
          <w:sz w:val="24"/>
        </w:rPr>
        <w:t>Recommendation on the ethics of artificial intelligence</w:t>
      </w:r>
      <w:r>
        <w:rPr>
          <w:rFonts w:ascii="Times New Roman" w:hAnsi="Times New Roman"/>
          <w:sz w:val="24"/>
        </w:rPr>
        <w:t>. Organización de las Naciones Unidas para la Educación, la Ciencia y la Cultura. https://unesdoc.unesco.org/ark:/48223/pf0000381137</w:t>
      </w:r>
    </w:p>
    <w:p>
      <w:r>
        <w:rPr>
          <w:rFonts w:ascii="Times New Roman" w:hAnsi="Times New Roman"/>
          <w:sz w:val="24"/>
        </w:rPr>
        <w:t xml:space="preserve">UNESCO. (2023). </w:t>
      </w:r>
      <w:r>
        <w:rPr>
          <w:rFonts w:ascii="Times New Roman" w:hAnsi="Times New Roman"/>
          <w:i/>
          <w:sz w:val="24"/>
        </w:rPr>
        <w:t>Guidance for generative AI in education and research</w:t>
      </w:r>
      <w:r>
        <w:rPr>
          <w:rFonts w:ascii="Times New Roman" w:hAnsi="Times New Roman"/>
          <w:sz w:val="24"/>
        </w:rPr>
        <w:t>. Organización de las Naciones Unidas para la Educación, la Ciencia y la Cultura. https://doi.org/10.54675/EWZM9535</w:t>
      </w:r>
    </w:p>
    <w:p>
      <w:r>
        <w:rPr>
          <w:rFonts w:ascii="Times New Roman" w:hAnsi="Times New Roman"/>
          <w:sz w:val="24"/>
        </w:rPr>
        <w:t xml:space="preserve">UNESCO IESALC. (2023). </w:t>
      </w:r>
      <w:r>
        <w:rPr>
          <w:rFonts w:ascii="Times New Roman" w:hAnsi="Times New Roman"/>
          <w:i/>
          <w:sz w:val="24"/>
        </w:rPr>
        <w:t>Oportunidades y desafíos de la era de la inteligencia artificial para la educación superior</w:t>
      </w:r>
      <w:r>
        <w:rPr>
          <w:rFonts w:ascii="Times New Roman" w:hAnsi="Times New Roman"/>
          <w:sz w:val="24"/>
        </w:rPr>
        <w:t>. Instituto Internacional para la Educación Superior en América Latina y el Caribe. https://www.iesalc.unesco.org</w:t>
      </w:r>
    </w:p>
    <w:p>
      <w:r>
        <w:rPr>
          <w:rFonts w:ascii="Times New Roman" w:hAnsi="Times New Roman"/>
          <w:sz w:val="24"/>
        </w:rPr>
        <w:t xml:space="preserve">Vaswani, A., Shazeer, N., Parmar, N., Uszkoreit, J., Jones, L., Gomez, A. N., … Polosukhin, I. (2017). Attention is all you need. </w:t>
      </w:r>
      <w:r>
        <w:rPr>
          <w:rFonts w:ascii="Times New Roman" w:hAnsi="Times New Roman"/>
          <w:i/>
          <w:sz w:val="24"/>
        </w:rPr>
        <w:t>Advances in Neural Information Processing Systems, 30</w:t>
      </w:r>
      <w:r>
        <w:rPr>
          <w:rFonts w:ascii="Times New Roman" w:hAnsi="Times New Roman"/>
          <w:sz w:val="24"/>
        </w:rPr>
        <w:t>, 5998–6008.</w:t>
      </w:r>
    </w:p>
    <w:p>
      <w:r>
        <w:rPr>
          <w:rFonts w:ascii="Times New Roman" w:hAnsi="Times New Roman"/>
          <w:sz w:val="24"/>
        </w:rPr>
        <w:t xml:space="preserve">Wampold, B. E. (2015). How important are the common factors in psychotherapy? An update. </w:t>
      </w:r>
      <w:r>
        <w:rPr>
          <w:rFonts w:ascii="Times New Roman" w:hAnsi="Times New Roman"/>
          <w:i/>
          <w:sz w:val="24"/>
        </w:rPr>
        <w:t>World Psychiatry, 14</w:t>
      </w:r>
      <w:r>
        <w:rPr>
          <w:rFonts w:ascii="Times New Roman" w:hAnsi="Times New Roman"/>
          <w:sz w:val="24"/>
        </w:rPr>
        <w:t>(3), 270–277. https://doi.org/10.1002/wps.20238</w:t>
      </w:r>
    </w:p>
    <w:p>
      <w:r>
        <w:rPr>
          <w:rFonts w:ascii="Times New Roman" w:hAnsi="Times New Roman"/>
          <w:sz w:val="24"/>
        </w:rPr>
        <w:t xml:space="preserve">Weidinger, L., Mellor, J., Rauh, M., Griffin, C., Uesato, J., Huang, P.-S., … Gabriel, I. (2021). </w:t>
      </w:r>
      <w:r>
        <w:rPr>
          <w:rFonts w:ascii="Times New Roman" w:hAnsi="Times New Roman"/>
          <w:i/>
          <w:sz w:val="24"/>
        </w:rPr>
        <w:t>Ethical and social risks of harm from language models</w:t>
      </w:r>
      <w:r>
        <w:rPr>
          <w:rFonts w:ascii="Times New Roman" w:hAnsi="Times New Roman"/>
          <w:sz w:val="24"/>
        </w:rPr>
        <w:t>. arXiv. https://doi.org/10.48550/arXiv.2112.04359</w:t>
      </w:r>
    </w:p>
    <w:p>
      <w:r>
        <w:rPr>
          <w:rFonts w:ascii="Times New Roman" w:hAnsi="Times New Roman"/>
          <w:sz w:val="24"/>
        </w:rPr>
        <w:t xml:space="preserve">Rogers, C. R. (1957). The necessary and sufficient conditions of therapeutic personality change. </w:t>
      </w:r>
      <w:r>
        <w:rPr>
          <w:rFonts w:ascii="Times New Roman" w:hAnsi="Times New Roman"/>
          <w:i/>
          <w:sz w:val="24"/>
        </w:rPr>
        <w:t>Journal of Consulting Psychology, 21</w:t>
      </w:r>
      <w:r>
        <w:rPr>
          <w:rFonts w:ascii="Times New Roman" w:hAnsi="Times New Roman"/>
          <w:sz w:val="24"/>
        </w:rPr>
        <w:t>(2), 95–103. https://doi.org/10.1037/h0045357</w:t>
      </w:r>
    </w:p>
    <w:p>
      <w:r>
        <w:rPr>
          <w:rFonts w:ascii="Times New Roman" w:hAnsi="Times New Roman"/>
          <w:sz w:val="24"/>
        </w:rPr>
        <w:t xml:space="preserve">Rousmaniere, T., Goodyear, R. K., Miller, S. D., &amp; Wampold, B. E. (Eds.). (2017). </w:t>
      </w:r>
      <w:r>
        <w:rPr>
          <w:rFonts w:ascii="Times New Roman" w:hAnsi="Times New Roman"/>
          <w:i/>
          <w:sz w:val="24"/>
        </w:rPr>
        <w:t>The cycle of excellence: Using deliberate practice to improve supervision and training</w:t>
      </w:r>
      <w:r>
        <w:rPr>
          <w:rFonts w:ascii="Times New Roman" w:hAnsi="Times New Roman"/>
          <w:sz w:val="24"/>
        </w:rPr>
        <w:t>. Wiley-Blackwell. https://doi.org/10.1002/9781119165590</w:t>
      </w:r>
    </w:p>
    <w:p>
      <w:r>
        <w:rPr>
          <w:rFonts w:ascii="Times New Roman" w:hAnsi="Times New Roman"/>
          <w:sz w:val="24"/>
        </w:rPr>
        <w:t xml:space="preserve">Sommers-Flanagan, J., &amp; Sommers-Flanagan, R. (2017). </w:t>
      </w:r>
      <w:r>
        <w:rPr>
          <w:rFonts w:ascii="Times New Roman" w:hAnsi="Times New Roman"/>
          <w:i/>
          <w:sz w:val="24"/>
        </w:rPr>
        <w:t>Clinical interviewing</w:t>
      </w:r>
      <w:r>
        <w:rPr>
          <w:rFonts w:ascii="Times New Roman" w:hAnsi="Times New Roman"/>
          <w:sz w:val="24"/>
        </w:rPr>
        <w:t xml:space="preserve"> (6th ed.). Wiley.</w:t>
      </w:r>
    </w:p>
    <w:p>
      <w:r>
        <w:rPr>
          <w:rFonts w:ascii="Times New Roman" w:hAnsi="Times New Roman"/>
          <w:sz w:val="24"/>
        </w:rPr>
        <w:t xml:space="preserve">Hicke, Y., Geathers, J., Vu, K., Sewell, J., Cardie, C., Talwalkar, J., Shung, D., Jack, A. G., Cornes, S., Preston, M., &amp; Kizilcec, R. (2025). </w:t>
      </w:r>
      <w:r>
        <w:rPr>
          <w:rFonts w:ascii="Times New Roman" w:hAnsi="Times New Roman"/>
          <w:i/>
          <w:sz w:val="24"/>
        </w:rPr>
        <w:t>MedSimAI: Simulation and formative feedback generation to enhance deliberate practice in medical education</w:t>
      </w:r>
      <w:r>
        <w:rPr>
          <w:rFonts w:ascii="Times New Roman" w:hAnsi="Times New Roman"/>
          <w:sz w:val="24"/>
        </w:rPr>
        <w:t>. arXiv. https://doi.org/10.48550/arXiv.2503.05793</w:t>
      </w:r>
    </w:p>
    <w:p>
      <w:r>
        <w:rPr>
          <w:rFonts w:ascii="Times New Roman" w:hAnsi="Times New Roman"/>
          <w:sz w:val="24"/>
        </w:rPr>
        <w:t xml:space="preserve">Borg, [iniciales]. (2025). </w:t>
      </w:r>
      <w:r>
        <w:rPr>
          <w:rFonts w:ascii="Times New Roman" w:hAnsi="Times New Roman"/>
          <w:i/>
          <w:sz w:val="24"/>
        </w:rPr>
        <w:t>Modeling challenging patient interactions: LLMs for medical communication training</w:t>
      </w:r>
      <w:r>
        <w:rPr>
          <w:rFonts w:ascii="Times New Roman" w:hAnsi="Times New Roman"/>
          <w:sz w:val="24"/>
        </w:rPr>
        <w:t>. arXiv. https://arxiv.org/abs/2503.22250</w:t>
      </w:r>
    </w:p>
    <w:p>
      <w:r>
        <w:rPr>
          <w:rFonts w:ascii="Times New Roman" w:hAnsi="Times New Roman"/>
          <w:sz w:val="24"/>
        </w:rPr>
        <w:t xml:space="preserve">Kus, [iniciales]. (2025). Large language model–based virtual patient systems for history-taking in medical education: Comprehensive systematic review. </w:t>
      </w:r>
      <w:r>
        <w:rPr>
          <w:rFonts w:ascii="Times New Roman" w:hAnsi="Times New Roman"/>
          <w:i/>
          <w:sz w:val="24"/>
        </w:rPr>
        <w:t>JMIR</w:t>
      </w:r>
      <w:r>
        <w:rPr>
          <w:rFonts w:ascii="Times New Roman" w:hAnsi="Times New Roman"/>
          <w:sz w:val="24"/>
        </w:rPr>
        <w:t xml:space="preserve"> / PMC. https://www.ncbi.nlm.nih.gov/pmc/articles/PMC12811743/</w:t>
      </w:r>
    </w:p>
    <w:p>
      <w:r>
        <w:rPr>
          <w:rFonts w:ascii="Times New Roman" w:hAnsi="Times New Roman"/>
          <w:sz w:val="24"/>
        </w:rPr>
        <w:t xml:space="preserve">Cabrera Lozoya, D., Conway, M., De Duro, E. S., &amp; D'Alfonso, S. (2025). Leveraging large language models for simulated psychotherapy client interactions: Development and usability study of Client101. </w:t>
      </w:r>
      <w:r>
        <w:rPr>
          <w:rFonts w:ascii="Times New Roman" w:hAnsi="Times New Roman"/>
          <w:i/>
          <w:sz w:val="24"/>
        </w:rPr>
        <w:t>JMIR Medical Education, 11</w:t>
      </w:r>
      <w:r>
        <w:rPr>
          <w:rFonts w:ascii="Times New Roman" w:hAnsi="Times New Roman"/>
          <w:sz w:val="24"/>
        </w:rPr>
        <w:t>, e68056. https://doi.org/10.2196/68056</w:t>
      </w:r>
    </w:p>
    <w:p>
      <w:r>
        <w:rPr>
          <w:rFonts w:ascii="Times New Roman" w:hAnsi="Times New Roman"/>
          <w:sz w:val="24"/>
        </w:rPr>
        <w:t xml:space="preserve">Min, [iniciales]. (2025). </w:t>
      </w:r>
      <w:r>
        <w:rPr>
          <w:rFonts w:ascii="Times New Roman" w:hAnsi="Times New Roman"/>
          <w:i/>
          <w:sz w:val="24"/>
        </w:rPr>
        <w:t>Scaffolding empathy: Training counselors with simulated patients and utterance-level performance visualizations</w:t>
      </w:r>
      <w:r>
        <w:rPr>
          <w:rFonts w:ascii="Times New Roman" w:hAnsi="Times New Roman"/>
          <w:sz w:val="24"/>
        </w:rPr>
        <w:t>. arXiv. https://arxiv.org/abs/2502.18673</w:t>
      </w:r>
    </w:p>
    <w:p>
      <w:r>
        <w:rPr>
          <w:rFonts w:ascii="Times New Roman" w:hAnsi="Times New Roman"/>
          <w:sz w:val="24"/>
        </w:rPr>
        <w:t xml:space="preserve">Sancheti, [iniciales]. (2025). </w:t>
      </w:r>
      <w:r>
        <w:rPr>
          <w:rFonts w:ascii="Times New Roman" w:hAnsi="Times New Roman"/>
          <w:i/>
          <w:sz w:val="24"/>
        </w:rPr>
        <w:t>Automated evaluation of standardized patients with LLMs</w:t>
      </w:r>
      <w:r>
        <w:rPr>
          <w:rFonts w:ascii="Times New Roman" w:hAnsi="Times New Roman"/>
          <w:sz w:val="24"/>
        </w:rPr>
        <w:t>. Proceedings of AIME Conference. https://aclanthology.org/2025.aimecon-main.25.pdf</w:t>
      </w:r>
    </w:p>
    <w:p>
      <w:r>
        <w:rPr>
          <w:rFonts w:ascii="Times New Roman" w:hAnsi="Times New Roman"/>
          <w:sz w:val="24"/>
        </w:rPr>
        <w:t xml:space="preserve">Wang, R., Milani, S., Chiu, J. C., Zhi, J., Eack, S. M., Labrum, T., Murphy, S. M., Jones, N., Hardy, K. V., Shen, H., Fang, F., &amp; Chen, Z. (2024). PATIENT-Ψ: Using large language models to simulate patients for training mental health professionals. En </w:t>
      </w:r>
      <w:r>
        <w:rPr>
          <w:rFonts w:ascii="Times New Roman" w:hAnsi="Times New Roman"/>
          <w:i/>
          <w:sz w:val="24"/>
        </w:rPr>
        <w:t>Proceedings of the 2024 Conference on Empirical Methods in Natural Language Processing</w:t>
      </w:r>
      <w:r>
        <w:rPr>
          <w:rFonts w:ascii="Times New Roman" w:hAnsi="Times New Roman"/>
          <w:sz w:val="24"/>
        </w:rPr>
        <w:t xml:space="preserve"> (pp. 12772–12797). Association for Computational Linguistics. https://aclanthology.org/2024.emnlp-main.711</w:t>
      </w:r>
    </w:p>
    <w:p>
      <w:r>
        <w:rPr>
          <w:rFonts w:ascii="Times New Roman" w:hAnsi="Times New Roman"/>
          <w:sz w:val="24"/>
        </w:rPr>
        <w:t xml:space="preserve">Webb, [iniciales]. (2025). Development of a GPT-4–powered virtual simulated patient and communication training platform for medical students. </w:t>
      </w:r>
      <w:r>
        <w:rPr>
          <w:rFonts w:ascii="Times New Roman" w:hAnsi="Times New Roman"/>
          <w:i/>
          <w:sz w:val="24"/>
        </w:rPr>
        <w:t>JMIR</w:t>
      </w:r>
      <w:r>
        <w:rPr>
          <w:rFonts w:ascii="Times New Roman" w:hAnsi="Times New Roman"/>
          <w:sz w:val="24"/>
        </w:rPr>
        <w:t xml:space="preserve"> / PMC. https://www.ncbi.nlm.nih.gov/pmc/articles/PMC12046251/</w:t>
      </w:r>
    </w:p>
    <w:p>
      <w:r>
        <w:rPr>
          <w:rFonts w:ascii="Times New Roman" w:hAnsi="Times New Roman"/>
          <w:b/>
          <w:sz w:val="24"/>
        </w:rPr>
        <w:t>Fuentes latinoamericanas.</w:t>
      </w:r>
      <w:r>
        <w:rPr>
          <w:rFonts w:ascii="Times New Roman" w:hAnsi="Times New Roman"/>
          <w:sz w:val="24"/>
        </w:rPr>
        <w:t xml:space="preserve"> Ya integradas y verificadas: Charria Ortiz et al. (2011) y UNESCO IESALC (2023). Para alcanzar holgadamente el ≈30 % recomendado conviene añadir 5–7 fuentes regionales más (sustituir cada marcador por una referencia real verificada y citarla en el texto):</w:t>
      </w:r>
    </w:p>
    <w:p>
      <w:pPr>
        <w:pStyle w:val="ListBullet"/>
      </w:pPr>
      <w:r>
        <w:rPr>
          <w:rFonts w:ascii="Times New Roman" w:hAnsi="Times New Roman"/>
          <w:sz w:val="24"/>
        </w:rPr>
        <w:t>[Pacientes/escenarios simulados o estandarizados en educación en salud en América Latina].</w:t>
      </w:r>
    </w:p>
    <w:p>
      <w:pPr>
        <w:pStyle w:val="ListBullet"/>
      </w:pPr>
      <w:r>
        <w:rPr>
          <w:rFonts w:ascii="Times New Roman" w:hAnsi="Times New Roman"/>
          <w:sz w:val="24"/>
        </w:rPr>
        <w:t>[Práctica deliberada o supervisión clínica en programas iberoamericanos de psicología].</w:t>
      </w:r>
    </w:p>
    <w:p>
      <w:pPr>
        <w:pStyle w:val="ListBullet"/>
      </w:pPr>
      <w:r>
        <w:rPr>
          <w:rFonts w:ascii="Times New Roman" w:hAnsi="Times New Roman"/>
          <w:sz w:val="24"/>
        </w:rPr>
        <w:t>[Alianza terapéutica en población latinoamericana].</w:t>
      </w:r>
    </w:p>
    <w:p>
      <w:pPr>
        <w:pStyle w:val="ListBullet"/>
      </w:pPr>
      <w:r>
        <w:rPr>
          <w:rFonts w:ascii="Times New Roman" w:hAnsi="Times New Roman"/>
          <w:sz w:val="24"/>
        </w:rPr>
        <w:t>[Ética de la IA en educación en contextos latinoamericanos].</w:t>
      </w:r>
    </w:p>
    <w:p>
      <w:pPr>
        <w:pStyle w:val="ListBullet"/>
      </w:pPr>
      <w:r>
        <w:rPr>
          <w:rFonts w:ascii="Times New Roman" w:hAnsi="Times New Roman"/>
          <w:sz w:val="24"/>
        </w:rPr>
        <w:t>[Tecnología educativa / simulación en psicología en Colombia].</w:t>
      </w:r>
    </w:p>
    <w:p>
      <w:pPr>
        <w:pStyle w:val="ListBullet"/>
      </w:pPr>
      <w:r>
        <w:rPr>
          <w:rFonts w:ascii="Times New Roman" w:hAnsi="Times New Roman"/>
          <w:sz w:val="24"/>
        </w:rPr>
        <w:t>[Estudios sobre la expresión del malestar / motivo de consulta en contextos colombianos].</w:t>
      </w:r>
    </w:p>
    <w:p>
      <w:pPr>
        <w:pStyle w:val="ListBullet"/>
      </w:pPr>
      <w:r>
        <w:rPr>
          <w:rFonts w:ascii="Times New Roman" w:hAnsi="Times New Roman"/>
          <w:sz w:val="24"/>
        </w:rPr>
        <w:t>[Competencias del entrevistador clínico en literatura en español].</w:t>
      </w:r>
    </w:p>
    <w:p>
      <w:r>
        <w:rPr>
          <w:rFonts w:ascii="Times New Roman" w:hAnsi="Times New Roman"/>
          <w:b/>
          <w:i/>
          <w:color w:val="808080"/>
          <w:sz w:val="20"/>
        </w:rPr>
        <w:t>Verificación antes del envío.</w:t>
      </w:r>
      <w:r>
        <w:rPr>
          <w:rFonts w:ascii="Times New Roman" w:hAnsi="Times New Roman"/>
          <w:i/>
          <w:color w:val="808080"/>
          <w:sz w:val="20"/>
        </w:rPr>
        <w:t xml:space="preserve"> (1) Tres referencias sobre LLM ya fueron verificadas con su fuente primaria: Cabrera Lozoya et al. (2025), Hicke et al. (2025) y Wang et al. (2024). Las cinco restantes (Borg, Kus, Min, Sancheti, Webb) corresponden a fuentes reales localizadas por título/URL, pero sus </w:t>
      </w:r>
      <w:r>
        <w:rPr>
          <w:rFonts w:ascii="Times New Roman" w:hAnsi="Times New Roman"/>
          <w:b/>
          <w:i/>
          <w:color w:val="808080"/>
          <w:sz w:val="20"/>
        </w:rPr>
        <w:t>apellidos, iniciales, año y datos de volumen siguen provisionales y deben verificarse</w:t>
      </w:r>
      <w:r>
        <w:rPr>
          <w:rFonts w:ascii="Times New Roman" w:hAnsi="Times New Roman"/>
          <w:i/>
          <w:color w:val="808080"/>
          <w:sz w:val="20"/>
        </w:rPr>
        <w:t xml:space="preserve"> abriendo cada fuente y ajustarse las citas del texto. (2) Verificar los DOI/URL de todas las entradas con un gestor bibliográfico (Mendeley/Zotero). (3) Comprobar la </w:t>
      </w:r>
      <w:r>
        <w:rPr>
          <w:rFonts w:ascii="Times New Roman" w:hAnsi="Times New Roman"/>
          <w:b/>
          <w:i/>
          <w:color w:val="808080"/>
          <w:sz w:val="20"/>
        </w:rPr>
        <w:t>correspondencia exacta cita↔referencia</w:t>
      </w:r>
      <w:r>
        <w:rPr>
          <w:rFonts w:ascii="Times New Roman" w:hAnsi="Times New Roman"/>
          <w:i/>
          <w:color w:val="808080"/>
          <w:sz w:val="20"/>
        </w:rPr>
        <w:t xml:space="preserve"> en ambos sentidos. La revista aplica APA 7 de forma estricta y devuelve los manuscritos mal referenciados.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