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3599" w14:textId="77777777" w:rsidR="0018331A" w:rsidRDefault="00354032">
      <w:pPr>
        <w:spacing w:after="80"/>
      </w:pPr>
      <w:r>
        <w:rPr>
          <w:b/>
          <w:bCs/>
          <w:color w:val="1F3864"/>
          <w:sz w:val="36"/>
          <w:szCs w:val="36"/>
        </w:rPr>
        <w:t>BUILDING A KPI PROGRAM FROM ZERO</w:t>
      </w:r>
    </w:p>
    <w:p w14:paraId="31C531EF" w14:textId="77777777" w:rsidR="0018331A" w:rsidRDefault="00354032">
      <w:pPr>
        <w:spacing w:after="40"/>
      </w:pPr>
      <w:r>
        <w:rPr>
          <w:i/>
          <w:iCs/>
          <w:color w:val="605E5C"/>
          <w:sz w:val="24"/>
          <w:szCs w:val="24"/>
        </w:rPr>
        <w:t>Methodology Note — Consulting Operations KPI Program</w:t>
      </w:r>
    </w:p>
    <w:p w14:paraId="75196CDF" w14:textId="48EA023B" w:rsidR="0018331A" w:rsidRDefault="00354032">
      <w:pPr>
        <w:spacing w:after="360"/>
      </w:pPr>
      <w:r>
        <w:rPr>
          <w:color w:val="8A8886"/>
          <w:sz w:val="20"/>
          <w:szCs w:val="20"/>
        </w:rPr>
        <w:t xml:space="preserve">Christopher S. </w:t>
      </w:r>
      <w:r w:rsidR="004D5EA7">
        <w:rPr>
          <w:color w:val="8A8886"/>
          <w:sz w:val="20"/>
          <w:szCs w:val="20"/>
        </w:rPr>
        <w:t>Girvin •</w:t>
      </w:r>
      <w:r>
        <w:rPr>
          <w:color w:val="8A8886"/>
          <w:sz w:val="20"/>
          <w:szCs w:val="20"/>
        </w:rPr>
        <w:t xml:space="preserve"> Senior Analytics &amp; BI Professional</w:t>
      </w:r>
    </w:p>
    <w:p w14:paraId="6B72990D" w14:textId="2B65CEC0" w:rsidR="0018331A" w:rsidRDefault="00354032">
      <w:pPr>
        <w:spacing w:after="160"/>
      </w:pPr>
      <w:r>
        <w:t xml:space="preserve">This note explains the approach behind the companion KPI Definition &amp; Governance Workbook and Monthly Operations Review deck: how to take a professional services business with no formal metrics program and build one that leadership </w:t>
      </w:r>
      <w:r w:rsidR="004D5EA7">
        <w:t>uses</w:t>
      </w:r>
      <w:r>
        <w:t>. It reflects a real 30/60/90-day planning structure I've used to stand up exactly this kind of program.</w:t>
      </w:r>
    </w:p>
    <w:p w14:paraId="2666733F" w14:textId="77777777" w:rsidR="0018331A" w:rsidRDefault="00354032">
      <w:pPr>
        <w:pStyle w:val="Heading1"/>
        <w:spacing w:after="160"/>
      </w:pPr>
      <w:r>
        <w:t>The Problem This Solves</w:t>
      </w:r>
    </w:p>
    <w:p w14:paraId="4360048A" w14:textId="77777777" w:rsidR="0018331A" w:rsidRDefault="00354032">
      <w:pPr>
        <w:spacing w:after="160"/>
      </w:pPr>
      <w:r>
        <w:t>Fast-growing professional services and consulting businesses often reach a point where revenue has scaled past the team's ability to see it clearly. Bookings, backlog, utilization, and margin exist somewhere in a CRM and a few spreadsheets, but nobody has unified them into a single source leadership can act on. The fix isn't a dashboard — it's the governance work underneath one.</w:t>
      </w:r>
    </w:p>
    <w:p w14:paraId="559AF501" w14:textId="77777777" w:rsidR="0018331A" w:rsidRDefault="00354032">
      <w:pPr>
        <w:pStyle w:val="Heading1"/>
        <w:spacing w:after="160"/>
      </w:pPr>
      <w:r>
        <w:t>A 30/60/90 Approach</w:t>
      </w:r>
    </w:p>
    <w:p w14:paraId="34B5FD28" w14:textId="77777777" w:rsidR="0018331A" w:rsidRDefault="00354032">
      <w:pPr>
        <w:spacing w:after="160"/>
      </w:pPr>
      <w:r>
        <w:t>The same sequencing applies whether the company is three people or three hundred: define what to measure before building anything, get it reporting on a cadence, then automate it.</w:t>
      </w:r>
    </w:p>
    <w:p w14:paraId="44BDC08C" w14:textId="77777777" w:rsidR="0018331A" w:rsidRDefault="00354032">
      <w:pPr>
        <w:pStyle w:val="Heading2"/>
        <w:spacing w:after="100"/>
      </w:pPr>
      <w:r>
        <w:t>Days 1–30: Define</w:t>
      </w:r>
    </w:p>
    <w:p w14:paraId="3E908C9B" w14:textId="122672F5" w:rsidR="0018331A" w:rsidRDefault="00354032">
      <w:pPr>
        <w:pStyle w:val="ListParagraph"/>
        <w:numPr>
          <w:ilvl w:val="0"/>
          <w:numId w:val="2"/>
        </w:numPr>
        <w:spacing w:after="80"/>
      </w:pPr>
      <w:r>
        <w:t xml:space="preserve">Inventory what's already being measured today, and where each number </w:t>
      </w:r>
      <w:r w:rsidR="004D5EA7">
        <w:t>lives</w:t>
      </w:r>
      <w:r>
        <w:t xml:space="preserve"> (CRM, PSA system, finance ledger, spreadsheets).</w:t>
      </w:r>
    </w:p>
    <w:p w14:paraId="4A6EF6AB" w14:textId="77777777" w:rsidR="0018331A" w:rsidRDefault="00354032">
      <w:pPr>
        <w:pStyle w:val="ListParagraph"/>
        <w:numPr>
          <w:ilvl w:val="0"/>
          <w:numId w:val="2"/>
        </w:numPr>
        <w:spacing w:after="80"/>
      </w:pPr>
      <w:r>
        <w:t>Interview the people who will use the metrics — not just leadership, but the project managers and delivery staff whose work generates the underlying data. Their questions surface the metrics that matter and the ones that don't.</w:t>
      </w:r>
    </w:p>
    <w:p w14:paraId="1DF9C83A" w14:textId="77777777" w:rsidR="0018331A" w:rsidRDefault="00354032">
      <w:pPr>
        <w:pStyle w:val="ListParagraph"/>
        <w:numPr>
          <w:ilvl w:val="0"/>
          <w:numId w:val="2"/>
        </w:numPr>
        <w:spacing w:after="80"/>
      </w:pPr>
      <w:r>
        <w:t>Define each metric formally: name, calculation, data source, owner, and reporting cadence. This becomes the governance catalog everything downstream is built from.</w:t>
      </w:r>
    </w:p>
    <w:p w14:paraId="12832533" w14:textId="77777777" w:rsidR="0018331A" w:rsidRDefault="00354032">
      <w:pPr>
        <w:pStyle w:val="ListParagraph"/>
        <w:numPr>
          <w:ilvl w:val="0"/>
          <w:numId w:val="2"/>
        </w:numPr>
        <w:spacing w:after="80"/>
      </w:pPr>
      <w:r>
        <w:t>Build a first sample report against real (or representative) data so stakeholders can react to something concrete rather than a list of metric names.</w:t>
      </w:r>
    </w:p>
    <w:p w14:paraId="4C36DDFC" w14:textId="77777777" w:rsidR="0018331A" w:rsidRDefault="00354032">
      <w:pPr>
        <w:pStyle w:val="Heading2"/>
        <w:spacing w:after="100"/>
      </w:pPr>
      <w:r>
        <w:t>Days 31–60: Operationalize</w:t>
      </w:r>
    </w:p>
    <w:p w14:paraId="6FEED8D2" w14:textId="0DDBBCD3" w:rsidR="0018331A" w:rsidRDefault="00354032">
      <w:pPr>
        <w:pStyle w:val="ListParagraph"/>
        <w:numPr>
          <w:ilvl w:val="0"/>
          <w:numId w:val="2"/>
        </w:numPr>
        <w:spacing w:after="80"/>
      </w:pPr>
      <w:r>
        <w:t>Stand up a weekly reporting cadence for the metrics that move fast enough to need it</w:t>
      </w:r>
      <w:r w:rsidR="004D5EA7">
        <w:t xml:space="preserve"> </w:t>
      </w:r>
      <w:proofErr w:type="gramStart"/>
      <w:r w:rsidR="004D5EA7">
        <w:t xml:space="preserve">- </w:t>
      </w:r>
      <w:r>
        <w:t xml:space="preserve"> utilization</w:t>
      </w:r>
      <w:proofErr w:type="gramEnd"/>
      <w:r>
        <w:t>, bookings, project health.</w:t>
      </w:r>
    </w:p>
    <w:p w14:paraId="3900ED0C" w14:textId="77777777" w:rsidR="0018331A" w:rsidRDefault="00354032">
      <w:pPr>
        <w:pStyle w:val="ListParagraph"/>
        <w:numPr>
          <w:ilvl w:val="0"/>
          <w:numId w:val="2"/>
        </w:numPr>
        <w:spacing w:after="80"/>
      </w:pPr>
      <w:r>
        <w:t>Run a monthly operations review meeting against the full metric set, with a standing agenda: what hit target, what didn't, and why.</w:t>
      </w:r>
    </w:p>
    <w:p w14:paraId="7392A977" w14:textId="77777777" w:rsidR="0018331A" w:rsidRDefault="00354032">
      <w:pPr>
        <w:pStyle w:val="ListParagraph"/>
        <w:numPr>
          <w:ilvl w:val="0"/>
          <w:numId w:val="2"/>
        </w:numPr>
        <w:spacing w:after="80"/>
      </w:pPr>
      <w:r>
        <w:t>Do a gap analysis on the manual work required to produce each number, and flag where automation would pay off first.</w:t>
      </w:r>
    </w:p>
    <w:p w14:paraId="5C7C3EB4" w14:textId="77777777" w:rsidR="0018331A" w:rsidRDefault="00354032">
      <w:pPr>
        <w:pStyle w:val="ListParagraph"/>
        <w:numPr>
          <w:ilvl w:val="0"/>
          <w:numId w:val="2"/>
        </w:numPr>
        <w:spacing w:after="80"/>
      </w:pPr>
      <w:r>
        <w:t xml:space="preserve">Expect — and plan for — numbers that don't tie across reports in this phase. Two views built for different audiences (an executive dashboard vs. a department-level variance report) will almost never reconcile to the decimal, and that's fine </w:t>
      </w:r>
      <w:proofErr w:type="gramStart"/>
      <w:r>
        <w:t>as long as</w:t>
      </w:r>
      <w:proofErr w:type="gramEnd"/>
      <w:r>
        <w:t xml:space="preserve"> the reason why is documented.</w:t>
      </w:r>
    </w:p>
    <w:p w14:paraId="257E5EA0" w14:textId="77777777" w:rsidR="0018331A" w:rsidRDefault="00354032">
      <w:pPr>
        <w:pStyle w:val="Heading2"/>
        <w:spacing w:after="100"/>
      </w:pPr>
      <w:r>
        <w:t>Days 61–90: Automate &amp; Institutionalize</w:t>
      </w:r>
    </w:p>
    <w:p w14:paraId="7C00F4CA" w14:textId="77777777" w:rsidR="0018331A" w:rsidRDefault="00354032">
      <w:pPr>
        <w:pStyle w:val="ListParagraph"/>
        <w:numPr>
          <w:ilvl w:val="0"/>
          <w:numId w:val="2"/>
        </w:numPr>
        <w:spacing w:after="80"/>
      </w:pPr>
      <w:r>
        <w:t>Build the recurring extraction and calculation pipeline so metrics stop depending on someone manually pulling and reshaping data every cycle.</w:t>
      </w:r>
    </w:p>
    <w:p w14:paraId="4BBBF353" w14:textId="77777777" w:rsidR="0018331A" w:rsidRDefault="00354032">
      <w:pPr>
        <w:pStyle w:val="ListParagraph"/>
        <w:numPr>
          <w:ilvl w:val="0"/>
          <w:numId w:val="2"/>
        </w:numPr>
        <w:spacing w:after="80"/>
      </w:pPr>
      <w:r>
        <w:t>Document the full data lineage — source system, transformation logic, output report — so the process survives a change in who runs it.</w:t>
      </w:r>
    </w:p>
    <w:p w14:paraId="0472A06E" w14:textId="77777777" w:rsidR="0018331A" w:rsidRDefault="00354032">
      <w:pPr>
        <w:pStyle w:val="ListParagraph"/>
        <w:numPr>
          <w:ilvl w:val="0"/>
          <w:numId w:val="2"/>
        </w:numPr>
        <w:spacing w:after="80"/>
      </w:pPr>
      <w:r>
        <w:lastRenderedPageBreak/>
        <w:t>Formalize ownership: every metric on the catalog has a named owner accountable for its accuracy and its story when it moves.</w:t>
      </w:r>
    </w:p>
    <w:p w14:paraId="3C81574E" w14:textId="77777777" w:rsidR="0018331A" w:rsidRDefault="00354032">
      <w:pPr>
        <w:pStyle w:val="Heading1"/>
        <w:spacing w:after="160"/>
      </w:pPr>
      <w:r>
        <w:t xml:space="preserve">The Governance-First </w:t>
      </w:r>
      <w:proofErr w:type="gramStart"/>
      <w:r>
        <w:t>Principle</w:t>
      </w:r>
      <w:proofErr w:type="gramEnd"/>
    </w:p>
    <w:p w14:paraId="48FF1FC8" w14:textId="7B3B0F98" w:rsidR="0018331A" w:rsidRDefault="00354032">
      <w:pPr>
        <w:pBdr>
          <w:left w:val="single" w:sz="18" w:space="8" w:color="0D9488"/>
        </w:pBdr>
        <w:shd w:val="clear" w:color="auto" w:fill="F2F2F2"/>
        <w:spacing w:before="80" w:after="200"/>
        <w:ind w:left="120"/>
      </w:pPr>
      <w:r>
        <w:rPr>
          <w:i/>
          <w:iCs/>
          <w:color w:val="44546A"/>
        </w:rPr>
        <w:t>A metrics program built backwards from the dashboard — ‘what can I chart’</w:t>
      </w:r>
      <w:r w:rsidR="004D5EA7">
        <w:rPr>
          <w:i/>
          <w:iCs/>
          <w:color w:val="44546A"/>
        </w:rPr>
        <w:t>-</w:t>
      </w:r>
      <w:r>
        <w:rPr>
          <w:i/>
          <w:iCs/>
          <w:color w:val="44546A"/>
        </w:rPr>
        <w:t xml:space="preserve"> tends to drift from what the business </w:t>
      </w:r>
      <w:r w:rsidR="004D5EA7">
        <w:rPr>
          <w:i/>
          <w:iCs/>
          <w:color w:val="44546A"/>
        </w:rPr>
        <w:t>needs</w:t>
      </w:r>
      <w:r>
        <w:rPr>
          <w:i/>
          <w:iCs/>
          <w:color w:val="44546A"/>
        </w:rPr>
        <w:t xml:space="preserve"> to </w:t>
      </w:r>
      <w:r w:rsidR="004D5EA7">
        <w:rPr>
          <w:i/>
          <w:iCs/>
          <w:color w:val="44546A"/>
        </w:rPr>
        <w:t>know and</w:t>
      </w:r>
      <w:r>
        <w:rPr>
          <w:i/>
          <w:iCs/>
          <w:color w:val="44546A"/>
        </w:rPr>
        <w:t xml:space="preserve"> breaks down the first time someone asks why two numbers don’t match.</w:t>
      </w:r>
    </w:p>
    <w:p w14:paraId="7E730A54" w14:textId="2E136966" w:rsidR="0018331A" w:rsidRDefault="00354032">
      <w:pPr>
        <w:spacing w:after="160"/>
      </w:pPr>
      <w:r>
        <w:t xml:space="preserve">This is the single idea the whole approach rests on. Defining the metric, its formula, its data source, and its owner before building any visual means two things: the dashboard answers a question someone </w:t>
      </w:r>
      <w:r w:rsidR="004D5EA7">
        <w:t>asked</w:t>
      </w:r>
      <w:r>
        <w:t>, and any reviewer — a new analyst, an auditor, a skeptical VP — can trace exactly how a number was produced. That traceability is what makes a metrics program durable instead of decorative.</w:t>
      </w:r>
    </w:p>
    <w:p w14:paraId="1E602E15" w14:textId="77777777" w:rsidR="0018331A" w:rsidRDefault="00354032">
      <w:pPr>
        <w:pStyle w:val="Heading1"/>
        <w:spacing w:after="160"/>
      </w:pPr>
      <w:r>
        <w:t>Why This Matters Beyond the Dashboard</w:t>
      </w:r>
    </w:p>
    <w:p w14:paraId="777D10BC" w14:textId="556AD21F" w:rsidR="0018331A" w:rsidRDefault="00354032" w:rsidP="004D5EA7">
      <w:pPr>
        <w:spacing w:after="160"/>
      </w:pPr>
      <w:r>
        <w:t xml:space="preserve">The artifacts in this portfolio piece — the KPI catalog, the sample calculations, the monthly review deck — are downstream outputs of this process, not the process itself. The actual differentiated skill is upstream: knowing how to walk into a business with no formal measurement discipline, </w:t>
      </w:r>
      <w:r w:rsidR="004D5EA7">
        <w:t>asking</w:t>
      </w:r>
      <w:r>
        <w:t xml:space="preserve"> the right people the right questions, and </w:t>
      </w:r>
      <w:r w:rsidR="004D5EA7">
        <w:t>building</w:t>
      </w:r>
      <w:r>
        <w:t xml:space="preserve"> a structure that survives contact with the business's real complexity. The charts are the easy part. Getting the definitions right, and getting the organization to agree to use them, is the work that </w:t>
      </w:r>
      <w:r w:rsidR="004D5EA7">
        <w:t>matters</w:t>
      </w:r>
      <w:r>
        <w:t>.</w:t>
      </w:r>
    </w:p>
    <w:p w14:paraId="13F8044B" w14:textId="77777777" w:rsidR="0018331A" w:rsidRDefault="00354032">
      <w:pPr>
        <w:spacing w:before="200"/>
      </w:pPr>
      <w:r>
        <w:rPr>
          <w:i/>
          <w:iCs/>
          <w:color w:val="808080"/>
          <w:sz w:val="19"/>
          <w:szCs w:val="19"/>
        </w:rPr>
        <w:t>All figures and the scenario described in this note are synthetic and representative. No actual employer, client, or proprietary data is used.</w:t>
      </w:r>
    </w:p>
    <w:sectPr w:rsidR="001833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438E"/>
    <w:multiLevelType w:val="hybridMultilevel"/>
    <w:tmpl w:val="AC908892"/>
    <w:lvl w:ilvl="0" w:tplc="D76E2EC0">
      <w:start w:val="1"/>
      <w:numFmt w:val="bullet"/>
      <w:lvlText w:val="•"/>
      <w:lvlJc w:val="left"/>
      <w:pPr>
        <w:ind w:left="720" w:hanging="360"/>
      </w:pPr>
    </w:lvl>
    <w:lvl w:ilvl="1" w:tplc="D3C6DFB4">
      <w:numFmt w:val="decimal"/>
      <w:lvlText w:val=""/>
      <w:lvlJc w:val="left"/>
    </w:lvl>
    <w:lvl w:ilvl="2" w:tplc="9D3C6E58">
      <w:numFmt w:val="decimal"/>
      <w:lvlText w:val=""/>
      <w:lvlJc w:val="left"/>
    </w:lvl>
    <w:lvl w:ilvl="3" w:tplc="A70048E2">
      <w:numFmt w:val="decimal"/>
      <w:lvlText w:val=""/>
      <w:lvlJc w:val="left"/>
    </w:lvl>
    <w:lvl w:ilvl="4" w:tplc="930CDF66">
      <w:numFmt w:val="decimal"/>
      <w:lvlText w:val=""/>
      <w:lvlJc w:val="left"/>
    </w:lvl>
    <w:lvl w:ilvl="5" w:tplc="EF261D8A">
      <w:numFmt w:val="decimal"/>
      <w:lvlText w:val=""/>
      <w:lvlJc w:val="left"/>
    </w:lvl>
    <w:lvl w:ilvl="6" w:tplc="8C90DD74">
      <w:numFmt w:val="decimal"/>
      <w:lvlText w:val=""/>
      <w:lvlJc w:val="left"/>
    </w:lvl>
    <w:lvl w:ilvl="7" w:tplc="38323DBA">
      <w:numFmt w:val="decimal"/>
      <w:lvlText w:val=""/>
      <w:lvlJc w:val="left"/>
    </w:lvl>
    <w:lvl w:ilvl="8" w:tplc="8572E8CC">
      <w:numFmt w:val="decimal"/>
      <w:lvlText w:val=""/>
      <w:lvlJc w:val="left"/>
    </w:lvl>
  </w:abstractNum>
  <w:abstractNum w:abstractNumId="1" w15:restartNumberingAfterBreak="0">
    <w:nsid w:val="44BA4536"/>
    <w:multiLevelType w:val="hybridMultilevel"/>
    <w:tmpl w:val="C3C2621E"/>
    <w:lvl w:ilvl="0" w:tplc="A58EAAC8">
      <w:start w:val="1"/>
      <w:numFmt w:val="bullet"/>
      <w:lvlText w:val="●"/>
      <w:lvlJc w:val="left"/>
      <w:pPr>
        <w:ind w:left="720" w:hanging="360"/>
      </w:pPr>
    </w:lvl>
    <w:lvl w:ilvl="1" w:tplc="57163FFE">
      <w:start w:val="1"/>
      <w:numFmt w:val="bullet"/>
      <w:lvlText w:val="○"/>
      <w:lvlJc w:val="left"/>
      <w:pPr>
        <w:ind w:left="1440" w:hanging="360"/>
      </w:pPr>
    </w:lvl>
    <w:lvl w:ilvl="2" w:tplc="6BD0A802">
      <w:start w:val="1"/>
      <w:numFmt w:val="bullet"/>
      <w:lvlText w:val="■"/>
      <w:lvlJc w:val="left"/>
      <w:pPr>
        <w:ind w:left="2160" w:hanging="360"/>
      </w:pPr>
    </w:lvl>
    <w:lvl w:ilvl="3" w:tplc="EE76ED24">
      <w:start w:val="1"/>
      <w:numFmt w:val="bullet"/>
      <w:lvlText w:val="●"/>
      <w:lvlJc w:val="left"/>
      <w:pPr>
        <w:ind w:left="2880" w:hanging="360"/>
      </w:pPr>
    </w:lvl>
    <w:lvl w:ilvl="4" w:tplc="1A50DA56">
      <w:start w:val="1"/>
      <w:numFmt w:val="bullet"/>
      <w:lvlText w:val="○"/>
      <w:lvlJc w:val="left"/>
      <w:pPr>
        <w:ind w:left="3600" w:hanging="360"/>
      </w:pPr>
    </w:lvl>
    <w:lvl w:ilvl="5" w:tplc="D012D8C2">
      <w:start w:val="1"/>
      <w:numFmt w:val="bullet"/>
      <w:lvlText w:val="■"/>
      <w:lvlJc w:val="left"/>
      <w:pPr>
        <w:ind w:left="4320" w:hanging="360"/>
      </w:pPr>
    </w:lvl>
    <w:lvl w:ilvl="6" w:tplc="04F2203A">
      <w:start w:val="1"/>
      <w:numFmt w:val="bullet"/>
      <w:lvlText w:val="●"/>
      <w:lvlJc w:val="left"/>
      <w:pPr>
        <w:ind w:left="5040" w:hanging="360"/>
      </w:pPr>
    </w:lvl>
    <w:lvl w:ilvl="7" w:tplc="A7B086CE">
      <w:start w:val="1"/>
      <w:numFmt w:val="bullet"/>
      <w:lvlText w:val="●"/>
      <w:lvlJc w:val="left"/>
      <w:pPr>
        <w:ind w:left="5760" w:hanging="360"/>
      </w:pPr>
    </w:lvl>
    <w:lvl w:ilvl="8" w:tplc="1C5EB886">
      <w:start w:val="1"/>
      <w:numFmt w:val="bullet"/>
      <w:lvlText w:val="●"/>
      <w:lvlJc w:val="left"/>
      <w:pPr>
        <w:ind w:left="6480" w:hanging="360"/>
      </w:pPr>
    </w:lvl>
  </w:abstractNum>
  <w:num w:numId="1" w16cid:durableId="406224454">
    <w:abstractNumId w:val="1"/>
    <w:lvlOverride w:ilvl="0">
      <w:startOverride w:val="1"/>
    </w:lvlOverride>
  </w:num>
  <w:num w:numId="2" w16cid:durableId="2063020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1A"/>
    <w:rsid w:val="0018331A"/>
    <w:rsid w:val="002D6FA1"/>
    <w:rsid w:val="00354032"/>
    <w:rsid w:val="004D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C1C7"/>
  <w15:docId w15:val="{BD10C0C6-205F-4357-9980-7FC5341B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D9488"/>
      </w:pBdr>
      <w:spacing w:before="320" w:after="200"/>
      <w:outlineLvl w:val="0"/>
    </w:pPr>
    <w:rPr>
      <w:b/>
      <w:bCs/>
      <w:color w:val="1F3864"/>
      <w:sz w:val="30"/>
      <w:szCs w:val="30"/>
    </w:rPr>
  </w:style>
  <w:style w:type="paragraph" w:styleId="Heading2">
    <w:name w:val="heading 2"/>
    <w:uiPriority w:val="9"/>
    <w:unhideWhenUsed/>
    <w:qFormat/>
    <w:pPr>
      <w:spacing w:before="20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Girvin</cp:lastModifiedBy>
  <cp:revision>2</cp:revision>
  <dcterms:created xsi:type="dcterms:W3CDTF">2026-06-24T16:30:00Z</dcterms:created>
  <dcterms:modified xsi:type="dcterms:W3CDTF">2026-06-24T16:30:00Z</dcterms:modified>
</cp:coreProperties>
</file>