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40AE" w14:textId="77777777" w:rsidR="005E1C88" w:rsidRDefault="00916720">
      <w:pPr>
        <w:spacing w:after="80"/>
      </w:pPr>
      <w:r>
        <w:rPr>
          <w:b/>
          <w:bCs/>
          <w:color w:val="12239E"/>
          <w:sz w:val="36"/>
          <w:szCs w:val="36"/>
        </w:rPr>
        <w:t>POWER BI DATA MODEL &amp; DAX REFERENCE</w:t>
      </w:r>
    </w:p>
    <w:p w14:paraId="7061148C" w14:textId="77777777" w:rsidR="005E1C88" w:rsidRDefault="00916720">
      <w:pPr>
        <w:spacing w:after="40"/>
      </w:pPr>
      <w:r>
        <w:rPr>
          <w:i/>
          <w:iCs/>
          <w:color w:val="605E5C"/>
          <w:sz w:val="24"/>
          <w:szCs w:val="24"/>
        </w:rPr>
        <w:t>Vendor Consolidation Analysis — Build Specification</w:t>
      </w:r>
    </w:p>
    <w:p w14:paraId="575E27AF" w14:textId="4077A92F" w:rsidR="005E1C88" w:rsidRDefault="00916720">
      <w:pPr>
        <w:spacing w:after="360"/>
      </w:pPr>
      <w:r>
        <w:rPr>
          <w:color w:val="8A8886"/>
          <w:sz w:val="20"/>
          <w:szCs w:val="20"/>
        </w:rPr>
        <w:t xml:space="preserve">Christopher S. </w:t>
      </w:r>
      <w:r w:rsidR="000A3442">
        <w:rPr>
          <w:color w:val="8A8886"/>
          <w:sz w:val="20"/>
          <w:szCs w:val="20"/>
        </w:rPr>
        <w:t>Girvin •</w:t>
      </w:r>
      <w:r>
        <w:rPr>
          <w:color w:val="8A8886"/>
          <w:sz w:val="20"/>
          <w:szCs w:val="20"/>
        </w:rPr>
        <w:t xml:space="preserve"> Senior Analytics &amp; BI Professional</w:t>
      </w:r>
    </w:p>
    <w:p w14:paraId="522542E8" w14:textId="77777777" w:rsidR="005E1C88" w:rsidRDefault="00916720">
      <w:pPr>
        <w:spacing w:after="160"/>
      </w:pPr>
      <w:r>
        <w:t>This document specifies the data model, table relationships, and DAX measures behind the Vendor Consolidation Analysis dashboard. It is written so the model can be reproduced directly in Power BI Desktop: import the tables below, build the relationships as specified, then add each measure exactly as written. The interactive HTML version of this dashboard mirrors the same analytical logic using JavaScript instead of DAX — the underlying reasoning is identical across both.</w:t>
      </w:r>
    </w:p>
    <w:p w14:paraId="7A84B26B" w14:textId="77777777" w:rsidR="005E1C88" w:rsidRDefault="00916720">
      <w:pPr>
        <w:pStyle w:val="Heading1"/>
        <w:spacing w:before="360" w:after="160"/>
      </w:pPr>
      <w:r>
        <w:t>1. Data Model Overview</w:t>
      </w:r>
    </w:p>
    <w:p w14:paraId="4FBDA18A" w14:textId="77777777" w:rsidR="005E1C88" w:rsidRDefault="00916720">
      <w:pPr>
        <w:spacing w:after="160"/>
      </w:pPr>
      <w:r>
        <w:t>The model follows a standard star schema: one fact table holding monthly budget and actual figures, surrounded by dimension tables for Department, Cost Category, and Calendar. This mirrors the structure already used in the Excel workbook's Variance Analysis tabs, normalized into a form Power BI can build relationships and measures against.</w:t>
      </w:r>
    </w:p>
    <w:p w14:paraId="38EB0FEA" w14:textId="77777777" w:rsidR="005E1C88" w:rsidRDefault="00916720">
      <w:pPr>
        <w:pStyle w:val="Heading2"/>
        <w:spacing w:before="280"/>
      </w:pPr>
      <w:r>
        <w:t>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1C88" w14:paraId="628E6101" w14:textId="77777777">
        <w:tblPrEx>
          <w:tblCellMar>
            <w:top w:w="0" w:type="dxa"/>
            <w:bottom w:w="0" w:type="dxa"/>
          </w:tblCellMar>
        </w:tblPrEx>
        <w:tc>
          <w:tcPr>
            <w:tcW w:w="3120" w:type="dxa"/>
            <w:tcBorders>
              <w:top w:val="single" w:sz="1" w:space="0" w:color="D1D1D1"/>
              <w:left w:val="single" w:sz="1" w:space="0" w:color="D1D1D1"/>
              <w:bottom w:val="single" w:sz="1" w:space="0" w:color="D1D1D1"/>
              <w:right w:val="single" w:sz="1" w:space="0" w:color="D1D1D1"/>
            </w:tcBorders>
            <w:shd w:val="clear" w:color="auto" w:fill="12239E"/>
            <w:tcMar>
              <w:top w:w="70" w:type="dxa"/>
              <w:left w:w="90" w:type="dxa"/>
              <w:bottom w:w="70" w:type="dxa"/>
              <w:right w:w="90" w:type="dxa"/>
            </w:tcMar>
            <w:vAlign w:val="center"/>
          </w:tcPr>
          <w:p w14:paraId="2CCE4340" w14:textId="77777777" w:rsidR="005E1C88" w:rsidRDefault="00916720">
            <w:r>
              <w:rPr>
                <w:b/>
                <w:bCs/>
                <w:color w:val="FFFFFF"/>
                <w:sz w:val="19"/>
                <w:szCs w:val="19"/>
              </w:rPr>
              <w:t>Table</w:t>
            </w:r>
          </w:p>
        </w:tc>
        <w:tc>
          <w:tcPr>
            <w:tcW w:w="3120" w:type="dxa"/>
            <w:tcBorders>
              <w:top w:val="single" w:sz="1" w:space="0" w:color="D1D1D1"/>
              <w:left w:val="single" w:sz="1" w:space="0" w:color="D1D1D1"/>
              <w:bottom w:val="single" w:sz="1" w:space="0" w:color="D1D1D1"/>
              <w:right w:val="single" w:sz="1" w:space="0" w:color="D1D1D1"/>
            </w:tcBorders>
            <w:shd w:val="clear" w:color="auto" w:fill="12239E"/>
            <w:tcMar>
              <w:top w:w="70" w:type="dxa"/>
              <w:left w:w="90" w:type="dxa"/>
              <w:bottom w:w="70" w:type="dxa"/>
              <w:right w:w="90" w:type="dxa"/>
            </w:tcMar>
            <w:vAlign w:val="center"/>
          </w:tcPr>
          <w:p w14:paraId="7FF6AD69" w14:textId="77777777" w:rsidR="005E1C88" w:rsidRDefault="00916720">
            <w:r>
              <w:rPr>
                <w:b/>
                <w:bCs/>
                <w:color w:val="FFFFFF"/>
                <w:sz w:val="19"/>
                <w:szCs w:val="19"/>
              </w:rPr>
              <w:t>Type</w:t>
            </w:r>
          </w:p>
        </w:tc>
        <w:tc>
          <w:tcPr>
            <w:tcW w:w="3120" w:type="dxa"/>
            <w:tcBorders>
              <w:top w:val="single" w:sz="1" w:space="0" w:color="D1D1D1"/>
              <w:left w:val="single" w:sz="1" w:space="0" w:color="D1D1D1"/>
              <w:bottom w:val="single" w:sz="1" w:space="0" w:color="D1D1D1"/>
              <w:right w:val="single" w:sz="1" w:space="0" w:color="D1D1D1"/>
            </w:tcBorders>
            <w:shd w:val="clear" w:color="auto" w:fill="12239E"/>
            <w:tcMar>
              <w:top w:w="70" w:type="dxa"/>
              <w:left w:w="90" w:type="dxa"/>
              <w:bottom w:w="70" w:type="dxa"/>
              <w:right w:w="90" w:type="dxa"/>
            </w:tcMar>
            <w:vAlign w:val="center"/>
          </w:tcPr>
          <w:p w14:paraId="35679A11" w14:textId="77777777" w:rsidR="005E1C88" w:rsidRDefault="00916720">
            <w:r>
              <w:rPr>
                <w:b/>
                <w:bCs/>
                <w:color w:val="FFFFFF"/>
                <w:sz w:val="19"/>
                <w:szCs w:val="19"/>
              </w:rPr>
              <w:t>Grain</w:t>
            </w:r>
          </w:p>
        </w:tc>
      </w:tr>
      <w:tr w:rsidR="005E1C88" w14:paraId="59D8BA3E" w14:textId="77777777">
        <w:tblPrEx>
          <w:tblCellMar>
            <w:top w:w="0" w:type="dxa"/>
            <w:bottom w:w="0" w:type="dxa"/>
          </w:tblCellMar>
        </w:tblPrEx>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0B2C539C" w14:textId="77777777" w:rsidR="005E1C88" w:rsidRDefault="00916720">
            <w:proofErr w:type="spellStart"/>
            <w:r>
              <w:rPr>
                <w:sz w:val="19"/>
                <w:szCs w:val="19"/>
              </w:rPr>
              <w:t>Fact_Variance</w:t>
            </w:r>
            <w:proofErr w:type="spellEnd"/>
          </w:p>
        </w:tc>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3E903EE5" w14:textId="77777777" w:rsidR="005E1C88" w:rsidRDefault="00916720">
            <w:r>
              <w:rPr>
                <w:sz w:val="19"/>
                <w:szCs w:val="19"/>
              </w:rPr>
              <w:t>Fact</w:t>
            </w:r>
          </w:p>
        </w:tc>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3EC9AC03" w14:textId="77777777" w:rsidR="005E1C88" w:rsidRDefault="00916720">
            <w:r>
              <w:rPr>
                <w:sz w:val="19"/>
                <w:szCs w:val="19"/>
              </w:rPr>
              <w:t>One row per Department × Cost Category × Month × Metric (Budget/Actual)</w:t>
            </w:r>
          </w:p>
        </w:tc>
      </w:tr>
      <w:tr w:rsidR="005E1C88" w14:paraId="04C336AF" w14:textId="77777777">
        <w:tblPrEx>
          <w:tblCellMar>
            <w:top w:w="0" w:type="dxa"/>
            <w:bottom w:w="0" w:type="dxa"/>
          </w:tblCellMar>
        </w:tblPrEx>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6A6DBD7A" w14:textId="77777777" w:rsidR="005E1C88" w:rsidRDefault="00916720">
            <w:proofErr w:type="spellStart"/>
            <w:r>
              <w:rPr>
                <w:sz w:val="19"/>
                <w:szCs w:val="19"/>
              </w:rPr>
              <w:t>Dim_Department</w:t>
            </w:r>
            <w:proofErr w:type="spellEnd"/>
          </w:p>
        </w:tc>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0F0AF32D" w14:textId="77777777" w:rsidR="005E1C88" w:rsidRDefault="00916720">
            <w:r>
              <w:rPr>
                <w:sz w:val="19"/>
                <w:szCs w:val="19"/>
              </w:rPr>
              <w:t>Dimension</w:t>
            </w:r>
          </w:p>
        </w:tc>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321FB082" w14:textId="77777777" w:rsidR="005E1C88" w:rsidRDefault="00916720">
            <w:r>
              <w:rPr>
                <w:sz w:val="19"/>
                <w:szCs w:val="19"/>
              </w:rPr>
              <w:t>One row per department (Finance, Risk, Operations)</w:t>
            </w:r>
          </w:p>
        </w:tc>
      </w:tr>
      <w:tr w:rsidR="005E1C88" w14:paraId="5E8801BA" w14:textId="77777777">
        <w:tblPrEx>
          <w:tblCellMar>
            <w:top w:w="0" w:type="dxa"/>
            <w:bottom w:w="0" w:type="dxa"/>
          </w:tblCellMar>
        </w:tblPrEx>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501587AD" w14:textId="77777777" w:rsidR="005E1C88" w:rsidRDefault="00916720">
            <w:proofErr w:type="spellStart"/>
            <w:r>
              <w:rPr>
                <w:sz w:val="19"/>
                <w:szCs w:val="19"/>
              </w:rPr>
              <w:t>Dim_Category</w:t>
            </w:r>
            <w:proofErr w:type="spellEnd"/>
          </w:p>
        </w:tc>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6502E936" w14:textId="77777777" w:rsidR="005E1C88" w:rsidRDefault="00916720">
            <w:r>
              <w:rPr>
                <w:sz w:val="19"/>
                <w:szCs w:val="19"/>
              </w:rPr>
              <w:t>Dimension</w:t>
            </w:r>
          </w:p>
        </w:tc>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3BB9B600" w14:textId="77777777" w:rsidR="005E1C88" w:rsidRDefault="00916720">
            <w:r>
              <w:rPr>
                <w:sz w:val="19"/>
                <w:szCs w:val="19"/>
              </w:rPr>
              <w:t>One row per cost category (6 categories)</w:t>
            </w:r>
          </w:p>
        </w:tc>
      </w:tr>
      <w:tr w:rsidR="005E1C88" w14:paraId="7B5C32EE" w14:textId="77777777">
        <w:tblPrEx>
          <w:tblCellMar>
            <w:top w:w="0" w:type="dxa"/>
            <w:bottom w:w="0" w:type="dxa"/>
          </w:tblCellMar>
        </w:tblPrEx>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22B733B5" w14:textId="77777777" w:rsidR="005E1C88" w:rsidRDefault="00916720">
            <w:proofErr w:type="spellStart"/>
            <w:r>
              <w:rPr>
                <w:sz w:val="19"/>
                <w:szCs w:val="19"/>
              </w:rPr>
              <w:t>Dim_Calendar</w:t>
            </w:r>
            <w:proofErr w:type="spellEnd"/>
          </w:p>
        </w:tc>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6947793F" w14:textId="77777777" w:rsidR="005E1C88" w:rsidRDefault="00916720">
            <w:r>
              <w:rPr>
                <w:sz w:val="19"/>
                <w:szCs w:val="19"/>
              </w:rPr>
              <w:t>Dimension</w:t>
            </w:r>
          </w:p>
        </w:tc>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76036590" w14:textId="77777777" w:rsidR="005E1C88" w:rsidRDefault="00916720">
            <w:r>
              <w:rPr>
                <w:sz w:val="19"/>
                <w:szCs w:val="19"/>
              </w:rPr>
              <w:t>One row per month, FY2022</w:t>
            </w:r>
          </w:p>
        </w:tc>
      </w:tr>
      <w:tr w:rsidR="005E1C88" w14:paraId="4EE34232" w14:textId="77777777">
        <w:tblPrEx>
          <w:tblCellMar>
            <w:top w:w="0" w:type="dxa"/>
            <w:bottom w:w="0" w:type="dxa"/>
          </w:tblCellMar>
        </w:tblPrEx>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1B1ACAC6" w14:textId="77777777" w:rsidR="005E1C88" w:rsidRDefault="00916720">
            <w:proofErr w:type="spellStart"/>
            <w:r>
              <w:rPr>
                <w:sz w:val="19"/>
                <w:szCs w:val="19"/>
              </w:rPr>
              <w:t>Fact_Scenarios</w:t>
            </w:r>
            <w:proofErr w:type="spellEnd"/>
          </w:p>
        </w:tc>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6DE1E093" w14:textId="77777777" w:rsidR="005E1C88" w:rsidRDefault="00916720">
            <w:r>
              <w:rPr>
                <w:sz w:val="19"/>
                <w:szCs w:val="19"/>
              </w:rPr>
              <w:t>Fact (small)</w:t>
            </w:r>
          </w:p>
        </w:tc>
        <w:tc>
          <w:tcPr>
            <w:tcW w:w="312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0D714EA8" w14:textId="77777777" w:rsidR="005E1C88" w:rsidRDefault="00916720">
            <w:r>
              <w:rPr>
                <w:sz w:val="19"/>
                <w:szCs w:val="19"/>
              </w:rPr>
              <w:t>One row per consolidation scenario (A/B/C) with assumption and output columns</w:t>
            </w:r>
          </w:p>
        </w:tc>
      </w:tr>
    </w:tbl>
    <w:p w14:paraId="7F6F56B8" w14:textId="77777777" w:rsidR="005E1C88" w:rsidRDefault="005E1C88">
      <w:pPr>
        <w:spacing w:after="120"/>
      </w:pPr>
    </w:p>
    <w:p w14:paraId="6D5ED9E3" w14:textId="77777777" w:rsidR="005E1C88" w:rsidRDefault="00916720">
      <w:pPr>
        <w:pStyle w:val="Heading2"/>
        <w:spacing w:before="280"/>
      </w:pPr>
      <w:r>
        <w:t>Relationships</w:t>
      </w:r>
    </w:p>
    <w:p w14:paraId="6AD9BBD8" w14:textId="77777777" w:rsidR="005E1C88" w:rsidRDefault="00916720">
      <w:pPr>
        <w:pStyle w:val="ListParagraph"/>
        <w:numPr>
          <w:ilvl w:val="0"/>
          <w:numId w:val="2"/>
        </w:numPr>
        <w:spacing w:after="80"/>
      </w:pPr>
      <w:proofErr w:type="spellStart"/>
      <w:r>
        <w:t>Dim_</w:t>
      </w:r>
      <w:proofErr w:type="gramStart"/>
      <w:r>
        <w:t>Department</w:t>
      </w:r>
      <w:proofErr w:type="spellEnd"/>
      <w:r>
        <w:t>[</w:t>
      </w:r>
      <w:proofErr w:type="spellStart"/>
      <w:proofErr w:type="gramEnd"/>
      <w:r>
        <w:t>DepartmentID</w:t>
      </w:r>
      <w:proofErr w:type="spellEnd"/>
      <w:r>
        <w:t xml:space="preserve">] (1) → </w:t>
      </w:r>
      <w:proofErr w:type="spellStart"/>
      <w:r>
        <w:t>Fact_</w:t>
      </w:r>
      <w:proofErr w:type="gramStart"/>
      <w:r>
        <w:t>Variance</w:t>
      </w:r>
      <w:proofErr w:type="spellEnd"/>
      <w:r>
        <w:t>[</w:t>
      </w:r>
      <w:proofErr w:type="spellStart"/>
      <w:proofErr w:type="gramEnd"/>
      <w:r>
        <w:t>DepartmentID</w:t>
      </w:r>
      <w:proofErr w:type="spellEnd"/>
      <w:r>
        <w:t>] (*)</w:t>
      </w:r>
    </w:p>
    <w:p w14:paraId="3E083A57" w14:textId="77777777" w:rsidR="005E1C88" w:rsidRDefault="00916720">
      <w:pPr>
        <w:pStyle w:val="ListParagraph"/>
        <w:numPr>
          <w:ilvl w:val="0"/>
          <w:numId w:val="2"/>
        </w:numPr>
        <w:spacing w:after="80"/>
      </w:pPr>
      <w:proofErr w:type="spellStart"/>
      <w:r>
        <w:t>Dim_</w:t>
      </w:r>
      <w:proofErr w:type="gramStart"/>
      <w:r>
        <w:t>Category</w:t>
      </w:r>
      <w:proofErr w:type="spellEnd"/>
      <w:r>
        <w:t>[</w:t>
      </w:r>
      <w:proofErr w:type="spellStart"/>
      <w:proofErr w:type="gramEnd"/>
      <w:r>
        <w:t>CategoryID</w:t>
      </w:r>
      <w:proofErr w:type="spellEnd"/>
      <w:r>
        <w:t xml:space="preserve">] (1) → </w:t>
      </w:r>
      <w:proofErr w:type="spellStart"/>
      <w:r>
        <w:t>Fact_</w:t>
      </w:r>
      <w:proofErr w:type="gramStart"/>
      <w:r>
        <w:t>Variance</w:t>
      </w:r>
      <w:proofErr w:type="spellEnd"/>
      <w:r>
        <w:t>[</w:t>
      </w:r>
      <w:proofErr w:type="spellStart"/>
      <w:proofErr w:type="gramEnd"/>
      <w:r>
        <w:t>CategoryID</w:t>
      </w:r>
      <w:proofErr w:type="spellEnd"/>
      <w:r>
        <w:t>] (*)</w:t>
      </w:r>
    </w:p>
    <w:p w14:paraId="5CB2F299" w14:textId="77777777" w:rsidR="005E1C88" w:rsidRDefault="00916720">
      <w:pPr>
        <w:pStyle w:val="ListParagraph"/>
        <w:numPr>
          <w:ilvl w:val="0"/>
          <w:numId w:val="2"/>
        </w:numPr>
        <w:spacing w:after="80"/>
      </w:pPr>
      <w:proofErr w:type="spellStart"/>
      <w:r>
        <w:t>Dim_</w:t>
      </w:r>
      <w:proofErr w:type="gramStart"/>
      <w:r>
        <w:t>Calendar</w:t>
      </w:r>
      <w:proofErr w:type="spellEnd"/>
      <w:r>
        <w:t>[</w:t>
      </w:r>
      <w:proofErr w:type="gramEnd"/>
      <w:r>
        <w:t xml:space="preserve">Date] (1) → </w:t>
      </w:r>
      <w:proofErr w:type="spellStart"/>
      <w:r>
        <w:t>Fact_</w:t>
      </w:r>
      <w:proofErr w:type="gramStart"/>
      <w:r>
        <w:t>Variance</w:t>
      </w:r>
      <w:proofErr w:type="spellEnd"/>
      <w:r>
        <w:t>[</w:t>
      </w:r>
      <w:proofErr w:type="gramEnd"/>
      <w:r>
        <w:t>Date] (*)</w:t>
      </w:r>
    </w:p>
    <w:p w14:paraId="3926B58A" w14:textId="3B0A6A5A" w:rsidR="005E1C88" w:rsidRDefault="00916720" w:rsidP="000A3442">
      <w:pPr>
        <w:pStyle w:val="ListParagraph"/>
        <w:numPr>
          <w:ilvl w:val="0"/>
          <w:numId w:val="2"/>
        </w:numPr>
        <w:spacing w:after="80"/>
      </w:pPr>
      <w:r>
        <w:t xml:space="preserve">All relationships are single-direction, one-to-many — standard star schema practice. </w:t>
      </w:r>
      <w:proofErr w:type="spellStart"/>
      <w:r>
        <w:t>Fact_Scenarios</w:t>
      </w:r>
      <w:proofErr w:type="spellEnd"/>
      <w:r>
        <w:t xml:space="preserve"> is not related to the calendar table since scenario outputs are 3-year aggregates, not monthly.</w:t>
      </w:r>
    </w:p>
    <w:p w14:paraId="1D0F2F20" w14:textId="77777777" w:rsidR="005E1C88" w:rsidRDefault="00916720">
      <w:pPr>
        <w:pStyle w:val="Heading1"/>
        <w:spacing w:before="360" w:after="160"/>
      </w:pPr>
      <w:r>
        <w:t>2</w:t>
      </w:r>
      <w:r>
        <w:t xml:space="preserve">. </w:t>
      </w:r>
      <w:proofErr w:type="spellStart"/>
      <w:r>
        <w:t>Fact_Variance</w:t>
      </w:r>
      <w:proofErr w:type="spellEnd"/>
      <w:r>
        <w:t xml:space="preserve"> Table Structure</w:t>
      </w:r>
    </w:p>
    <w:p w14:paraId="6A8F96BE" w14:textId="77777777" w:rsidR="005E1C88" w:rsidRDefault="00916720">
      <w:pPr>
        <w:spacing w:after="160"/>
      </w:pPr>
      <w:r>
        <w:t>Each row represents one Department/Category/Month combination, with separate Budget and Actual columns (wide format) so DAX measures can reference them directly without needing a pivot.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E1C88" w14:paraId="64018346" w14:textId="77777777">
        <w:tblPrEx>
          <w:tblCellMar>
            <w:top w:w="0" w:type="dxa"/>
            <w:bottom w:w="0" w:type="dxa"/>
          </w:tblCellMar>
        </w:tblPrEx>
        <w:tc>
          <w:tcPr>
            <w:tcW w:w="2340" w:type="dxa"/>
            <w:tcBorders>
              <w:top w:val="single" w:sz="1" w:space="0" w:color="D1D1D1"/>
              <w:left w:val="single" w:sz="1" w:space="0" w:color="D1D1D1"/>
              <w:bottom w:val="single" w:sz="1" w:space="0" w:color="D1D1D1"/>
              <w:right w:val="single" w:sz="1" w:space="0" w:color="D1D1D1"/>
            </w:tcBorders>
            <w:shd w:val="clear" w:color="auto" w:fill="12239E"/>
            <w:tcMar>
              <w:top w:w="70" w:type="dxa"/>
              <w:left w:w="90" w:type="dxa"/>
              <w:bottom w:w="70" w:type="dxa"/>
              <w:right w:w="90" w:type="dxa"/>
            </w:tcMar>
            <w:vAlign w:val="center"/>
          </w:tcPr>
          <w:p w14:paraId="2196F91A" w14:textId="77777777" w:rsidR="005E1C88" w:rsidRDefault="00916720">
            <w:r>
              <w:rPr>
                <w:b/>
                <w:bCs/>
                <w:color w:val="FFFFFF"/>
                <w:sz w:val="19"/>
                <w:szCs w:val="19"/>
              </w:rPr>
              <w:t>Column</w:t>
            </w:r>
          </w:p>
        </w:tc>
        <w:tc>
          <w:tcPr>
            <w:tcW w:w="2340" w:type="dxa"/>
            <w:tcBorders>
              <w:top w:val="single" w:sz="1" w:space="0" w:color="D1D1D1"/>
              <w:left w:val="single" w:sz="1" w:space="0" w:color="D1D1D1"/>
              <w:bottom w:val="single" w:sz="1" w:space="0" w:color="D1D1D1"/>
              <w:right w:val="single" w:sz="1" w:space="0" w:color="D1D1D1"/>
            </w:tcBorders>
            <w:shd w:val="clear" w:color="auto" w:fill="12239E"/>
            <w:tcMar>
              <w:top w:w="70" w:type="dxa"/>
              <w:left w:w="90" w:type="dxa"/>
              <w:bottom w:w="70" w:type="dxa"/>
              <w:right w:w="90" w:type="dxa"/>
            </w:tcMar>
            <w:vAlign w:val="center"/>
          </w:tcPr>
          <w:p w14:paraId="37DF1A83" w14:textId="77777777" w:rsidR="005E1C88" w:rsidRDefault="00916720">
            <w:r>
              <w:rPr>
                <w:b/>
                <w:bCs/>
                <w:color w:val="FFFFFF"/>
                <w:sz w:val="19"/>
                <w:szCs w:val="19"/>
              </w:rPr>
              <w:t>Type</w:t>
            </w:r>
          </w:p>
        </w:tc>
        <w:tc>
          <w:tcPr>
            <w:tcW w:w="2340" w:type="dxa"/>
            <w:tcBorders>
              <w:top w:val="single" w:sz="1" w:space="0" w:color="D1D1D1"/>
              <w:left w:val="single" w:sz="1" w:space="0" w:color="D1D1D1"/>
              <w:bottom w:val="single" w:sz="1" w:space="0" w:color="D1D1D1"/>
              <w:right w:val="single" w:sz="1" w:space="0" w:color="D1D1D1"/>
            </w:tcBorders>
            <w:shd w:val="clear" w:color="auto" w:fill="12239E"/>
            <w:tcMar>
              <w:top w:w="70" w:type="dxa"/>
              <w:left w:w="90" w:type="dxa"/>
              <w:bottom w:w="70" w:type="dxa"/>
              <w:right w:w="90" w:type="dxa"/>
            </w:tcMar>
            <w:vAlign w:val="center"/>
          </w:tcPr>
          <w:p w14:paraId="0508D2AF" w14:textId="77777777" w:rsidR="005E1C88" w:rsidRDefault="00916720">
            <w:r>
              <w:rPr>
                <w:b/>
                <w:bCs/>
                <w:color w:val="FFFFFF"/>
                <w:sz w:val="19"/>
                <w:szCs w:val="19"/>
              </w:rPr>
              <w:t>Example</w:t>
            </w:r>
          </w:p>
        </w:tc>
        <w:tc>
          <w:tcPr>
            <w:tcW w:w="2340" w:type="dxa"/>
            <w:tcBorders>
              <w:top w:val="single" w:sz="1" w:space="0" w:color="D1D1D1"/>
              <w:left w:val="single" w:sz="1" w:space="0" w:color="D1D1D1"/>
              <w:bottom w:val="single" w:sz="1" w:space="0" w:color="D1D1D1"/>
              <w:right w:val="single" w:sz="1" w:space="0" w:color="D1D1D1"/>
            </w:tcBorders>
            <w:shd w:val="clear" w:color="auto" w:fill="12239E"/>
            <w:tcMar>
              <w:top w:w="70" w:type="dxa"/>
              <w:left w:w="90" w:type="dxa"/>
              <w:bottom w:w="70" w:type="dxa"/>
              <w:right w:w="90" w:type="dxa"/>
            </w:tcMar>
            <w:vAlign w:val="center"/>
          </w:tcPr>
          <w:p w14:paraId="3E8734CD" w14:textId="77777777" w:rsidR="005E1C88" w:rsidRDefault="00916720">
            <w:r>
              <w:rPr>
                <w:b/>
                <w:bCs/>
                <w:color w:val="FFFFFF"/>
                <w:sz w:val="19"/>
                <w:szCs w:val="19"/>
              </w:rPr>
              <w:t>Notes</w:t>
            </w:r>
          </w:p>
        </w:tc>
      </w:tr>
      <w:tr w:rsidR="005E1C88" w14:paraId="2D1473E2" w14:textId="77777777">
        <w:tblPrEx>
          <w:tblCellMar>
            <w:top w:w="0" w:type="dxa"/>
            <w:bottom w:w="0" w:type="dxa"/>
          </w:tblCellMar>
        </w:tblPrEx>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2915F65D" w14:textId="77777777" w:rsidR="005E1C88" w:rsidRDefault="00916720">
            <w:proofErr w:type="spellStart"/>
            <w:r>
              <w:rPr>
                <w:sz w:val="19"/>
                <w:szCs w:val="19"/>
              </w:rPr>
              <w:t>DepartmentID</w:t>
            </w:r>
            <w:proofErr w:type="spellEnd"/>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4A9910C5" w14:textId="77777777" w:rsidR="005E1C88" w:rsidRDefault="00916720">
            <w:r>
              <w:rPr>
                <w:sz w:val="19"/>
                <w:szCs w:val="19"/>
              </w:rPr>
              <w:t>Text</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6D253E3D" w14:textId="77777777" w:rsidR="005E1C88" w:rsidRDefault="00916720">
            <w:r>
              <w:rPr>
                <w:rFonts w:ascii="Consolas" w:eastAsia="Consolas" w:hAnsi="Consolas" w:cs="Consolas"/>
                <w:sz w:val="19"/>
                <w:szCs w:val="19"/>
              </w:rPr>
              <w:t>FIN</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48D1A0D9" w14:textId="77777777" w:rsidR="005E1C88" w:rsidRDefault="00916720">
            <w:r>
              <w:rPr>
                <w:sz w:val="19"/>
                <w:szCs w:val="19"/>
              </w:rPr>
              <w:t xml:space="preserve">Foreign key to </w:t>
            </w:r>
            <w:proofErr w:type="spellStart"/>
            <w:r>
              <w:rPr>
                <w:sz w:val="19"/>
                <w:szCs w:val="19"/>
              </w:rPr>
              <w:t>Dim_Department</w:t>
            </w:r>
            <w:proofErr w:type="spellEnd"/>
          </w:p>
        </w:tc>
      </w:tr>
      <w:tr w:rsidR="005E1C88" w14:paraId="31BDE7B6" w14:textId="77777777">
        <w:tblPrEx>
          <w:tblCellMar>
            <w:top w:w="0" w:type="dxa"/>
            <w:bottom w:w="0" w:type="dxa"/>
          </w:tblCellMar>
        </w:tblPrEx>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04AE70C8" w14:textId="77777777" w:rsidR="005E1C88" w:rsidRDefault="00916720">
            <w:proofErr w:type="spellStart"/>
            <w:r>
              <w:rPr>
                <w:sz w:val="19"/>
                <w:szCs w:val="19"/>
              </w:rPr>
              <w:lastRenderedPageBreak/>
              <w:t>CategoryID</w:t>
            </w:r>
            <w:proofErr w:type="spellEnd"/>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33296DAB" w14:textId="77777777" w:rsidR="005E1C88" w:rsidRDefault="00916720">
            <w:r>
              <w:rPr>
                <w:sz w:val="19"/>
                <w:szCs w:val="19"/>
              </w:rPr>
              <w:t>Text</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5760F7C3" w14:textId="77777777" w:rsidR="005E1C88" w:rsidRDefault="00916720">
            <w:r>
              <w:rPr>
                <w:rFonts w:ascii="Consolas" w:eastAsia="Consolas" w:hAnsi="Consolas" w:cs="Consolas"/>
                <w:sz w:val="19"/>
                <w:szCs w:val="19"/>
              </w:rPr>
              <w:t>VL</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3E0DC7FC" w14:textId="77777777" w:rsidR="005E1C88" w:rsidRDefault="00916720">
            <w:r>
              <w:rPr>
                <w:sz w:val="19"/>
                <w:szCs w:val="19"/>
              </w:rPr>
              <w:t xml:space="preserve">Foreign key to </w:t>
            </w:r>
            <w:proofErr w:type="spellStart"/>
            <w:r>
              <w:rPr>
                <w:sz w:val="19"/>
                <w:szCs w:val="19"/>
              </w:rPr>
              <w:t>Dim_Category</w:t>
            </w:r>
            <w:proofErr w:type="spellEnd"/>
          </w:p>
        </w:tc>
      </w:tr>
      <w:tr w:rsidR="005E1C88" w14:paraId="6B86727F" w14:textId="77777777">
        <w:tblPrEx>
          <w:tblCellMar>
            <w:top w:w="0" w:type="dxa"/>
            <w:bottom w:w="0" w:type="dxa"/>
          </w:tblCellMar>
        </w:tblPrEx>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5D6F10CD" w14:textId="77777777" w:rsidR="005E1C88" w:rsidRDefault="00916720">
            <w:r>
              <w:rPr>
                <w:sz w:val="19"/>
                <w:szCs w:val="19"/>
              </w:rPr>
              <w:t>Date</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08E46098" w14:textId="77777777" w:rsidR="005E1C88" w:rsidRDefault="00916720">
            <w:r>
              <w:rPr>
                <w:sz w:val="19"/>
                <w:szCs w:val="19"/>
              </w:rPr>
              <w:t>Date</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3C5A4BB6" w14:textId="77777777" w:rsidR="005E1C88" w:rsidRDefault="00916720">
            <w:r>
              <w:rPr>
                <w:rFonts w:ascii="Consolas" w:eastAsia="Consolas" w:hAnsi="Consolas" w:cs="Consolas"/>
                <w:sz w:val="19"/>
                <w:szCs w:val="19"/>
              </w:rPr>
              <w:t>2022-01-01</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6F174A33" w14:textId="77777777" w:rsidR="005E1C88" w:rsidRDefault="00916720">
            <w:r>
              <w:rPr>
                <w:sz w:val="19"/>
                <w:szCs w:val="19"/>
              </w:rPr>
              <w:t xml:space="preserve">Foreign key to </w:t>
            </w:r>
            <w:proofErr w:type="spellStart"/>
            <w:r>
              <w:rPr>
                <w:sz w:val="19"/>
                <w:szCs w:val="19"/>
              </w:rPr>
              <w:t>Dim_Calendar</w:t>
            </w:r>
            <w:proofErr w:type="spellEnd"/>
          </w:p>
        </w:tc>
      </w:tr>
      <w:tr w:rsidR="005E1C88" w14:paraId="70049AF5" w14:textId="77777777">
        <w:tblPrEx>
          <w:tblCellMar>
            <w:top w:w="0" w:type="dxa"/>
            <w:bottom w:w="0" w:type="dxa"/>
          </w:tblCellMar>
        </w:tblPrEx>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1FE3689A" w14:textId="77777777" w:rsidR="005E1C88" w:rsidRDefault="00916720">
            <w:r>
              <w:rPr>
                <w:sz w:val="19"/>
                <w:szCs w:val="19"/>
              </w:rPr>
              <w:t>Budget</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72309629" w14:textId="77777777" w:rsidR="005E1C88" w:rsidRDefault="00916720">
            <w:r>
              <w:rPr>
                <w:sz w:val="19"/>
                <w:szCs w:val="19"/>
              </w:rPr>
              <w:t>Decimal</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4CFDA844" w14:textId="77777777" w:rsidR="005E1C88" w:rsidRDefault="00916720">
            <w:r>
              <w:rPr>
                <w:rFonts w:ascii="Consolas" w:eastAsia="Consolas" w:hAnsi="Consolas" w:cs="Consolas"/>
                <w:sz w:val="19"/>
                <w:szCs w:val="19"/>
              </w:rPr>
              <w:t>2335</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3A2D1ED5" w14:textId="77777777" w:rsidR="005E1C88" w:rsidRDefault="00916720">
            <w:r>
              <w:rPr>
                <w:sz w:val="19"/>
                <w:szCs w:val="19"/>
              </w:rPr>
              <w:t>Approved monthly budget, $000s</w:t>
            </w:r>
          </w:p>
        </w:tc>
      </w:tr>
      <w:tr w:rsidR="005E1C88" w14:paraId="2A5F9B3F" w14:textId="77777777">
        <w:tblPrEx>
          <w:tblCellMar>
            <w:top w:w="0" w:type="dxa"/>
            <w:bottom w:w="0" w:type="dxa"/>
          </w:tblCellMar>
        </w:tblPrEx>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7BB99113" w14:textId="77777777" w:rsidR="005E1C88" w:rsidRDefault="00916720">
            <w:r>
              <w:rPr>
                <w:sz w:val="19"/>
                <w:szCs w:val="19"/>
              </w:rPr>
              <w:t>Actual</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18FF91A5" w14:textId="77777777" w:rsidR="005E1C88" w:rsidRDefault="00916720">
            <w:r>
              <w:rPr>
                <w:sz w:val="19"/>
                <w:szCs w:val="19"/>
              </w:rPr>
              <w:t>Decimal</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1F8337A4" w14:textId="77777777" w:rsidR="005E1C88" w:rsidRDefault="00916720">
            <w:r>
              <w:rPr>
                <w:rFonts w:ascii="Consolas" w:eastAsia="Consolas" w:hAnsi="Consolas" w:cs="Consolas"/>
                <w:sz w:val="19"/>
                <w:szCs w:val="19"/>
              </w:rPr>
              <w:t>2556.8</w:t>
            </w:r>
          </w:p>
        </w:tc>
        <w:tc>
          <w:tcPr>
            <w:tcW w:w="2340" w:type="dxa"/>
            <w:tcBorders>
              <w:top w:val="single" w:sz="1" w:space="0" w:color="D1D1D1"/>
              <w:left w:val="single" w:sz="1" w:space="0" w:color="D1D1D1"/>
              <w:bottom w:val="single" w:sz="1" w:space="0" w:color="D1D1D1"/>
              <w:right w:val="single" w:sz="1" w:space="0" w:color="D1D1D1"/>
            </w:tcBorders>
            <w:tcMar>
              <w:top w:w="70" w:type="dxa"/>
              <w:left w:w="90" w:type="dxa"/>
              <w:bottom w:w="70" w:type="dxa"/>
              <w:right w:w="90" w:type="dxa"/>
            </w:tcMar>
            <w:vAlign w:val="center"/>
          </w:tcPr>
          <w:p w14:paraId="07FA5A1C" w14:textId="77777777" w:rsidR="005E1C88" w:rsidRDefault="00916720">
            <w:r>
              <w:rPr>
                <w:sz w:val="19"/>
                <w:szCs w:val="19"/>
              </w:rPr>
              <w:t>Actual spend, $000s</w:t>
            </w:r>
          </w:p>
        </w:tc>
      </w:tr>
    </w:tbl>
    <w:p w14:paraId="30D386C5" w14:textId="77777777" w:rsidR="005E1C88" w:rsidRDefault="005E1C88">
      <w:pPr>
        <w:spacing w:after="120"/>
      </w:pPr>
    </w:p>
    <w:p w14:paraId="3DE606F6" w14:textId="77777777" w:rsidR="005E1C88" w:rsidRDefault="00916720">
      <w:pPr>
        <w:pStyle w:val="Heading1"/>
        <w:spacing w:before="360" w:after="160"/>
      </w:pPr>
      <w:r>
        <w:t>3. Core DAX Measures</w:t>
      </w:r>
    </w:p>
    <w:p w14:paraId="3CA5EB93" w14:textId="77777777" w:rsidR="005E1C88" w:rsidRDefault="00916720">
      <w:pPr>
        <w:spacing w:after="160"/>
      </w:pPr>
      <w:r>
        <w:t>These measures power every visual on the Executive Overview and Variance Deep-Dive pages. They're written against the star schema above and will recalculate automatically as slicers filter the report.</w:t>
      </w:r>
    </w:p>
    <w:p w14:paraId="444B48EF" w14:textId="77777777" w:rsidR="005E1C88" w:rsidRDefault="00916720">
      <w:pPr>
        <w:spacing w:before="160" w:after="60"/>
      </w:pPr>
      <w:r>
        <w:rPr>
          <w:b/>
          <w:bCs/>
          <w:color w:val="12239E"/>
        </w:rPr>
        <w:t>Total Budget</w:t>
      </w:r>
    </w:p>
    <w:p w14:paraId="1739CD32" w14:textId="77777777" w:rsidR="005E1C88" w:rsidRDefault="00916720">
      <w:pPr>
        <w:pBdr>
          <w:left w:val="single" w:sz="18" w:space="8" w:color="12239E"/>
        </w:pBdr>
        <w:shd w:val="clear" w:color="auto" w:fill="F5F5F5"/>
        <w:spacing w:before="60" w:after="80"/>
        <w:ind w:left="120"/>
      </w:pPr>
      <w:r>
        <w:rPr>
          <w:rFonts w:ascii="Consolas" w:eastAsia="Consolas" w:hAnsi="Consolas" w:cs="Consolas"/>
          <w:sz w:val="19"/>
          <w:szCs w:val="19"/>
        </w:rPr>
        <w:t xml:space="preserve">Total Budget = SUM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Fact</w:t>
      </w:r>
      <w:proofErr w:type="gramEnd"/>
      <w:r>
        <w:rPr>
          <w:rFonts w:ascii="Consolas" w:eastAsia="Consolas" w:hAnsi="Consolas" w:cs="Consolas"/>
          <w:sz w:val="19"/>
          <w:szCs w:val="19"/>
        </w:rPr>
        <w:t>_</w:t>
      </w:r>
      <w:proofErr w:type="gramStart"/>
      <w:r>
        <w:rPr>
          <w:rFonts w:ascii="Consolas" w:eastAsia="Consolas" w:hAnsi="Consolas" w:cs="Consolas"/>
          <w:sz w:val="19"/>
          <w:szCs w:val="19"/>
        </w:rPr>
        <w:t>Variance</w:t>
      </w:r>
      <w:proofErr w:type="spellEnd"/>
      <w:r>
        <w:rPr>
          <w:rFonts w:ascii="Consolas" w:eastAsia="Consolas" w:hAnsi="Consolas" w:cs="Consolas"/>
          <w:sz w:val="19"/>
          <w:szCs w:val="19"/>
        </w:rPr>
        <w:t>[</w:t>
      </w:r>
      <w:proofErr w:type="gramEnd"/>
      <w:r>
        <w:rPr>
          <w:rFonts w:ascii="Consolas" w:eastAsia="Consolas" w:hAnsi="Consolas" w:cs="Consolas"/>
          <w:sz w:val="19"/>
          <w:szCs w:val="19"/>
        </w:rPr>
        <w:t>Budget</w:t>
      </w:r>
      <w:proofErr w:type="gramStart"/>
      <w:r>
        <w:rPr>
          <w:rFonts w:ascii="Consolas" w:eastAsia="Consolas" w:hAnsi="Consolas" w:cs="Consolas"/>
          <w:sz w:val="19"/>
          <w:szCs w:val="19"/>
        </w:rPr>
        <w:t>] )</w:t>
      </w:r>
      <w:proofErr w:type="gramEnd"/>
    </w:p>
    <w:p w14:paraId="1F81BEDF" w14:textId="77777777" w:rsidR="005E1C88" w:rsidRDefault="00916720">
      <w:pPr>
        <w:spacing w:after="220"/>
      </w:pPr>
      <w:r>
        <w:rPr>
          <w:i/>
          <w:iCs/>
          <w:color w:val="605E5C"/>
          <w:sz w:val="19"/>
          <w:szCs w:val="19"/>
        </w:rPr>
        <w:t>Base aggregation. Responds to any slicer on Department, Category, or Calendar.</w:t>
      </w:r>
    </w:p>
    <w:p w14:paraId="4F844455" w14:textId="77777777" w:rsidR="005E1C88" w:rsidRDefault="00916720">
      <w:pPr>
        <w:spacing w:before="160" w:after="60"/>
      </w:pPr>
      <w:r>
        <w:rPr>
          <w:b/>
          <w:bCs/>
          <w:color w:val="12239E"/>
        </w:rPr>
        <w:t>Total Actual</w:t>
      </w:r>
    </w:p>
    <w:p w14:paraId="203E4A1F" w14:textId="77777777" w:rsidR="005E1C88" w:rsidRDefault="00916720">
      <w:pPr>
        <w:pBdr>
          <w:left w:val="single" w:sz="18" w:space="8" w:color="12239E"/>
        </w:pBdr>
        <w:shd w:val="clear" w:color="auto" w:fill="F5F5F5"/>
        <w:spacing w:before="60" w:after="80"/>
        <w:ind w:left="120"/>
      </w:pPr>
      <w:r>
        <w:rPr>
          <w:rFonts w:ascii="Consolas" w:eastAsia="Consolas" w:hAnsi="Consolas" w:cs="Consolas"/>
          <w:sz w:val="19"/>
          <w:szCs w:val="19"/>
        </w:rPr>
        <w:t xml:space="preserve">Total Actual = SUM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Fact</w:t>
      </w:r>
      <w:proofErr w:type="gramEnd"/>
      <w:r>
        <w:rPr>
          <w:rFonts w:ascii="Consolas" w:eastAsia="Consolas" w:hAnsi="Consolas" w:cs="Consolas"/>
          <w:sz w:val="19"/>
          <w:szCs w:val="19"/>
        </w:rPr>
        <w:t>_</w:t>
      </w:r>
      <w:proofErr w:type="gramStart"/>
      <w:r>
        <w:rPr>
          <w:rFonts w:ascii="Consolas" w:eastAsia="Consolas" w:hAnsi="Consolas" w:cs="Consolas"/>
          <w:sz w:val="19"/>
          <w:szCs w:val="19"/>
        </w:rPr>
        <w:t>Variance</w:t>
      </w:r>
      <w:proofErr w:type="spellEnd"/>
      <w:r>
        <w:rPr>
          <w:rFonts w:ascii="Consolas" w:eastAsia="Consolas" w:hAnsi="Consolas" w:cs="Consolas"/>
          <w:sz w:val="19"/>
          <w:szCs w:val="19"/>
        </w:rPr>
        <w:t>[</w:t>
      </w:r>
      <w:proofErr w:type="gramEnd"/>
      <w:r>
        <w:rPr>
          <w:rFonts w:ascii="Consolas" w:eastAsia="Consolas" w:hAnsi="Consolas" w:cs="Consolas"/>
          <w:sz w:val="19"/>
          <w:szCs w:val="19"/>
        </w:rPr>
        <w:t>Actual</w:t>
      </w:r>
      <w:proofErr w:type="gramStart"/>
      <w:r>
        <w:rPr>
          <w:rFonts w:ascii="Consolas" w:eastAsia="Consolas" w:hAnsi="Consolas" w:cs="Consolas"/>
          <w:sz w:val="19"/>
          <w:szCs w:val="19"/>
        </w:rPr>
        <w:t>] )</w:t>
      </w:r>
      <w:proofErr w:type="gramEnd"/>
    </w:p>
    <w:p w14:paraId="10AE478E" w14:textId="77777777" w:rsidR="005E1C88" w:rsidRDefault="00916720">
      <w:pPr>
        <w:spacing w:before="160" w:after="60"/>
      </w:pPr>
      <w:r>
        <w:rPr>
          <w:b/>
          <w:bCs/>
          <w:color w:val="12239E"/>
        </w:rPr>
        <w:t>Variance $</w:t>
      </w:r>
    </w:p>
    <w:p w14:paraId="08FBC039" w14:textId="77777777" w:rsidR="005E1C88" w:rsidRDefault="00916720">
      <w:pPr>
        <w:pBdr>
          <w:left w:val="single" w:sz="18" w:space="8" w:color="12239E"/>
        </w:pBdr>
        <w:shd w:val="clear" w:color="auto" w:fill="F5F5F5"/>
        <w:spacing w:before="60" w:after="80"/>
        <w:ind w:left="120"/>
      </w:pPr>
      <w:r>
        <w:rPr>
          <w:rFonts w:ascii="Consolas" w:eastAsia="Consolas" w:hAnsi="Consolas" w:cs="Consolas"/>
          <w:sz w:val="19"/>
          <w:szCs w:val="19"/>
        </w:rPr>
        <w:t>Variance $ =</w:t>
      </w:r>
      <w:r>
        <w:br/>
      </w:r>
      <w:r>
        <w:rPr>
          <w:rFonts w:ascii="Consolas" w:eastAsia="Consolas" w:hAnsi="Consolas" w:cs="Consolas"/>
          <w:sz w:val="19"/>
          <w:szCs w:val="19"/>
        </w:rPr>
        <w:t>[Total Budget] - [Total Actual]</w:t>
      </w:r>
    </w:p>
    <w:p w14:paraId="3D09EF92" w14:textId="77777777" w:rsidR="005E1C88" w:rsidRDefault="00916720">
      <w:pPr>
        <w:spacing w:after="220"/>
      </w:pPr>
      <w:r>
        <w:rPr>
          <w:i/>
          <w:iCs/>
          <w:color w:val="605E5C"/>
          <w:sz w:val="19"/>
          <w:szCs w:val="19"/>
        </w:rPr>
        <w:t>Positive = favorable (under budget). Negative = unfavorable (over budget). This sign convention matches the Excel model.</w:t>
      </w:r>
    </w:p>
    <w:p w14:paraId="41389BF7" w14:textId="77777777" w:rsidR="005E1C88" w:rsidRDefault="00916720">
      <w:pPr>
        <w:spacing w:before="160" w:after="60"/>
      </w:pPr>
      <w:r>
        <w:rPr>
          <w:b/>
          <w:bCs/>
          <w:color w:val="12239E"/>
        </w:rPr>
        <w:t>Variance %</w:t>
      </w:r>
    </w:p>
    <w:p w14:paraId="33C42A19" w14:textId="77777777" w:rsidR="005E1C88" w:rsidRDefault="00916720">
      <w:pPr>
        <w:pBdr>
          <w:left w:val="single" w:sz="18" w:space="8" w:color="12239E"/>
        </w:pBdr>
        <w:shd w:val="clear" w:color="auto" w:fill="F5F5F5"/>
        <w:spacing w:before="60" w:after="80"/>
        <w:ind w:left="120"/>
      </w:pPr>
      <w:r>
        <w:rPr>
          <w:rFonts w:ascii="Consolas" w:eastAsia="Consolas" w:hAnsi="Consolas" w:cs="Consolas"/>
          <w:sz w:val="19"/>
          <w:szCs w:val="19"/>
        </w:rPr>
        <w:t>Variance % =</w:t>
      </w:r>
      <w:r>
        <w:br/>
      </w:r>
      <w:r>
        <w:rPr>
          <w:rFonts w:ascii="Consolas" w:eastAsia="Consolas" w:hAnsi="Consolas" w:cs="Consolas"/>
          <w:sz w:val="19"/>
          <w:szCs w:val="19"/>
        </w:rPr>
        <w:t xml:space="preserve">DIVIDE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Variance $], [Total Budget], </w:t>
      </w:r>
      <w:proofErr w:type="gramStart"/>
      <w:r>
        <w:rPr>
          <w:rFonts w:ascii="Consolas" w:eastAsia="Consolas" w:hAnsi="Consolas" w:cs="Consolas"/>
          <w:sz w:val="19"/>
          <w:szCs w:val="19"/>
        </w:rPr>
        <w:t>0 )</w:t>
      </w:r>
      <w:proofErr w:type="gramEnd"/>
    </w:p>
    <w:p w14:paraId="078FD2FC" w14:textId="77777777" w:rsidR="005E1C88" w:rsidRDefault="00916720">
      <w:pPr>
        <w:spacing w:after="220"/>
      </w:pPr>
      <w:r>
        <w:rPr>
          <w:i/>
          <w:iCs/>
          <w:color w:val="605E5C"/>
          <w:sz w:val="19"/>
          <w:szCs w:val="19"/>
        </w:rPr>
        <w:t>DIVIDE handles the zero-denominator case natively — no IFERROR wrapper needed, unlike the Excel version.</w:t>
      </w:r>
    </w:p>
    <w:p w14:paraId="339DAF1E" w14:textId="77777777" w:rsidR="005E1C88" w:rsidRDefault="00916720">
      <w:pPr>
        <w:spacing w:before="160" w:after="60"/>
      </w:pPr>
      <w:r>
        <w:rPr>
          <w:b/>
          <w:bCs/>
          <w:color w:val="12239E"/>
        </w:rPr>
        <w:t xml:space="preserve">Savings </w:t>
      </w:r>
      <w:proofErr w:type="gramStart"/>
      <w:r>
        <w:rPr>
          <w:b/>
          <w:bCs/>
          <w:color w:val="12239E"/>
        </w:rPr>
        <w:t>%  (</w:t>
      </w:r>
      <w:proofErr w:type="gramEnd"/>
      <w:r>
        <w:rPr>
          <w:b/>
          <w:bCs/>
          <w:color w:val="12239E"/>
        </w:rPr>
        <w:t>Department-level KPI)</w:t>
      </w:r>
    </w:p>
    <w:p w14:paraId="4353D3C3" w14:textId="77777777" w:rsidR="005E1C88" w:rsidRDefault="00916720">
      <w:pPr>
        <w:pBdr>
          <w:left w:val="single" w:sz="18" w:space="8" w:color="12239E"/>
        </w:pBdr>
        <w:shd w:val="clear" w:color="auto" w:fill="F5F5F5"/>
        <w:spacing w:before="60" w:after="80"/>
        <w:ind w:left="120"/>
      </w:pPr>
      <w:r>
        <w:rPr>
          <w:rFonts w:ascii="Consolas" w:eastAsia="Consolas" w:hAnsi="Consolas" w:cs="Consolas"/>
          <w:sz w:val="19"/>
          <w:szCs w:val="19"/>
        </w:rPr>
        <w:t>Savings % =</w:t>
      </w:r>
      <w:r>
        <w:br/>
      </w:r>
      <w:r>
        <w:rPr>
          <w:rFonts w:ascii="Consolas" w:eastAsia="Consolas" w:hAnsi="Consolas" w:cs="Consolas"/>
          <w:sz w:val="19"/>
          <w:szCs w:val="19"/>
        </w:rPr>
        <w:t>DIVIDE (</w:t>
      </w:r>
      <w:r>
        <w:br/>
      </w:r>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Total Budget] - [Total Actual],</w:t>
      </w:r>
      <w:r>
        <w:br/>
      </w:r>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Total Budget],</w:t>
      </w:r>
      <w:r>
        <w:br/>
      </w:r>
      <w:r>
        <w:rPr>
          <w:rFonts w:ascii="Consolas" w:eastAsia="Consolas" w:hAnsi="Consolas" w:cs="Consolas"/>
          <w:sz w:val="19"/>
          <w:szCs w:val="19"/>
        </w:rPr>
        <w:t xml:space="preserve">    0</w:t>
      </w:r>
      <w:r>
        <w:br/>
      </w:r>
      <w:r>
        <w:rPr>
          <w:rFonts w:ascii="Consolas" w:eastAsia="Consolas" w:hAnsi="Consolas" w:cs="Consolas"/>
          <w:sz w:val="19"/>
          <w:szCs w:val="19"/>
        </w:rPr>
        <w:t>)</w:t>
      </w:r>
    </w:p>
    <w:p w14:paraId="01EFACB8" w14:textId="77777777" w:rsidR="005E1C88" w:rsidRDefault="00916720">
      <w:pPr>
        <w:spacing w:before="160" w:after="60"/>
      </w:pPr>
      <w:r>
        <w:rPr>
          <w:b/>
          <w:bCs/>
          <w:color w:val="12239E"/>
        </w:rPr>
        <w:t>YTD Actual</w:t>
      </w:r>
    </w:p>
    <w:p w14:paraId="62C1D041" w14:textId="77777777" w:rsidR="005E1C88" w:rsidRDefault="00916720">
      <w:pPr>
        <w:pBdr>
          <w:left w:val="single" w:sz="18" w:space="8" w:color="12239E"/>
        </w:pBdr>
        <w:shd w:val="clear" w:color="auto" w:fill="F5F5F5"/>
        <w:spacing w:before="60" w:after="80"/>
        <w:ind w:left="120"/>
      </w:pPr>
      <w:r>
        <w:rPr>
          <w:rFonts w:ascii="Consolas" w:eastAsia="Consolas" w:hAnsi="Consolas" w:cs="Consolas"/>
          <w:sz w:val="19"/>
          <w:szCs w:val="19"/>
        </w:rPr>
        <w:t>YTD Actual =</w:t>
      </w:r>
      <w:r>
        <w:br/>
      </w:r>
      <w:r>
        <w:rPr>
          <w:rFonts w:ascii="Consolas" w:eastAsia="Consolas" w:hAnsi="Consolas" w:cs="Consolas"/>
          <w:sz w:val="19"/>
          <w:szCs w:val="19"/>
        </w:rPr>
        <w:t xml:space="preserve">TOTALYTD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Total Actual], </w:t>
      </w:r>
      <w:proofErr w:type="spellStart"/>
      <w:r>
        <w:rPr>
          <w:rFonts w:ascii="Consolas" w:eastAsia="Consolas" w:hAnsi="Consolas" w:cs="Consolas"/>
          <w:sz w:val="19"/>
          <w:szCs w:val="19"/>
        </w:rPr>
        <w:t>Dim_</w:t>
      </w:r>
      <w:proofErr w:type="gramStart"/>
      <w:r>
        <w:rPr>
          <w:rFonts w:ascii="Consolas" w:eastAsia="Consolas" w:hAnsi="Consolas" w:cs="Consolas"/>
          <w:sz w:val="19"/>
          <w:szCs w:val="19"/>
        </w:rPr>
        <w:t>Calendar</w:t>
      </w:r>
      <w:proofErr w:type="spellEnd"/>
      <w:r>
        <w:rPr>
          <w:rFonts w:ascii="Consolas" w:eastAsia="Consolas" w:hAnsi="Consolas" w:cs="Consolas"/>
          <w:sz w:val="19"/>
          <w:szCs w:val="19"/>
        </w:rPr>
        <w:t>[</w:t>
      </w:r>
      <w:proofErr w:type="gramEnd"/>
      <w:r>
        <w:rPr>
          <w:rFonts w:ascii="Consolas" w:eastAsia="Consolas" w:hAnsi="Consolas" w:cs="Consolas"/>
          <w:sz w:val="19"/>
          <w:szCs w:val="19"/>
        </w:rPr>
        <w:t>Date</w:t>
      </w:r>
      <w:proofErr w:type="gramStart"/>
      <w:r>
        <w:rPr>
          <w:rFonts w:ascii="Consolas" w:eastAsia="Consolas" w:hAnsi="Consolas" w:cs="Consolas"/>
          <w:sz w:val="19"/>
          <w:szCs w:val="19"/>
        </w:rPr>
        <w:t>] )</w:t>
      </w:r>
      <w:proofErr w:type="gramEnd"/>
    </w:p>
    <w:p w14:paraId="405F3D69" w14:textId="77777777" w:rsidR="005E1C88" w:rsidRDefault="00916720">
      <w:pPr>
        <w:spacing w:after="220"/>
      </w:pPr>
      <w:r>
        <w:rPr>
          <w:i/>
          <w:iCs/>
          <w:color w:val="605E5C"/>
          <w:sz w:val="19"/>
          <w:szCs w:val="19"/>
        </w:rPr>
        <w:t xml:space="preserve">Requires </w:t>
      </w:r>
      <w:proofErr w:type="spellStart"/>
      <w:r>
        <w:rPr>
          <w:i/>
          <w:iCs/>
          <w:color w:val="605E5C"/>
          <w:sz w:val="19"/>
          <w:szCs w:val="19"/>
        </w:rPr>
        <w:t>Dim_Calendar</w:t>
      </w:r>
      <w:proofErr w:type="spellEnd"/>
      <w:r>
        <w:rPr>
          <w:i/>
          <w:iCs/>
          <w:color w:val="605E5C"/>
          <w:sz w:val="19"/>
          <w:szCs w:val="19"/>
        </w:rPr>
        <w:t xml:space="preserve"> to be marked as the model's official date table (Table Tools → Mark as Date Table).</w:t>
      </w:r>
    </w:p>
    <w:p w14:paraId="20C3AFED" w14:textId="77777777" w:rsidR="005E1C88" w:rsidRDefault="00916720">
      <w:pPr>
        <w:spacing w:before="160" w:after="60"/>
      </w:pPr>
      <w:r>
        <w:rPr>
          <w:b/>
          <w:bCs/>
          <w:color w:val="12239E"/>
        </w:rPr>
        <w:t>Prior Year Variance % (for trend comparisons)</w:t>
      </w:r>
    </w:p>
    <w:p w14:paraId="0E40D537" w14:textId="77777777" w:rsidR="005E1C88" w:rsidRDefault="00916720">
      <w:pPr>
        <w:pBdr>
          <w:left w:val="single" w:sz="18" w:space="8" w:color="12239E"/>
        </w:pBdr>
        <w:shd w:val="clear" w:color="auto" w:fill="F5F5F5"/>
        <w:spacing w:before="60" w:after="80"/>
        <w:ind w:left="120"/>
      </w:pPr>
      <w:r>
        <w:rPr>
          <w:rFonts w:ascii="Consolas" w:eastAsia="Consolas" w:hAnsi="Consolas" w:cs="Consolas"/>
          <w:sz w:val="19"/>
          <w:szCs w:val="19"/>
        </w:rPr>
        <w:t>PY Variance % =</w:t>
      </w:r>
      <w:r>
        <w:br/>
      </w:r>
      <w:r>
        <w:rPr>
          <w:rFonts w:ascii="Consolas" w:eastAsia="Consolas" w:hAnsi="Consolas" w:cs="Consolas"/>
          <w:sz w:val="19"/>
          <w:szCs w:val="19"/>
        </w:rPr>
        <w:t>CALCULATE (</w:t>
      </w:r>
      <w:r>
        <w:br/>
      </w:r>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Variance %],</w:t>
      </w:r>
      <w:r>
        <w:br/>
      </w:r>
      <w:r>
        <w:rPr>
          <w:rFonts w:ascii="Consolas" w:eastAsia="Consolas" w:hAnsi="Consolas" w:cs="Consolas"/>
          <w:sz w:val="19"/>
          <w:szCs w:val="19"/>
        </w:rPr>
        <w:t xml:space="preserve">    SAMEPERIODLASTYEAR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Dim</w:t>
      </w:r>
      <w:proofErr w:type="gramEnd"/>
      <w:r>
        <w:rPr>
          <w:rFonts w:ascii="Consolas" w:eastAsia="Consolas" w:hAnsi="Consolas" w:cs="Consolas"/>
          <w:sz w:val="19"/>
          <w:szCs w:val="19"/>
        </w:rPr>
        <w:t>_</w:t>
      </w:r>
      <w:proofErr w:type="gramStart"/>
      <w:r>
        <w:rPr>
          <w:rFonts w:ascii="Consolas" w:eastAsia="Consolas" w:hAnsi="Consolas" w:cs="Consolas"/>
          <w:sz w:val="19"/>
          <w:szCs w:val="19"/>
        </w:rPr>
        <w:t>Calendar</w:t>
      </w:r>
      <w:proofErr w:type="spellEnd"/>
      <w:r>
        <w:rPr>
          <w:rFonts w:ascii="Consolas" w:eastAsia="Consolas" w:hAnsi="Consolas" w:cs="Consolas"/>
          <w:sz w:val="19"/>
          <w:szCs w:val="19"/>
        </w:rPr>
        <w:t>[</w:t>
      </w:r>
      <w:proofErr w:type="gramEnd"/>
      <w:r>
        <w:rPr>
          <w:rFonts w:ascii="Consolas" w:eastAsia="Consolas" w:hAnsi="Consolas" w:cs="Consolas"/>
          <w:sz w:val="19"/>
          <w:szCs w:val="19"/>
        </w:rPr>
        <w:t>Date</w:t>
      </w:r>
      <w:proofErr w:type="gramStart"/>
      <w:r>
        <w:rPr>
          <w:rFonts w:ascii="Consolas" w:eastAsia="Consolas" w:hAnsi="Consolas" w:cs="Consolas"/>
          <w:sz w:val="19"/>
          <w:szCs w:val="19"/>
        </w:rPr>
        <w:t>] )</w:t>
      </w:r>
      <w:proofErr w:type="gramEnd"/>
      <w:r>
        <w:br/>
      </w:r>
      <w:r>
        <w:rPr>
          <w:rFonts w:ascii="Consolas" w:eastAsia="Consolas" w:hAnsi="Consolas" w:cs="Consolas"/>
          <w:sz w:val="19"/>
          <w:szCs w:val="19"/>
        </w:rPr>
        <w:t>)</w:t>
      </w:r>
    </w:p>
    <w:p w14:paraId="684068B5" w14:textId="77777777" w:rsidR="005E1C88" w:rsidRDefault="00916720">
      <w:pPr>
        <w:spacing w:after="220"/>
      </w:pPr>
      <w:r>
        <w:rPr>
          <w:i/>
          <w:iCs/>
          <w:color w:val="605E5C"/>
          <w:sz w:val="19"/>
          <w:szCs w:val="19"/>
        </w:rPr>
        <w:t>Included for extensibility — the current model is single-year (FY2022), so this measure returns blank until a second fiscal year of data is loaded.</w:t>
      </w:r>
    </w:p>
    <w:p w14:paraId="09FDDDC5" w14:textId="77777777" w:rsidR="005E1C88" w:rsidRDefault="00916720">
      <w:pPr>
        <w:pStyle w:val="Heading1"/>
        <w:spacing w:before="360" w:after="160"/>
      </w:pPr>
      <w:r>
        <w:lastRenderedPageBreak/>
        <w:t>4. Scenario Comparison Measures</w:t>
      </w:r>
    </w:p>
    <w:p w14:paraId="6B318543" w14:textId="77777777" w:rsidR="005E1C88" w:rsidRDefault="00916720">
      <w:pPr>
        <w:spacing w:after="160"/>
      </w:pPr>
      <w:r>
        <w:t xml:space="preserve">These measures operate on </w:t>
      </w:r>
      <w:proofErr w:type="spellStart"/>
      <w:r>
        <w:t>Fact_Scenarios</w:t>
      </w:r>
      <w:proofErr w:type="spellEnd"/>
      <w:r>
        <w:t>, which holds one row per scenario (A/B/C) with the assumption inputs and calculated outputs already present as columns — Total TC, Net Program Value, ROI Multiple, Break-Even Months — mirroring the Consolidation Scenarios tab in the Excel workbook.</w:t>
      </w:r>
    </w:p>
    <w:p w14:paraId="65D24C1B" w14:textId="77777777" w:rsidR="005E1C88" w:rsidRDefault="00916720">
      <w:pPr>
        <w:spacing w:before="160" w:after="60"/>
      </w:pPr>
      <w:r>
        <w:rPr>
          <w:b/>
          <w:bCs/>
          <w:color w:val="12239E"/>
        </w:rPr>
        <w:t>Selected Scenario ROI</w:t>
      </w:r>
    </w:p>
    <w:p w14:paraId="4FBE8FE2" w14:textId="77777777" w:rsidR="005E1C88" w:rsidRDefault="00916720">
      <w:pPr>
        <w:pBdr>
          <w:left w:val="single" w:sz="18" w:space="8" w:color="12239E"/>
        </w:pBdr>
        <w:shd w:val="clear" w:color="auto" w:fill="F5F5F5"/>
        <w:spacing w:before="60" w:after="80"/>
        <w:ind w:left="120"/>
      </w:pPr>
      <w:r>
        <w:rPr>
          <w:rFonts w:ascii="Consolas" w:eastAsia="Consolas" w:hAnsi="Consolas" w:cs="Consolas"/>
          <w:sz w:val="19"/>
          <w:szCs w:val="19"/>
        </w:rPr>
        <w:t>Selected Scenario ROI =</w:t>
      </w:r>
      <w:r>
        <w:br/>
      </w:r>
      <w:r>
        <w:rPr>
          <w:rFonts w:ascii="Consolas" w:eastAsia="Consolas" w:hAnsi="Consolas" w:cs="Consolas"/>
          <w:sz w:val="19"/>
          <w:szCs w:val="19"/>
        </w:rPr>
        <w:t xml:space="preserve">SELECTEDVALUE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Fact</w:t>
      </w:r>
      <w:proofErr w:type="gramEnd"/>
      <w:r>
        <w:rPr>
          <w:rFonts w:ascii="Consolas" w:eastAsia="Consolas" w:hAnsi="Consolas" w:cs="Consolas"/>
          <w:sz w:val="19"/>
          <w:szCs w:val="19"/>
        </w:rPr>
        <w:t>_</w:t>
      </w:r>
      <w:proofErr w:type="gramStart"/>
      <w:r>
        <w:rPr>
          <w:rFonts w:ascii="Consolas" w:eastAsia="Consolas" w:hAnsi="Consolas" w:cs="Consolas"/>
          <w:sz w:val="19"/>
          <w:szCs w:val="19"/>
        </w:rPr>
        <w:t>Scenarios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ROI_Multiple</w:t>
      </w:r>
      <w:proofErr w:type="spellEnd"/>
      <w:proofErr w:type="gramStart"/>
      <w:r>
        <w:rPr>
          <w:rFonts w:ascii="Consolas" w:eastAsia="Consolas" w:hAnsi="Consolas" w:cs="Consolas"/>
          <w:sz w:val="19"/>
          <w:szCs w:val="19"/>
        </w:rPr>
        <w:t>] )</w:t>
      </w:r>
      <w:proofErr w:type="gramEnd"/>
    </w:p>
    <w:p w14:paraId="5CA2B667" w14:textId="77777777" w:rsidR="005E1C88" w:rsidRDefault="00916720">
      <w:pPr>
        <w:spacing w:after="220"/>
      </w:pPr>
      <w:r>
        <w:rPr>
          <w:i/>
          <w:iCs/>
          <w:color w:val="605E5C"/>
          <w:sz w:val="19"/>
          <w:szCs w:val="19"/>
        </w:rPr>
        <w:t>Used with a Scenario slicer (disconnected table A/B/C) so the report page updates when the user clicks a scenario pill — the Power BI equivalent of the HTML dashboard's scenario selector.</w:t>
      </w:r>
    </w:p>
    <w:p w14:paraId="693C7D6F" w14:textId="77777777" w:rsidR="005E1C88" w:rsidRDefault="00916720">
      <w:pPr>
        <w:spacing w:before="160" w:after="60"/>
      </w:pPr>
      <w:r>
        <w:rPr>
          <w:b/>
          <w:bCs/>
          <w:color w:val="12239E"/>
        </w:rPr>
        <w:t>Net Savings by Year (matrix measure)</w:t>
      </w:r>
    </w:p>
    <w:p w14:paraId="50A4FA5E" w14:textId="77777777" w:rsidR="005E1C88" w:rsidRDefault="00916720">
      <w:pPr>
        <w:pBdr>
          <w:left w:val="single" w:sz="18" w:space="8" w:color="12239E"/>
        </w:pBdr>
        <w:shd w:val="clear" w:color="auto" w:fill="F5F5F5"/>
        <w:spacing w:before="60" w:after="80"/>
        <w:ind w:left="120"/>
      </w:pPr>
      <w:r>
        <w:rPr>
          <w:rFonts w:ascii="Consolas" w:eastAsia="Consolas" w:hAnsi="Consolas" w:cs="Consolas"/>
          <w:sz w:val="19"/>
          <w:szCs w:val="19"/>
        </w:rPr>
        <w:t>Net Savings by Year =</w:t>
      </w:r>
      <w:r>
        <w:br/>
      </w:r>
      <w:r>
        <w:rPr>
          <w:rFonts w:ascii="Consolas" w:eastAsia="Consolas" w:hAnsi="Consolas" w:cs="Consolas"/>
          <w:sz w:val="19"/>
          <w:szCs w:val="19"/>
        </w:rPr>
        <w:t xml:space="preserve">VAR </w:t>
      </w:r>
      <w:proofErr w:type="spellStart"/>
      <w:r>
        <w:rPr>
          <w:rFonts w:ascii="Consolas" w:eastAsia="Consolas" w:hAnsi="Consolas" w:cs="Consolas"/>
          <w:sz w:val="19"/>
          <w:szCs w:val="19"/>
        </w:rPr>
        <w:t>SelectedScenario</w:t>
      </w:r>
      <w:proofErr w:type="spellEnd"/>
      <w:r>
        <w:rPr>
          <w:rFonts w:ascii="Consolas" w:eastAsia="Consolas" w:hAnsi="Consolas" w:cs="Consolas"/>
          <w:sz w:val="19"/>
          <w:szCs w:val="19"/>
        </w:rPr>
        <w:t xml:space="preserve"> = SELECTEDVALUE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Fact</w:t>
      </w:r>
      <w:proofErr w:type="gramEnd"/>
      <w:r>
        <w:rPr>
          <w:rFonts w:ascii="Consolas" w:eastAsia="Consolas" w:hAnsi="Consolas" w:cs="Consolas"/>
          <w:sz w:val="19"/>
          <w:szCs w:val="19"/>
        </w:rPr>
        <w:t>_</w:t>
      </w:r>
      <w:proofErr w:type="gramStart"/>
      <w:r>
        <w:rPr>
          <w:rFonts w:ascii="Consolas" w:eastAsia="Consolas" w:hAnsi="Consolas" w:cs="Consolas"/>
          <w:sz w:val="19"/>
          <w:szCs w:val="19"/>
        </w:rPr>
        <w:t>Scenarios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ScenarioID</w:t>
      </w:r>
      <w:proofErr w:type="spellEnd"/>
      <w:proofErr w:type="gramStart"/>
      <w:r>
        <w:rPr>
          <w:rFonts w:ascii="Consolas" w:eastAsia="Consolas" w:hAnsi="Consolas" w:cs="Consolas"/>
          <w:sz w:val="19"/>
          <w:szCs w:val="19"/>
        </w:rPr>
        <w:t>] )</w:t>
      </w:r>
      <w:proofErr w:type="gramEnd"/>
      <w:r>
        <w:br/>
      </w:r>
      <w:r>
        <w:rPr>
          <w:rFonts w:ascii="Consolas" w:eastAsia="Consolas" w:hAnsi="Consolas" w:cs="Consolas"/>
          <w:sz w:val="19"/>
          <w:szCs w:val="19"/>
        </w:rPr>
        <w:t xml:space="preserve">VAR </w:t>
      </w:r>
      <w:proofErr w:type="spellStart"/>
      <w:r>
        <w:rPr>
          <w:rFonts w:ascii="Consolas" w:eastAsia="Consolas" w:hAnsi="Consolas" w:cs="Consolas"/>
          <w:sz w:val="19"/>
          <w:szCs w:val="19"/>
        </w:rPr>
        <w:t>GrossSavings</w:t>
      </w:r>
      <w:proofErr w:type="spellEnd"/>
      <w:r>
        <w:rPr>
          <w:rFonts w:ascii="Consolas" w:eastAsia="Consolas" w:hAnsi="Consolas" w:cs="Consolas"/>
          <w:sz w:val="19"/>
          <w:szCs w:val="19"/>
        </w:rPr>
        <w:t xml:space="preserve"> = SELECTEDVALUE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Fact</w:t>
      </w:r>
      <w:proofErr w:type="gramEnd"/>
      <w:r>
        <w:rPr>
          <w:rFonts w:ascii="Consolas" w:eastAsia="Consolas" w:hAnsi="Consolas" w:cs="Consolas"/>
          <w:sz w:val="19"/>
          <w:szCs w:val="19"/>
        </w:rPr>
        <w:t>_</w:t>
      </w:r>
      <w:proofErr w:type="gramStart"/>
      <w:r>
        <w:rPr>
          <w:rFonts w:ascii="Consolas" w:eastAsia="Consolas" w:hAnsi="Consolas" w:cs="Consolas"/>
          <w:sz w:val="19"/>
          <w:szCs w:val="19"/>
        </w:rPr>
        <w:t>Scenarios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GrossSavings</w:t>
      </w:r>
      <w:proofErr w:type="spellEnd"/>
      <w:proofErr w:type="gramStart"/>
      <w:r>
        <w:rPr>
          <w:rFonts w:ascii="Consolas" w:eastAsia="Consolas" w:hAnsi="Consolas" w:cs="Consolas"/>
          <w:sz w:val="19"/>
          <w:szCs w:val="19"/>
        </w:rPr>
        <w:t>] )</w:t>
      </w:r>
      <w:proofErr w:type="gramEnd"/>
      <w:r>
        <w:br/>
      </w:r>
      <w:r>
        <w:rPr>
          <w:rFonts w:ascii="Consolas" w:eastAsia="Consolas" w:hAnsi="Consolas" w:cs="Consolas"/>
          <w:sz w:val="19"/>
          <w:szCs w:val="19"/>
        </w:rPr>
        <w:t xml:space="preserve">VAR </w:t>
      </w:r>
      <w:proofErr w:type="spellStart"/>
      <w:r>
        <w:rPr>
          <w:rFonts w:ascii="Consolas" w:eastAsia="Consolas" w:hAnsi="Consolas" w:cs="Consolas"/>
          <w:sz w:val="19"/>
          <w:szCs w:val="19"/>
        </w:rPr>
        <w:t>CaptureRate</w:t>
      </w:r>
      <w:proofErr w:type="spellEnd"/>
      <w:r>
        <w:rPr>
          <w:rFonts w:ascii="Consolas" w:eastAsia="Consolas" w:hAnsi="Consolas" w:cs="Consolas"/>
          <w:sz w:val="19"/>
          <w:szCs w:val="19"/>
        </w:rPr>
        <w:t xml:space="preserve"> = SELECTEDVALUE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Fact</w:t>
      </w:r>
      <w:proofErr w:type="gramEnd"/>
      <w:r>
        <w:rPr>
          <w:rFonts w:ascii="Consolas" w:eastAsia="Consolas" w:hAnsi="Consolas" w:cs="Consolas"/>
          <w:sz w:val="19"/>
          <w:szCs w:val="19"/>
        </w:rPr>
        <w:t>_</w:t>
      </w:r>
      <w:proofErr w:type="gramStart"/>
      <w:r>
        <w:rPr>
          <w:rFonts w:ascii="Consolas" w:eastAsia="Consolas" w:hAnsi="Consolas" w:cs="Consolas"/>
          <w:sz w:val="19"/>
          <w:szCs w:val="19"/>
        </w:rPr>
        <w:t>Scenarios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CaptureRate_SelectedYear</w:t>
      </w:r>
      <w:proofErr w:type="spellEnd"/>
      <w:proofErr w:type="gramStart"/>
      <w:r>
        <w:rPr>
          <w:rFonts w:ascii="Consolas" w:eastAsia="Consolas" w:hAnsi="Consolas" w:cs="Consolas"/>
          <w:sz w:val="19"/>
          <w:szCs w:val="19"/>
        </w:rPr>
        <w:t>] )</w:t>
      </w:r>
      <w:proofErr w:type="gramEnd"/>
      <w:r>
        <w:br/>
      </w:r>
      <w:r>
        <w:rPr>
          <w:rFonts w:ascii="Consolas" w:eastAsia="Consolas" w:hAnsi="Consolas" w:cs="Consolas"/>
          <w:sz w:val="19"/>
          <w:szCs w:val="19"/>
        </w:rPr>
        <w:t xml:space="preserve">VAR </w:t>
      </w:r>
      <w:proofErr w:type="spellStart"/>
      <w:r>
        <w:rPr>
          <w:rFonts w:ascii="Consolas" w:eastAsia="Consolas" w:hAnsi="Consolas" w:cs="Consolas"/>
          <w:sz w:val="19"/>
          <w:szCs w:val="19"/>
        </w:rPr>
        <w:t>TransitionCost</w:t>
      </w:r>
      <w:proofErr w:type="spellEnd"/>
      <w:r>
        <w:rPr>
          <w:rFonts w:ascii="Consolas" w:eastAsia="Consolas" w:hAnsi="Consolas" w:cs="Consolas"/>
          <w:sz w:val="19"/>
          <w:szCs w:val="19"/>
        </w:rPr>
        <w:t xml:space="preserve"> = SELECTEDVALUE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Fact</w:t>
      </w:r>
      <w:proofErr w:type="gramEnd"/>
      <w:r>
        <w:rPr>
          <w:rFonts w:ascii="Consolas" w:eastAsia="Consolas" w:hAnsi="Consolas" w:cs="Consolas"/>
          <w:sz w:val="19"/>
          <w:szCs w:val="19"/>
        </w:rPr>
        <w:t>_</w:t>
      </w:r>
      <w:proofErr w:type="gramStart"/>
      <w:r>
        <w:rPr>
          <w:rFonts w:ascii="Consolas" w:eastAsia="Consolas" w:hAnsi="Consolas" w:cs="Consolas"/>
          <w:sz w:val="19"/>
          <w:szCs w:val="19"/>
        </w:rPr>
        <w:t>Scenarios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TC_SelectedYear</w:t>
      </w:r>
      <w:proofErr w:type="spellEnd"/>
      <w:proofErr w:type="gramStart"/>
      <w:r>
        <w:rPr>
          <w:rFonts w:ascii="Consolas" w:eastAsia="Consolas" w:hAnsi="Consolas" w:cs="Consolas"/>
          <w:sz w:val="19"/>
          <w:szCs w:val="19"/>
        </w:rPr>
        <w:t>] )</w:t>
      </w:r>
      <w:proofErr w:type="gramEnd"/>
      <w:r>
        <w:br/>
      </w:r>
      <w:r>
        <w:rPr>
          <w:rFonts w:ascii="Consolas" w:eastAsia="Consolas" w:hAnsi="Consolas" w:cs="Consolas"/>
          <w:sz w:val="19"/>
          <w:szCs w:val="19"/>
        </w:rPr>
        <w:t>RETURN</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GrossSavings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CaptureRate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TransitionCost</w:t>
      </w:r>
      <w:proofErr w:type="spellEnd"/>
    </w:p>
    <w:p w14:paraId="6425C954" w14:textId="77777777" w:rsidR="005E1C88" w:rsidRDefault="00916720">
      <w:pPr>
        <w:spacing w:after="220"/>
      </w:pPr>
      <w:r>
        <w:rPr>
          <w:i/>
          <w:iCs/>
          <w:color w:val="605E5C"/>
          <w:sz w:val="19"/>
          <w:szCs w:val="19"/>
        </w:rPr>
        <w:t xml:space="preserve">This mirrors the Excel formula: Net savings in each year = Gross savings × capture rate − that year's transition cost. In Power BI this would typically be unpivoted into a Year dimension rather than using SELECTEDVALUE per year </w:t>
      </w:r>
      <w:proofErr w:type="gramStart"/>
      <w:r>
        <w:rPr>
          <w:i/>
          <w:iCs/>
          <w:color w:val="605E5C"/>
          <w:sz w:val="19"/>
          <w:szCs w:val="19"/>
        </w:rPr>
        <w:t>column, but</w:t>
      </w:r>
      <w:proofErr w:type="gramEnd"/>
      <w:r>
        <w:rPr>
          <w:i/>
          <w:iCs/>
          <w:color w:val="605E5C"/>
          <w:sz w:val="19"/>
          <w:szCs w:val="19"/>
        </w:rPr>
        <w:t xml:space="preserve"> is shown here in the form that maps most directly to the Excel structure.</w:t>
      </w:r>
    </w:p>
    <w:p w14:paraId="18A98BE9" w14:textId="77777777" w:rsidR="005E1C88" w:rsidRDefault="00916720">
      <w:pPr>
        <w:spacing w:before="160" w:after="60"/>
      </w:pPr>
      <w:r>
        <w:rPr>
          <w:b/>
          <w:bCs/>
          <w:color w:val="12239E"/>
        </w:rPr>
        <w:t>3-Year ROI Multiple</w:t>
      </w:r>
    </w:p>
    <w:p w14:paraId="3B692ECE" w14:textId="77777777" w:rsidR="005E1C88" w:rsidRDefault="00916720">
      <w:pPr>
        <w:pBdr>
          <w:left w:val="single" w:sz="18" w:space="8" w:color="12239E"/>
        </w:pBdr>
        <w:shd w:val="clear" w:color="auto" w:fill="F5F5F5"/>
        <w:spacing w:before="60" w:after="80"/>
        <w:ind w:left="120"/>
      </w:pPr>
      <w:r>
        <w:rPr>
          <w:rFonts w:ascii="Consolas" w:eastAsia="Consolas" w:hAnsi="Consolas" w:cs="Consolas"/>
          <w:sz w:val="19"/>
          <w:szCs w:val="19"/>
        </w:rPr>
        <w:t>ROI Multiple =</w:t>
      </w:r>
      <w:r>
        <w:br/>
      </w:r>
      <w:r>
        <w:rPr>
          <w:rFonts w:ascii="Consolas" w:eastAsia="Consolas" w:hAnsi="Consolas" w:cs="Consolas"/>
          <w:sz w:val="19"/>
          <w:szCs w:val="19"/>
        </w:rPr>
        <w:t>DIVIDE (</w:t>
      </w:r>
      <w:r>
        <w:br/>
      </w:r>
      <w:r>
        <w:rPr>
          <w:rFonts w:ascii="Consolas" w:eastAsia="Consolas" w:hAnsi="Consolas" w:cs="Consolas"/>
          <w:sz w:val="19"/>
          <w:szCs w:val="19"/>
        </w:rPr>
        <w:t xml:space="preserve">    SUM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Fact</w:t>
      </w:r>
      <w:proofErr w:type="gramEnd"/>
      <w:r>
        <w:rPr>
          <w:rFonts w:ascii="Consolas" w:eastAsia="Consolas" w:hAnsi="Consolas" w:cs="Consolas"/>
          <w:sz w:val="19"/>
          <w:szCs w:val="19"/>
        </w:rPr>
        <w:t>_</w:t>
      </w:r>
      <w:proofErr w:type="gramStart"/>
      <w:r>
        <w:rPr>
          <w:rFonts w:ascii="Consolas" w:eastAsia="Consolas" w:hAnsi="Consolas" w:cs="Consolas"/>
          <w:sz w:val="19"/>
          <w:szCs w:val="19"/>
        </w:rPr>
        <w:t>Scenarios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NetProgramValue</w:t>
      </w:r>
      <w:proofErr w:type="spellEnd"/>
      <w:r>
        <w:rPr>
          <w:rFonts w:ascii="Consolas" w:eastAsia="Consolas" w:hAnsi="Consolas" w:cs="Consolas"/>
          <w:sz w:val="19"/>
          <w:szCs w:val="19"/>
        </w:rPr>
        <w:t>] ),</w:t>
      </w:r>
      <w:r>
        <w:br/>
      </w:r>
      <w:r>
        <w:rPr>
          <w:rFonts w:ascii="Consolas" w:eastAsia="Consolas" w:hAnsi="Consolas" w:cs="Consolas"/>
          <w:sz w:val="19"/>
          <w:szCs w:val="19"/>
        </w:rPr>
        <w:t xml:space="preserve">    SUM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Fact</w:t>
      </w:r>
      <w:proofErr w:type="gramEnd"/>
      <w:r>
        <w:rPr>
          <w:rFonts w:ascii="Consolas" w:eastAsia="Consolas" w:hAnsi="Consolas" w:cs="Consolas"/>
          <w:sz w:val="19"/>
          <w:szCs w:val="19"/>
        </w:rPr>
        <w:t>_</w:t>
      </w:r>
      <w:proofErr w:type="gramStart"/>
      <w:r>
        <w:rPr>
          <w:rFonts w:ascii="Consolas" w:eastAsia="Consolas" w:hAnsi="Consolas" w:cs="Consolas"/>
          <w:sz w:val="19"/>
          <w:szCs w:val="19"/>
        </w:rPr>
        <w:t>Scenarios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TotalTransitionCost</w:t>
      </w:r>
      <w:proofErr w:type="spellEnd"/>
      <w:r>
        <w:rPr>
          <w:rFonts w:ascii="Consolas" w:eastAsia="Consolas" w:hAnsi="Consolas" w:cs="Consolas"/>
          <w:sz w:val="19"/>
          <w:szCs w:val="19"/>
        </w:rPr>
        <w:t>] ),</w:t>
      </w:r>
      <w:r>
        <w:br/>
      </w:r>
      <w:r>
        <w:rPr>
          <w:rFonts w:ascii="Consolas" w:eastAsia="Consolas" w:hAnsi="Consolas" w:cs="Consolas"/>
          <w:sz w:val="19"/>
          <w:szCs w:val="19"/>
        </w:rPr>
        <w:t xml:space="preserve">    0</w:t>
      </w:r>
      <w:r>
        <w:br/>
      </w:r>
      <w:r>
        <w:rPr>
          <w:rFonts w:ascii="Consolas" w:eastAsia="Consolas" w:hAnsi="Consolas" w:cs="Consolas"/>
          <w:sz w:val="19"/>
          <w:szCs w:val="19"/>
        </w:rPr>
        <w:t>)</w:t>
      </w:r>
    </w:p>
    <w:p w14:paraId="4D35616A" w14:textId="77777777" w:rsidR="005E1C88" w:rsidRDefault="00916720">
      <w:pPr>
        <w:pStyle w:val="Heading1"/>
        <w:spacing w:before="360" w:after="160"/>
      </w:pPr>
      <w:r>
        <w:t>5. Conditional Formatting Logic (Heatmap Matrix)</w:t>
      </w:r>
    </w:p>
    <w:p w14:paraId="13E6EB6A" w14:textId="77777777" w:rsidR="005E1C88" w:rsidRDefault="00916720">
      <w:pPr>
        <w:spacing w:after="160"/>
      </w:pPr>
      <w:r>
        <w:t>The Variance Deep-Dive heatmap in the HTML dashboard is built with custom color interpolation. In Power BI, this is achieved natively using a matrix visual with conditional formatting rules on the Variance % measure:</w:t>
      </w:r>
    </w:p>
    <w:p w14:paraId="1CE1F510" w14:textId="77777777" w:rsidR="005E1C88" w:rsidRDefault="00916720">
      <w:pPr>
        <w:pStyle w:val="ListParagraph"/>
        <w:numPr>
          <w:ilvl w:val="0"/>
          <w:numId w:val="2"/>
        </w:numPr>
        <w:spacing w:after="80"/>
      </w:pPr>
      <w:r>
        <w:t>Format style: Color scale (not rules)</w:t>
      </w:r>
    </w:p>
    <w:p w14:paraId="23831917" w14:textId="77777777" w:rsidR="005E1C88" w:rsidRDefault="00916720">
      <w:pPr>
        <w:pStyle w:val="ListParagraph"/>
        <w:numPr>
          <w:ilvl w:val="0"/>
          <w:numId w:val="2"/>
        </w:numPr>
        <w:spacing w:after="80"/>
      </w:pPr>
      <w:r>
        <w:t>Minimum: -12% → Green (#107C10)</w:t>
      </w:r>
    </w:p>
    <w:p w14:paraId="77665C9F" w14:textId="77777777" w:rsidR="005E1C88" w:rsidRDefault="00916720">
      <w:pPr>
        <w:pStyle w:val="ListParagraph"/>
        <w:numPr>
          <w:ilvl w:val="0"/>
          <w:numId w:val="2"/>
        </w:numPr>
        <w:spacing w:after="80"/>
      </w:pPr>
      <w:r>
        <w:t>Center: 0% → White (#FFFFFF)</w:t>
      </w:r>
    </w:p>
    <w:p w14:paraId="2CFC34BA" w14:textId="77777777" w:rsidR="005E1C88" w:rsidRDefault="00916720">
      <w:pPr>
        <w:pStyle w:val="ListParagraph"/>
        <w:numPr>
          <w:ilvl w:val="0"/>
          <w:numId w:val="2"/>
        </w:numPr>
        <w:spacing w:after="80"/>
      </w:pPr>
      <w:r>
        <w:t>Maximum: +12% → Red (#D64550)</w:t>
      </w:r>
    </w:p>
    <w:p w14:paraId="5225F514" w14:textId="7B5EBF89" w:rsidR="005E1C88" w:rsidRDefault="00916720" w:rsidP="000A3442">
      <w:pPr>
        <w:pStyle w:val="ListParagraph"/>
        <w:numPr>
          <w:ilvl w:val="0"/>
          <w:numId w:val="2"/>
        </w:numPr>
        <w:spacing w:after="80"/>
      </w:pPr>
      <w:r>
        <w:t>Applied to: Variance % measure, on a matrix with Department/Category on rows and Month on columns</w:t>
      </w:r>
    </w:p>
    <w:p w14:paraId="1537DEE7" w14:textId="77777777" w:rsidR="005E1C88" w:rsidRDefault="00916720">
      <w:pPr>
        <w:pStyle w:val="Heading1"/>
        <w:spacing w:before="360" w:after="160"/>
      </w:pPr>
      <w:r>
        <w:t>6</w:t>
      </w:r>
      <w:r>
        <w:t>. Why This Structure</w:t>
      </w:r>
    </w:p>
    <w:p w14:paraId="1B6F0735" w14:textId="77777777" w:rsidR="005E1C88" w:rsidRDefault="00916720">
      <w:pPr>
        <w:spacing w:after="160"/>
      </w:pPr>
      <w:r>
        <w:t>A few modeling choices are worth calling out, since they reflect deliberate practice rather than defaults:</w:t>
      </w:r>
    </w:p>
    <w:p w14:paraId="0D743414" w14:textId="77777777" w:rsidR="005E1C88" w:rsidRDefault="00916720">
      <w:pPr>
        <w:pStyle w:val="ListParagraph"/>
        <w:numPr>
          <w:ilvl w:val="0"/>
          <w:numId w:val="2"/>
        </w:numPr>
        <w:spacing w:after="80"/>
      </w:pPr>
      <w:r>
        <w:t>Wide-format fact table (separate Budget/Actual columns) was chosen over a fully normalized long format because it keeps the core variance measures simple — DIVIDE and subtraction — without needing CALCULATE context-switching for every measure. This is a reasonable trade-off at this data volume; a long format with a Metric dimension would scale better past a few million rows.</w:t>
      </w:r>
    </w:p>
    <w:p w14:paraId="3DFEA31B" w14:textId="77777777" w:rsidR="005E1C88" w:rsidRDefault="00916720">
      <w:pPr>
        <w:pStyle w:val="ListParagraph"/>
        <w:numPr>
          <w:ilvl w:val="0"/>
          <w:numId w:val="2"/>
        </w:numPr>
        <w:spacing w:after="80"/>
      </w:pPr>
      <w:proofErr w:type="gramStart"/>
      <w:r>
        <w:lastRenderedPageBreak/>
        <w:t>DIVIDE(</w:t>
      </w:r>
      <w:proofErr w:type="gramEnd"/>
      <w:r>
        <w:t>) is used everywhere instead of a raw "/" operator specifically to avoid divide-by-zero errors without needing IFERROR — the DAX-native equivalent of the IFERROR wrapper used throughout the Excel model's percentage formulas.</w:t>
      </w:r>
    </w:p>
    <w:p w14:paraId="39276E04" w14:textId="48410CC9" w:rsidR="005E1C88" w:rsidRDefault="00916720" w:rsidP="000A3442">
      <w:pPr>
        <w:pStyle w:val="ListParagraph"/>
        <w:numPr>
          <w:ilvl w:val="0"/>
          <w:numId w:val="2"/>
        </w:numPr>
        <w:spacing w:after="80"/>
      </w:pPr>
      <w:proofErr w:type="spellStart"/>
      <w:r>
        <w:t>Fact_Scenarios</w:t>
      </w:r>
      <w:proofErr w:type="spellEnd"/>
      <w:r>
        <w:t xml:space="preserve"> is deliberately small and denormalized (one row per scenario with all outputs as columns) rather than further normalized, because scenario count is fixed at three and will not grow — over-normalizing here would add join complexity with no performance benefit.</w:t>
      </w:r>
    </w:p>
    <w:p w14:paraId="38B44EEB" w14:textId="77777777" w:rsidR="005E1C88" w:rsidRDefault="00916720">
      <w:pPr>
        <w:pStyle w:val="Heading1"/>
        <w:spacing w:before="360" w:after="160"/>
      </w:pPr>
      <w:r>
        <w:t>7</w:t>
      </w:r>
      <w:r>
        <w:t>. Relationship to the Other Portfolio Artifacts</w:t>
      </w:r>
    </w:p>
    <w:p w14:paraId="78446170" w14:textId="77777777" w:rsidR="005E1C88" w:rsidRDefault="00916720">
      <w:pPr>
        <w:spacing w:after="160"/>
      </w:pPr>
      <w:r>
        <w:t>This data model and the HTML dashboard both source the same underlying numbers as the Excel workbook (Vendor Consolidation Scenario Model). The three pieces are intentionally connected:</w:t>
      </w:r>
    </w:p>
    <w:p w14:paraId="725AFE3F" w14:textId="77777777" w:rsidR="005E1C88" w:rsidRDefault="00916720">
      <w:pPr>
        <w:pStyle w:val="ListParagraph"/>
        <w:numPr>
          <w:ilvl w:val="0"/>
          <w:numId w:val="2"/>
        </w:numPr>
        <w:spacing w:after="80"/>
      </w:pPr>
      <w:r>
        <w:t>Excel model: scenario assumption modeling and toggle-driven sensitivity analysis — the right tool when the audience needs to change inputs and see formulas recalculate.</w:t>
      </w:r>
    </w:p>
    <w:p w14:paraId="27D89AC5" w14:textId="77777777" w:rsidR="005E1C88" w:rsidRDefault="00916720">
      <w:pPr>
        <w:pStyle w:val="ListParagraph"/>
        <w:numPr>
          <w:ilvl w:val="0"/>
          <w:numId w:val="2"/>
        </w:numPr>
        <w:spacing w:after="80"/>
      </w:pPr>
      <w:r>
        <w:t>HTML dashboard: interactive cross-filtering and drill-through exploration — the right tool when the audience wants to click through a story rather than read a static report.</w:t>
      </w:r>
    </w:p>
    <w:p w14:paraId="3BB62FFD" w14:textId="77777777" w:rsidR="005E1C88" w:rsidRDefault="00916720">
      <w:pPr>
        <w:pStyle w:val="ListParagraph"/>
        <w:numPr>
          <w:ilvl w:val="0"/>
          <w:numId w:val="2"/>
        </w:numPr>
        <w:spacing w:after="80"/>
      </w:pPr>
      <w:r>
        <w:t>This document: the technical specification connecting both — proof of DAX fluency and data modeling judgment, reproducible directly in Power BI Desktop.</w:t>
      </w:r>
    </w:p>
    <w:p w14:paraId="575BCE22" w14:textId="77777777" w:rsidR="005E1C88" w:rsidRDefault="005E1C88">
      <w:pPr>
        <w:spacing w:after="200"/>
      </w:pPr>
    </w:p>
    <w:sectPr w:rsidR="005E1C8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AFD"/>
    <w:multiLevelType w:val="hybridMultilevel"/>
    <w:tmpl w:val="0516609E"/>
    <w:lvl w:ilvl="0" w:tplc="2182F54C">
      <w:start w:val="1"/>
      <w:numFmt w:val="bullet"/>
      <w:lvlText w:val="•"/>
      <w:lvlJc w:val="left"/>
      <w:pPr>
        <w:ind w:left="720" w:hanging="360"/>
      </w:pPr>
    </w:lvl>
    <w:lvl w:ilvl="1" w:tplc="0A4C6E6E">
      <w:numFmt w:val="decimal"/>
      <w:lvlText w:val=""/>
      <w:lvlJc w:val="left"/>
    </w:lvl>
    <w:lvl w:ilvl="2" w:tplc="049C271C">
      <w:numFmt w:val="decimal"/>
      <w:lvlText w:val=""/>
      <w:lvlJc w:val="left"/>
    </w:lvl>
    <w:lvl w:ilvl="3" w:tplc="B68CB928">
      <w:numFmt w:val="decimal"/>
      <w:lvlText w:val=""/>
      <w:lvlJc w:val="left"/>
    </w:lvl>
    <w:lvl w:ilvl="4" w:tplc="A888E222">
      <w:numFmt w:val="decimal"/>
      <w:lvlText w:val=""/>
      <w:lvlJc w:val="left"/>
    </w:lvl>
    <w:lvl w:ilvl="5" w:tplc="D1FE72B6">
      <w:numFmt w:val="decimal"/>
      <w:lvlText w:val=""/>
      <w:lvlJc w:val="left"/>
    </w:lvl>
    <w:lvl w:ilvl="6" w:tplc="1D464E32">
      <w:numFmt w:val="decimal"/>
      <w:lvlText w:val=""/>
      <w:lvlJc w:val="left"/>
    </w:lvl>
    <w:lvl w:ilvl="7" w:tplc="6A444700">
      <w:numFmt w:val="decimal"/>
      <w:lvlText w:val=""/>
      <w:lvlJc w:val="left"/>
    </w:lvl>
    <w:lvl w:ilvl="8" w:tplc="1B10A0DC">
      <w:numFmt w:val="decimal"/>
      <w:lvlText w:val=""/>
      <w:lvlJc w:val="left"/>
    </w:lvl>
  </w:abstractNum>
  <w:abstractNum w:abstractNumId="1" w15:restartNumberingAfterBreak="0">
    <w:nsid w:val="3E9E010F"/>
    <w:multiLevelType w:val="hybridMultilevel"/>
    <w:tmpl w:val="672443E8"/>
    <w:lvl w:ilvl="0" w:tplc="A42E07E6">
      <w:start w:val="1"/>
      <w:numFmt w:val="bullet"/>
      <w:lvlText w:val="●"/>
      <w:lvlJc w:val="left"/>
      <w:pPr>
        <w:ind w:left="720" w:hanging="360"/>
      </w:pPr>
    </w:lvl>
    <w:lvl w:ilvl="1" w:tplc="6966036A">
      <w:start w:val="1"/>
      <w:numFmt w:val="bullet"/>
      <w:lvlText w:val="○"/>
      <w:lvlJc w:val="left"/>
      <w:pPr>
        <w:ind w:left="1440" w:hanging="360"/>
      </w:pPr>
    </w:lvl>
    <w:lvl w:ilvl="2" w:tplc="71985C38">
      <w:start w:val="1"/>
      <w:numFmt w:val="bullet"/>
      <w:lvlText w:val="■"/>
      <w:lvlJc w:val="left"/>
      <w:pPr>
        <w:ind w:left="2160" w:hanging="360"/>
      </w:pPr>
    </w:lvl>
    <w:lvl w:ilvl="3" w:tplc="3778658A">
      <w:start w:val="1"/>
      <w:numFmt w:val="bullet"/>
      <w:lvlText w:val="●"/>
      <w:lvlJc w:val="left"/>
      <w:pPr>
        <w:ind w:left="2880" w:hanging="360"/>
      </w:pPr>
    </w:lvl>
    <w:lvl w:ilvl="4" w:tplc="CBF6522E">
      <w:start w:val="1"/>
      <w:numFmt w:val="bullet"/>
      <w:lvlText w:val="○"/>
      <w:lvlJc w:val="left"/>
      <w:pPr>
        <w:ind w:left="3600" w:hanging="360"/>
      </w:pPr>
    </w:lvl>
    <w:lvl w:ilvl="5" w:tplc="294CACE0">
      <w:start w:val="1"/>
      <w:numFmt w:val="bullet"/>
      <w:lvlText w:val="■"/>
      <w:lvlJc w:val="left"/>
      <w:pPr>
        <w:ind w:left="4320" w:hanging="360"/>
      </w:pPr>
    </w:lvl>
    <w:lvl w:ilvl="6" w:tplc="90244018">
      <w:start w:val="1"/>
      <w:numFmt w:val="bullet"/>
      <w:lvlText w:val="●"/>
      <w:lvlJc w:val="left"/>
      <w:pPr>
        <w:ind w:left="5040" w:hanging="360"/>
      </w:pPr>
    </w:lvl>
    <w:lvl w:ilvl="7" w:tplc="492C6C90">
      <w:start w:val="1"/>
      <w:numFmt w:val="bullet"/>
      <w:lvlText w:val="●"/>
      <w:lvlJc w:val="left"/>
      <w:pPr>
        <w:ind w:left="5760" w:hanging="360"/>
      </w:pPr>
    </w:lvl>
    <w:lvl w:ilvl="8" w:tplc="32F67826">
      <w:start w:val="1"/>
      <w:numFmt w:val="bullet"/>
      <w:lvlText w:val="●"/>
      <w:lvlJc w:val="left"/>
      <w:pPr>
        <w:ind w:left="6480" w:hanging="360"/>
      </w:pPr>
    </w:lvl>
  </w:abstractNum>
  <w:num w:numId="1" w16cid:durableId="1325430382">
    <w:abstractNumId w:val="1"/>
    <w:lvlOverride w:ilvl="0">
      <w:startOverride w:val="1"/>
    </w:lvlOverride>
  </w:num>
  <w:num w:numId="2" w16cid:durableId="1083067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C88"/>
    <w:rsid w:val="000A3442"/>
    <w:rsid w:val="00433F30"/>
    <w:rsid w:val="005E1C88"/>
    <w:rsid w:val="00916720"/>
    <w:rsid w:val="009B5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AE1C2"/>
  <w15:docId w15:val="{33F6729B-0912-4AC3-99A9-2C279379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18DFF"/>
      </w:pBdr>
      <w:spacing w:before="320" w:after="200"/>
      <w:outlineLvl w:val="0"/>
    </w:pPr>
    <w:rPr>
      <w:b/>
      <w:bCs/>
      <w:color w:val="12239E"/>
      <w:sz w:val="30"/>
      <w:szCs w:val="30"/>
    </w:rPr>
  </w:style>
  <w:style w:type="paragraph" w:styleId="Heading2">
    <w:name w:val="heading 2"/>
    <w:uiPriority w:val="9"/>
    <w:unhideWhenUsed/>
    <w:qFormat/>
    <w:pPr>
      <w:spacing w:before="200" w:after="120"/>
      <w:outlineLvl w:val="1"/>
    </w:pPr>
    <w:rPr>
      <w:b/>
      <w:bCs/>
      <w:color w:val="1223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1094</Words>
  <Characters>6241</Characters>
  <Application>Microsoft Office Word</Application>
  <DocSecurity>0</DocSecurity>
  <Lines>52</Lines>
  <Paragraphs>14</Paragraphs>
  <ScaleCrop>false</ScaleCrop>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Girvin</cp:lastModifiedBy>
  <cp:revision>4</cp:revision>
  <dcterms:created xsi:type="dcterms:W3CDTF">2026-06-24T14:43:00Z</dcterms:created>
  <dcterms:modified xsi:type="dcterms:W3CDTF">2026-06-24T14:44:00Z</dcterms:modified>
</cp:coreProperties>
</file>