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3B8F0FBF"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220" w:type="dxa"/>
              <w:left w:w="240" w:type="dxa"/>
              <w:bottom w:w="220" w:type="dxa"/>
              <w:right w:w="240" w:type="dxa"/>
            </w:tcMar>
          </w:tcPr>
          <w:p w14:paraId="015A0966" w14:textId="77777777" w:rsidR="009535BF" w:rsidRDefault="0004762A">
            <w:pPr>
              <w:spacing w:before="80" w:after="80"/>
              <w:jc w:val="center"/>
            </w:pPr>
            <w:r>
              <w:rPr>
                <w:rFonts w:ascii="Arial" w:eastAsia="Arial" w:hAnsi="Arial" w:cs="Arial"/>
                <w:b/>
                <w:bCs/>
                <w:color w:val="FFFFFF"/>
                <w:sz w:val="40"/>
                <w:szCs w:val="40"/>
              </w:rPr>
              <w:t>FINANCIAL VARIANCE MODEL</w:t>
            </w:r>
          </w:p>
          <w:p w14:paraId="762741AD" w14:textId="77777777" w:rsidR="009535BF" w:rsidRDefault="0004762A">
            <w:pPr>
              <w:spacing w:before="80" w:after="80"/>
              <w:jc w:val="center"/>
            </w:pPr>
            <w:r>
              <w:rPr>
                <w:rFonts w:ascii="Arial" w:eastAsia="Arial" w:hAnsi="Arial" w:cs="Arial"/>
                <w:b/>
                <w:bCs/>
                <w:color w:val="BF8F00"/>
                <w:sz w:val="26"/>
                <w:szCs w:val="26"/>
              </w:rPr>
              <w:t>Walk-Through Guide &amp; Methodology Q&amp;A</w:t>
            </w:r>
          </w:p>
          <w:p w14:paraId="5B0F8FD2" w14:textId="083D6D00" w:rsidR="009535BF" w:rsidRDefault="0004762A">
            <w:pPr>
              <w:spacing w:before="80" w:after="40"/>
              <w:jc w:val="center"/>
            </w:pPr>
            <w:r>
              <w:rPr>
                <w:rFonts w:ascii="Arial" w:eastAsia="Arial" w:hAnsi="Arial" w:cs="Arial"/>
                <w:i/>
                <w:iCs/>
                <w:color w:val="FFFFFF"/>
                <w:sz w:val="18"/>
                <w:szCs w:val="18"/>
              </w:rPr>
              <w:t>Companion guide to the Vendor Consolidation Scenario Model</w:t>
            </w:r>
          </w:p>
          <w:p w14:paraId="7F0D47F9" w14:textId="6A9E0545" w:rsidR="009535BF" w:rsidRDefault="0004762A">
            <w:pPr>
              <w:spacing w:before="80" w:after="80"/>
              <w:jc w:val="center"/>
            </w:pPr>
            <w:r>
              <w:rPr>
                <w:rFonts w:ascii="Arial" w:eastAsia="Arial" w:hAnsi="Arial" w:cs="Arial"/>
                <w:color w:val="FFFFFF"/>
              </w:rPr>
              <w:t>Christopher S. Girvin • Senior Analytics &amp; BI Professional</w:t>
            </w:r>
          </w:p>
        </w:tc>
      </w:tr>
    </w:tbl>
    <w:p w14:paraId="7A5BE8A0" w14:textId="77777777" w:rsidR="009535BF" w:rsidRDefault="009535BF">
      <w:pPr>
        <w:spacing w:before="80" w:after="80"/>
      </w:pPr>
    </w:p>
    <w:p w14:paraId="32F844F3" w14:textId="084A5673" w:rsidR="009535BF" w:rsidRDefault="0004762A">
      <w:pPr>
        <w:spacing w:before="80" w:after="80"/>
      </w:pPr>
      <w:r>
        <w:rPr>
          <w:rFonts w:ascii="Arial" w:eastAsia="Arial" w:hAnsi="Arial" w:cs="Arial"/>
          <w:i/>
          <w:iCs/>
          <w:color w:val="595959"/>
        </w:rPr>
        <w:t>This guide walks through how the model is structured, how the formulas connect across tabs, and why certain modeling choices were made. Three methodology decisions worth understanding closely: (1) the Scenario B vs. C trade-off and why ROI multiple matters more than gross savings, (2) transition costs modeled as a percentage of gross savings with a 3-year spread rather than a flat one-time cost, (3) a multi-year break-even formula that correctly attributes recovery across all three years. Sections 3 and 4 cover the substance most likely to come up in a technical conversation about this model.</w:t>
      </w:r>
    </w:p>
    <w:p w14:paraId="7979FDCF" w14:textId="77777777" w:rsidR="009535BF" w:rsidRDefault="0004762A">
      <w:pPr>
        <w:pBdr>
          <w:bottom w:val="single" w:sz="6" w:space="4" w:color="1F3864"/>
        </w:pBdr>
        <w:spacing w:before="360" w:after="100"/>
      </w:pPr>
      <w:r>
        <w:rPr>
          <w:rFonts w:ascii="Arial" w:eastAsia="Arial" w:hAnsi="Arial" w:cs="Arial"/>
          <w:b/>
          <w:bCs/>
          <w:color w:val="1F3864"/>
          <w:sz w:val="28"/>
          <w:szCs w:val="28"/>
        </w:rPr>
        <w:t>SECTION 1 — HOW THE MODEL IS STRUCTURED</w:t>
      </w:r>
    </w:p>
    <w:p w14:paraId="340FF245" w14:textId="28B7FC11" w:rsidR="009535BF" w:rsidRDefault="0004762A">
      <w:pPr>
        <w:spacing w:before="80" w:after="80"/>
      </w:pPr>
      <w:r>
        <w:rPr>
          <w:rFonts w:ascii="Arial" w:eastAsia="Arial" w:hAnsi="Arial" w:cs="Arial"/>
          <w:color w:val="000000"/>
        </w:rPr>
        <w:t>Seven tabs. Each answers a different question. A Finance person expects a connected story from left to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9535BF" w14:paraId="09555DA8" w14:textId="77777777">
        <w:tc>
          <w:tcPr>
            <w:tcW w:w="2400" w:type="dxa"/>
            <w:tcBorders>
              <w:top w:val="single" w:sz="1" w:space="0" w:color="D9D9D9"/>
              <w:left w:val="single" w:sz="1" w:space="0" w:color="D9D9D9"/>
              <w:bottom w:val="single" w:sz="1" w:space="0" w:color="D9D9D9"/>
              <w:right w:val="single" w:sz="1" w:space="0" w:color="D9D9D9"/>
            </w:tcBorders>
            <w:shd w:val="clear" w:color="auto" w:fill="1F3864"/>
            <w:tcMar>
              <w:top w:w="100" w:type="dxa"/>
              <w:left w:w="130" w:type="dxa"/>
              <w:bottom w:w="100" w:type="dxa"/>
              <w:right w:w="130" w:type="dxa"/>
            </w:tcMar>
          </w:tcPr>
          <w:p w14:paraId="62CE1356" w14:textId="77777777" w:rsidR="009535BF" w:rsidRDefault="0004762A">
            <w:pPr>
              <w:spacing w:before="80" w:after="80"/>
            </w:pPr>
            <w:r>
              <w:rPr>
                <w:rFonts w:ascii="Arial" w:eastAsia="Arial" w:hAnsi="Arial" w:cs="Arial"/>
                <w:b/>
                <w:bCs/>
                <w:color w:val="FFFFFF"/>
                <w:sz w:val="18"/>
                <w:szCs w:val="18"/>
              </w:rPr>
              <w:t>Tab</w:t>
            </w:r>
          </w:p>
        </w:tc>
        <w:tc>
          <w:tcPr>
            <w:tcW w:w="4360" w:type="dxa"/>
            <w:tcBorders>
              <w:top w:val="single" w:sz="1" w:space="0" w:color="D9D9D9"/>
              <w:left w:val="single" w:sz="1" w:space="0" w:color="D9D9D9"/>
              <w:bottom w:val="single" w:sz="1" w:space="0" w:color="D9D9D9"/>
              <w:right w:val="single" w:sz="1" w:space="0" w:color="D9D9D9"/>
            </w:tcBorders>
            <w:shd w:val="clear" w:color="auto" w:fill="1F3864"/>
            <w:tcMar>
              <w:top w:w="100" w:type="dxa"/>
              <w:left w:w="130" w:type="dxa"/>
              <w:bottom w:w="100" w:type="dxa"/>
              <w:right w:w="130" w:type="dxa"/>
            </w:tcMar>
          </w:tcPr>
          <w:p w14:paraId="16C8B505" w14:textId="77777777" w:rsidR="009535BF" w:rsidRDefault="0004762A">
            <w:pPr>
              <w:spacing w:before="80" w:after="80"/>
            </w:pPr>
            <w:r>
              <w:rPr>
                <w:rFonts w:ascii="Arial" w:eastAsia="Arial" w:hAnsi="Arial" w:cs="Arial"/>
                <w:b/>
                <w:bCs/>
                <w:color w:val="FFFFFF"/>
                <w:sz w:val="18"/>
                <w:szCs w:val="18"/>
              </w:rPr>
              <w:t>What It Shows</w:t>
            </w:r>
          </w:p>
        </w:tc>
        <w:tc>
          <w:tcPr>
            <w:tcW w:w="2600" w:type="dxa"/>
            <w:tcBorders>
              <w:top w:val="single" w:sz="1" w:space="0" w:color="D9D9D9"/>
              <w:left w:val="single" w:sz="1" w:space="0" w:color="D9D9D9"/>
              <w:bottom w:val="single" w:sz="1" w:space="0" w:color="D9D9D9"/>
              <w:right w:val="single" w:sz="1" w:space="0" w:color="D9D9D9"/>
            </w:tcBorders>
            <w:shd w:val="clear" w:color="auto" w:fill="1F3864"/>
            <w:tcMar>
              <w:top w:w="100" w:type="dxa"/>
              <w:left w:w="130" w:type="dxa"/>
              <w:bottom w:w="100" w:type="dxa"/>
              <w:right w:w="130" w:type="dxa"/>
            </w:tcMar>
          </w:tcPr>
          <w:p w14:paraId="2CD52E13" w14:textId="77777777" w:rsidR="009535BF" w:rsidRDefault="0004762A">
            <w:pPr>
              <w:spacing w:before="80" w:after="80"/>
            </w:pPr>
            <w:r>
              <w:rPr>
                <w:rFonts w:ascii="Arial" w:eastAsia="Arial" w:hAnsi="Arial" w:cs="Arial"/>
                <w:b/>
                <w:bCs/>
                <w:color w:val="FFFFFF"/>
                <w:sz w:val="18"/>
                <w:szCs w:val="18"/>
              </w:rPr>
              <w:t>Scope</w:t>
            </w:r>
          </w:p>
        </w:tc>
      </w:tr>
      <w:tr w:rsidR="009535BF" w14:paraId="0DF6C135" w14:textId="77777777">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30" w:type="dxa"/>
              <w:bottom w:w="100" w:type="dxa"/>
              <w:right w:w="130" w:type="dxa"/>
            </w:tcMar>
          </w:tcPr>
          <w:p w14:paraId="2AF6A5D6" w14:textId="77777777" w:rsidR="009535BF" w:rsidRDefault="0004762A">
            <w:pPr>
              <w:spacing w:before="80" w:after="80"/>
            </w:pPr>
            <w:r>
              <w:rPr>
                <w:rFonts w:ascii="Arial" w:eastAsia="Arial" w:hAnsi="Arial" w:cs="Arial"/>
                <w:b/>
                <w:bCs/>
                <w:color w:val="000000"/>
                <w:sz w:val="18"/>
                <w:szCs w:val="18"/>
              </w:rPr>
              <w:t>Executive Dashboard</w:t>
            </w:r>
          </w:p>
        </w:tc>
        <w:tc>
          <w:tcPr>
            <w:tcW w:w="43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5344D83C" w14:textId="77777777" w:rsidR="009535BF" w:rsidRDefault="0004762A">
            <w:pPr>
              <w:spacing w:before="80" w:after="80"/>
            </w:pPr>
            <w:r>
              <w:rPr>
                <w:rFonts w:ascii="Arial" w:eastAsia="Arial" w:hAnsi="Arial" w:cs="Arial"/>
                <w:color w:val="000000"/>
                <w:sz w:val="18"/>
                <w:szCs w:val="18"/>
              </w:rPr>
              <w:t>Headline KPIs: total savings, vendor count reduction, audit escalations, stakeholders. Savings by department.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1328594E" w14:textId="77777777" w:rsidR="009535BF" w:rsidRDefault="0004762A">
            <w:pPr>
              <w:spacing w:before="80" w:after="80"/>
            </w:pPr>
            <w:r>
              <w:rPr>
                <w:rFonts w:ascii="Arial" w:eastAsia="Arial" w:hAnsi="Arial" w:cs="Arial"/>
                <w:color w:val="000000"/>
                <w:sz w:val="18"/>
                <w:szCs w:val="18"/>
              </w:rPr>
              <w:t>All 3 depts — $428.6M combined</w:t>
            </w:r>
          </w:p>
        </w:tc>
      </w:tr>
      <w:tr w:rsidR="009535BF" w14:paraId="337B19D7" w14:textId="77777777">
        <w:tc>
          <w:tcPr>
            <w:tcW w:w="2400" w:type="dxa"/>
            <w:tcBorders>
              <w:top w:val="single" w:sz="1" w:space="0" w:color="D9D9D9"/>
              <w:left w:val="single" w:sz="1" w:space="0" w:color="D9D9D9"/>
              <w:bottom w:val="single" w:sz="1" w:space="0" w:color="D9D9D9"/>
              <w:right w:val="single" w:sz="1" w:space="0" w:color="D9D9D9"/>
            </w:tcBorders>
            <w:shd w:val="clear" w:color="auto" w:fill="EAEEF3"/>
            <w:tcMar>
              <w:top w:w="100" w:type="dxa"/>
              <w:left w:w="130" w:type="dxa"/>
              <w:bottom w:w="100" w:type="dxa"/>
              <w:right w:w="130" w:type="dxa"/>
            </w:tcMar>
          </w:tcPr>
          <w:p w14:paraId="4E5EC6C0" w14:textId="77777777" w:rsidR="009535BF" w:rsidRDefault="0004762A">
            <w:pPr>
              <w:spacing w:before="80" w:after="80"/>
            </w:pPr>
            <w:r>
              <w:rPr>
                <w:rFonts w:ascii="Arial" w:eastAsia="Arial" w:hAnsi="Arial" w:cs="Arial"/>
                <w:b/>
                <w:bCs/>
                <w:color w:val="000000"/>
                <w:sz w:val="18"/>
                <w:szCs w:val="18"/>
              </w:rPr>
              <w:t>Variance Analysis — Finance</w:t>
            </w:r>
          </w:p>
        </w:tc>
        <w:tc>
          <w:tcPr>
            <w:tcW w:w="436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24FB8BF1" w14:textId="77777777" w:rsidR="009535BF" w:rsidRDefault="0004762A">
            <w:pPr>
              <w:spacing w:before="80" w:after="80"/>
            </w:pPr>
            <w:r>
              <w:rPr>
                <w:rFonts w:ascii="Arial" w:eastAsia="Arial" w:hAnsi="Arial" w:cs="Arial"/>
                <w:color w:val="000000"/>
                <w:sz w:val="18"/>
                <w:szCs w:val="18"/>
              </w:rPr>
              <w:t>Month-by-month actual vs. budget by cost category for FY2022. Six vendor cost categories.</w:t>
            </w:r>
          </w:p>
        </w:tc>
        <w:tc>
          <w:tcPr>
            <w:tcW w:w="260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61346E5F" w14:textId="77777777" w:rsidR="009535BF" w:rsidRDefault="0004762A">
            <w:pPr>
              <w:spacing w:before="80" w:after="80"/>
            </w:pPr>
            <w:r>
              <w:rPr>
                <w:rFonts w:ascii="Arial" w:eastAsia="Arial" w:hAnsi="Arial" w:cs="Arial"/>
                <w:color w:val="000000"/>
                <w:sz w:val="18"/>
                <w:szCs w:val="18"/>
              </w:rPr>
              <w:t>Finance only ($142.3M baseline)</w:t>
            </w:r>
          </w:p>
        </w:tc>
      </w:tr>
      <w:tr w:rsidR="009535BF" w14:paraId="7B190897" w14:textId="77777777">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30" w:type="dxa"/>
              <w:bottom w:w="100" w:type="dxa"/>
              <w:right w:w="130" w:type="dxa"/>
            </w:tcMar>
          </w:tcPr>
          <w:p w14:paraId="149B1317" w14:textId="77777777" w:rsidR="009535BF" w:rsidRDefault="0004762A">
            <w:pPr>
              <w:spacing w:before="80" w:after="80"/>
            </w:pPr>
            <w:r>
              <w:rPr>
                <w:rFonts w:ascii="Arial" w:eastAsia="Arial" w:hAnsi="Arial" w:cs="Arial"/>
                <w:b/>
                <w:bCs/>
                <w:color w:val="000000"/>
                <w:sz w:val="18"/>
                <w:szCs w:val="18"/>
              </w:rPr>
              <w:t>Variance Analysis — Risk</w:t>
            </w:r>
          </w:p>
        </w:tc>
        <w:tc>
          <w:tcPr>
            <w:tcW w:w="43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1C3825DC" w14:textId="088961FA" w:rsidR="009535BF" w:rsidRDefault="0004762A">
            <w:pPr>
              <w:spacing w:before="80" w:after="80"/>
            </w:pPr>
            <w:r>
              <w:rPr>
                <w:rFonts w:ascii="Arial" w:eastAsia="Arial" w:hAnsi="Arial" w:cs="Arial"/>
                <w:color w:val="000000"/>
                <w:sz w:val="18"/>
                <w:szCs w:val="18"/>
              </w:rPr>
              <w:t>Same structure as Finance tab. Risk department vendor spending.</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31112DDB" w14:textId="77777777" w:rsidR="009535BF" w:rsidRDefault="0004762A">
            <w:pPr>
              <w:spacing w:before="80" w:after="80"/>
            </w:pPr>
            <w:r>
              <w:rPr>
                <w:rFonts w:ascii="Arial" w:eastAsia="Arial" w:hAnsi="Arial" w:cs="Arial"/>
                <w:color w:val="000000"/>
                <w:sz w:val="18"/>
                <w:szCs w:val="18"/>
              </w:rPr>
              <w:t>Risk only ($98.7M baseline)</w:t>
            </w:r>
          </w:p>
        </w:tc>
      </w:tr>
      <w:tr w:rsidR="009535BF" w14:paraId="5001E06A" w14:textId="77777777">
        <w:tc>
          <w:tcPr>
            <w:tcW w:w="2400" w:type="dxa"/>
            <w:tcBorders>
              <w:top w:val="single" w:sz="1" w:space="0" w:color="D9D9D9"/>
              <w:left w:val="single" w:sz="1" w:space="0" w:color="D9D9D9"/>
              <w:bottom w:val="single" w:sz="1" w:space="0" w:color="D9D9D9"/>
              <w:right w:val="single" w:sz="1" w:space="0" w:color="D9D9D9"/>
            </w:tcBorders>
            <w:shd w:val="clear" w:color="auto" w:fill="EAEEF3"/>
            <w:tcMar>
              <w:top w:w="100" w:type="dxa"/>
              <w:left w:w="130" w:type="dxa"/>
              <w:bottom w:w="100" w:type="dxa"/>
              <w:right w:w="130" w:type="dxa"/>
            </w:tcMar>
          </w:tcPr>
          <w:p w14:paraId="0A6B877D" w14:textId="77777777" w:rsidR="009535BF" w:rsidRDefault="0004762A">
            <w:pPr>
              <w:spacing w:before="80" w:after="80"/>
            </w:pPr>
            <w:r>
              <w:rPr>
                <w:rFonts w:ascii="Arial" w:eastAsia="Arial" w:hAnsi="Arial" w:cs="Arial"/>
                <w:b/>
                <w:bCs/>
                <w:color w:val="000000"/>
                <w:sz w:val="18"/>
                <w:szCs w:val="18"/>
              </w:rPr>
              <w:t>Variance Analysis — Ops</w:t>
            </w:r>
          </w:p>
        </w:tc>
        <w:tc>
          <w:tcPr>
            <w:tcW w:w="436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5A3978FC" w14:textId="78F38E11" w:rsidR="009535BF" w:rsidRDefault="0004762A">
            <w:pPr>
              <w:spacing w:before="80" w:after="80"/>
            </w:pPr>
            <w:r>
              <w:rPr>
                <w:rFonts w:ascii="Arial" w:eastAsia="Arial" w:hAnsi="Arial" w:cs="Arial"/>
                <w:color w:val="000000"/>
                <w:sz w:val="18"/>
                <w:szCs w:val="18"/>
              </w:rPr>
              <w:t>Same structure. Operations department vendor spending.</w:t>
            </w:r>
          </w:p>
        </w:tc>
        <w:tc>
          <w:tcPr>
            <w:tcW w:w="260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69E34CB0" w14:textId="77777777" w:rsidR="009535BF" w:rsidRDefault="0004762A">
            <w:pPr>
              <w:spacing w:before="80" w:after="80"/>
            </w:pPr>
            <w:r>
              <w:rPr>
                <w:rFonts w:ascii="Arial" w:eastAsia="Arial" w:hAnsi="Arial" w:cs="Arial"/>
                <w:color w:val="000000"/>
                <w:sz w:val="18"/>
                <w:szCs w:val="18"/>
              </w:rPr>
              <w:t>Ops only ($187.6M baseline)</w:t>
            </w:r>
          </w:p>
        </w:tc>
      </w:tr>
      <w:tr w:rsidR="009535BF" w14:paraId="20713D6F" w14:textId="77777777">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30" w:type="dxa"/>
              <w:bottom w:w="100" w:type="dxa"/>
              <w:right w:w="130" w:type="dxa"/>
            </w:tcMar>
          </w:tcPr>
          <w:p w14:paraId="730B3299" w14:textId="77777777" w:rsidR="009535BF" w:rsidRDefault="0004762A">
            <w:pPr>
              <w:spacing w:before="80" w:after="80"/>
            </w:pPr>
            <w:r>
              <w:rPr>
                <w:rFonts w:ascii="Arial" w:eastAsia="Arial" w:hAnsi="Arial" w:cs="Arial"/>
                <w:b/>
                <w:bCs/>
                <w:color w:val="000000"/>
                <w:sz w:val="18"/>
                <w:szCs w:val="18"/>
              </w:rPr>
              <w:t>Consolidation Scenarios</w:t>
            </w:r>
          </w:p>
        </w:tc>
        <w:tc>
          <w:tcPr>
            <w:tcW w:w="43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0FA10D99" w14:textId="1EA6F918" w:rsidR="009535BF" w:rsidRDefault="0004762A">
            <w:pPr>
              <w:spacing w:before="80" w:after="80"/>
            </w:pPr>
            <w:r>
              <w:rPr>
                <w:rFonts w:ascii="Arial" w:eastAsia="Arial" w:hAnsi="Arial" w:cs="Arial"/>
                <w:color w:val="000000"/>
                <w:sz w:val="18"/>
                <w:szCs w:val="18"/>
              </w:rPr>
              <w:t>3-scenario analysis. Transition costs are % of gross savings, spread 60/28/12 across 3 years. All outputs are formula-driven.</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30935D5B" w14:textId="77777777" w:rsidR="009535BF" w:rsidRDefault="0004762A">
            <w:pPr>
              <w:spacing w:before="80" w:after="80"/>
            </w:pPr>
            <w:r>
              <w:rPr>
                <w:rFonts w:ascii="Arial" w:eastAsia="Arial" w:hAnsi="Arial" w:cs="Arial"/>
                <w:color w:val="000000"/>
                <w:sz w:val="18"/>
                <w:szCs w:val="18"/>
              </w:rPr>
              <w:t>All 3 depts combined</w:t>
            </w:r>
          </w:p>
        </w:tc>
      </w:tr>
      <w:tr w:rsidR="009535BF" w14:paraId="02AED8C7" w14:textId="77777777">
        <w:tc>
          <w:tcPr>
            <w:tcW w:w="2400" w:type="dxa"/>
            <w:tcBorders>
              <w:top w:val="single" w:sz="1" w:space="0" w:color="D9D9D9"/>
              <w:left w:val="single" w:sz="1" w:space="0" w:color="D9D9D9"/>
              <w:bottom w:val="single" w:sz="1" w:space="0" w:color="D9D9D9"/>
              <w:right w:val="single" w:sz="1" w:space="0" w:color="D9D9D9"/>
            </w:tcBorders>
            <w:shd w:val="clear" w:color="auto" w:fill="EAEEF3"/>
            <w:tcMar>
              <w:top w:w="100" w:type="dxa"/>
              <w:left w:w="130" w:type="dxa"/>
              <w:bottom w:w="100" w:type="dxa"/>
              <w:right w:w="130" w:type="dxa"/>
            </w:tcMar>
          </w:tcPr>
          <w:p w14:paraId="334E88D7" w14:textId="77777777" w:rsidR="009535BF" w:rsidRDefault="0004762A">
            <w:pPr>
              <w:spacing w:before="80" w:after="80"/>
            </w:pPr>
            <w:r>
              <w:rPr>
                <w:rFonts w:ascii="Arial" w:eastAsia="Arial" w:hAnsi="Arial" w:cs="Arial"/>
                <w:b/>
                <w:bCs/>
                <w:color w:val="000000"/>
                <w:sz w:val="18"/>
                <w:szCs w:val="18"/>
              </w:rPr>
              <w:t>Sensitivity Model</w:t>
            </w:r>
          </w:p>
        </w:tc>
        <w:tc>
          <w:tcPr>
            <w:tcW w:w="436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66E47ED0" w14:textId="7D35BECB" w:rsidR="009535BF" w:rsidRDefault="00F67836">
            <w:pPr>
              <w:spacing w:before="80" w:after="80"/>
            </w:pPr>
            <w:r>
              <w:rPr>
                <w:rFonts w:ascii="Arial" w:eastAsia="Arial" w:hAnsi="Arial" w:cs="Arial"/>
                <w:color w:val="000000"/>
                <w:sz w:val="18"/>
                <w:szCs w:val="18"/>
              </w:rPr>
              <w:t>Two variable table: net savings across vendor reduction % × discount rate combinations. All 49 cells are live formulas referencing assumption cells.</w:t>
            </w:r>
          </w:p>
        </w:tc>
        <w:tc>
          <w:tcPr>
            <w:tcW w:w="260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66E1E22D" w14:textId="77777777" w:rsidR="009535BF" w:rsidRDefault="0004762A">
            <w:pPr>
              <w:spacing w:before="80" w:after="80"/>
            </w:pPr>
            <w:r>
              <w:rPr>
                <w:rFonts w:ascii="Arial" w:eastAsia="Arial" w:hAnsi="Arial" w:cs="Arial"/>
                <w:color w:val="000000"/>
                <w:sz w:val="18"/>
                <w:szCs w:val="18"/>
              </w:rPr>
              <w:t>Scenario B anchor</w:t>
            </w:r>
          </w:p>
        </w:tc>
      </w:tr>
      <w:tr w:rsidR="009535BF" w14:paraId="51A8773D" w14:textId="77777777">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30" w:type="dxa"/>
              <w:bottom w:w="100" w:type="dxa"/>
              <w:right w:w="130" w:type="dxa"/>
            </w:tcMar>
          </w:tcPr>
          <w:p w14:paraId="08BF0A83" w14:textId="77777777" w:rsidR="009535BF" w:rsidRDefault="0004762A">
            <w:pPr>
              <w:spacing w:before="80" w:after="80"/>
            </w:pPr>
            <w:r>
              <w:rPr>
                <w:rFonts w:ascii="Arial" w:eastAsia="Arial" w:hAnsi="Arial" w:cs="Arial"/>
                <w:b/>
                <w:bCs/>
                <w:color w:val="000000"/>
                <w:sz w:val="18"/>
                <w:szCs w:val="18"/>
              </w:rPr>
              <w:t>Methodology</w:t>
            </w:r>
          </w:p>
        </w:tc>
        <w:tc>
          <w:tcPr>
            <w:tcW w:w="43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2402EA42" w14:textId="77777777" w:rsidR="009535BF" w:rsidRDefault="0004762A">
            <w:pPr>
              <w:spacing w:before="80" w:after="80"/>
            </w:pPr>
            <w:r>
              <w:rPr>
                <w:rFonts w:ascii="Arial" w:eastAsia="Arial" w:hAnsi="Arial" w:cs="Arial"/>
                <w:color w:val="000000"/>
                <w:sz w:val="18"/>
                <w:szCs w:val="18"/>
              </w:rPr>
              <w:t>Model documentation, data dictionary, color guide, walk-through script.</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1EE1A5F5" w14:textId="77777777" w:rsidR="009535BF" w:rsidRDefault="0004762A">
            <w:pPr>
              <w:spacing w:before="80" w:after="80"/>
            </w:pPr>
            <w:r>
              <w:rPr>
                <w:rFonts w:ascii="Arial" w:eastAsia="Arial" w:hAnsi="Arial" w:cs="Arial"/>
                <w:color w:val="000000"/>
                <w:sz w:val="18"/>
                <w:szCs w:val="18"/>
              </w:rPr>
              <w:t>Reference only</w:t>
            </w:r>
          </w:p>
        </w:tc>
      </w:tr>
    </w:tbl>
    <w:p w14:paraId="7F3B6FF9" w14:textId="11E56836" w:rsidR="009535BF" w:rsidRDefault="0004762A" w:rsidP="00F67836">
      <w:r>
        <w:br/>
      </w:r>
      <w:r>
        <w:rPr>
          <w:rFonts w:ascii="Arial" w:eastAsia="Arial" w:hAnsi="Arial" w:cs="Arial"/>
          <w:b/>
          <w:bCs/>
          <w:color w:val="1F3864"/>
          <w:sz w:val="28"/>
          <w:szCs w:val="28"/>
        </w:rPr>
        <w:t>SECTION 2 — HOW THE FORMULAS WORK</w:t>
      </w:r>
    </w:p>
    <w:p w14:paraId="2643A011" w14:textId="77777777" w:rsidR="009535BF" w:rsidRDefault="0004762A">
      <w:pPr>
        <w:spacing w:before="240" w:after="70"/>
      </w:pPr>
      <w:r>
        <w:rPr>
          <w:rFonts w:ascii="Arial" w:eastAsia="Arial" w:hAnsi="Arial" w:cs="Arial"/>
          <w:b/>
          <w:bCs/>
          <w:color w:val="2E75B6"/>
          <w:sz w:val="22"/>
          <w:szCs w:val="22"/>
        </w:rPr>
        <w:t>Variance Analysis Tabs — Budget, Actual, Variance</w:t>
      </w:r>
    </w:p>
    <w:p w14:paraId="0B60625A" w14:textId="77777777" w:rsidR="009535BF" w:rsidRDefault="0004762A">
      <w:pPr>
        <w:spacing w:before="80" w:after="80"/>
      </w:pPr>
      <w:r>
        <w:rPr>
          <w:rFonts w:ascii="Arial" w:eastAsia="Arial" w:hAnsi="Arial" w:cs="Arial"/>
          <w:color w:val="000000"/>
        </w:rPr>
        <w:t>Budget cells are hardcoded values shown in blue — the approved annual plan by cost category. Correct modeling convention: budgets are fixed inputs, not derived from assumptions.</w:t>
      </w:r>
    </w:p>
    <w:p w14:paraId="0BA9D6B0" w14:textId="77777777" w:rsidR="009535BF" w:rsidRDefault="0004762A">
      <w:pPr>
        <w:spacing w:before="80" w:after="80"/>
      </w:pPr>
      <w:r>
        <w:rPr>
          <w:rFonts w:ascii="Arial" w:eastAsia="Arial" w:hAnsi="Arial" w:cs="Arial"/>
          <w:color w:val="000000"/>
        </w:rPr>
        <w:lastRenderedPageBreak/>
        <w:t xml:space="preserve">Actual cells use: </w:t>
      </w:r>
      <w:r>
        <w:rPr>
          <w:rFonts w:ascii="Arial" w:eastAsia="Arial" w:hAnsi="Arial" w:cs="Arial"/>
          <w:b/>
          <w:bCs/>
          <w:color w:val="000000"/>
        </w:rPr>
        <w:t>Actual = Budget × (1 + Variance Rate)</w:t>
      </w:r>
      <w:r>
        <w:rPr>
          <w:rFonts w:ascii="Arial" w:eastAsia="Arial" w:hAnsi="Arial" w:cs="Arial"/>
          <w:color w:val="000000"/>
        </w:rPr>
        <w:t>. The variance rates are embedded in each formula (e.g., =B7*(1+0.095) = 9.5% over budget in January). In production these rates would be a GL pull. The formula structure is production-grade; the source is synthetic.</w:t>
      </w:r>
    </w:p>
    <w:p w14:paraId="0D9DD610" w14:textId="77777777" w:rsidR="009535BF" w:rsidRDefault="0004762A">
      <w:pPr>
        <w:pStyle w:val="ListParagraph"/>
        <w:numPr>
          <w:ilvl w:val="0"/>
          <w:numId w:val="2"/>
        </w:numPr>
        <w:spacing w:before="60" w:after="60"/>
      </w:pPr>
      <w:r>
        <w:rPr>
          <w:rFonts w:ascii="Arial" w:eastAsia="Arial" w:hAnsi="Arial" w:cs="Arial"/>
          <w:color w:val="000000"/>
        </w:rPr>
        <w:t>Variance $ = Actual − Budget. Positive = overspend. Negative = favorable underspend.</w:t>
      </w:r>
    </w:p>
    <w:p w14:paraId="7B29D928" w14:textId="77777777" w:rsidR="009535BF" w:rsidRDefault="0004762A">
      <w:pPr>
        <w:pStyle w:val="ListParagraph"/>
        <w:numPr>
          <w:ilvl w:val="0"/>
          <w:numId w:val="2"/>
        </w:numPr>
        <w:spacing w:before="60" w:after="60"/>
      </w:pPr>
      <w:r>
        <w:rPr>
          <w:rFonts w:ascii="Arial" w:eastAsia="Arial" w:hAnsi="Arial" w:cs="Arial"/>
          <w:color w:val="000000"/>
        </w:rPr>
        <w:t>Variance % = Variance $ ÷ Budget. IFERROR wraps every % cell to prevent #DIV/0! errors.</w:t>
      </w:r>
    </w:p>
    <w:p w14:paraId="0F7CE053" w14:textId="77777777" w:rsidR="009535BF" w:rsidRDefault="0004762A">
      <w:pPr>
        <w:pStyle w:val="ListParagraph"/>
        <w:numPr>
          <w:ilvl w:val="0"/>
          <w:numId w:val="2"/>
        </w:numPr>
        <w:spacing w:before="60" w:after="60"/>
      </w:pPr>
      <w:r>
        <w:rPr>
          <w:rFonts w:ascii="Arial" w:eastAsia="Arial" w:hAnsi="Arial" w:cs="Arial"/>
          <w:color w:val="000000"/>
        </w:rPr>
        <w:t>FY Total column = SUM() across all 12 months. FY Variance % = FY Variance $ ÷ FY Budget.</w:t>
      </w:r>
    </w:p>
    <w:p w14:paraId="44B68F51" w14:textId="77777777" w:rsidR="009535BF" w:rsidRDefault="0004762A">
      <w:pPr>
        <w:spacing w:before="240" w:after="70"/>
      </w:pPr>
      <w:r>
        <w:rPr>
          <w:rFonts w:ascii="Arial" w:eastAsia="Arial" w:hAnsi="Arial" w:cs="Arial"/>
          <w:b/>
          <w:bCs/>
          <w:color w:val="2E75B6"/>
          <w:sz w:val="22"/>
          <w:szCs w:val="22"/>
        </w:rPr>
        <w:t>Consolidation Scenarios Tab</w:t>
      </w:r>
    </w:p>
    <w:p w14:paraId="2AA4F4FD" w14:textId="77777777" w:rsidR="009535BF" w:rsidRDefault="0004762A">
      <w:pPr>
        <w:spacing w:before="80" w:after="80"/>
      </w:pPr>
      <w:r>
        <w:rPr>
          <w:rFonts w:ascii="Arial" w:eastAsia="Arial" w:hAnsi="Arial" w:cs="Arial"/>
          <w:color w:val="000000"/>
        </w:rPr>
        <w:t>The tab now has three clearly labeled assumption blocks before the output table:</w:t>
      </w:r>
    </w:p>
    <w:p w14:paraId="15574A3B" w14:textId="77777777" w:rsidR="009535BF" w:rsidRDefault="0004762A">
      <w:pPr>
        <w:pStyle w:val="ListParagraph"/>
        <w:numPr>
          <w:ilvl w:val="0"/>
          <w:numId w:val="2"/>
        </w:numPr>
        <w:spacing w:before="60" w:after="60"/>
      </w:pPr>
      <w:r>
        <w:rPr>
          <w:rFonts w:ascii="Arial" w:eastAsia="Arial" w:hAnsi="Arial" w:cs="Arial"/>
          <w:color w:val="000000"/>
        </w:rPr>
        <w:t>Shared Scenario B assumptions (rows 5–10): Vendor reduction %, transition cost %, capture rates, contingency, discount rate. Change these blue cells and Scenario B updates throughout.</w:t>
      </w:r>
    </w:p>
    <w:p w14:paraId="50C77560" w14:textId="77777777" w:rsidR="009535BF" w:rsidRDefault="0004762A">
      <w:pPr>
        <w:pStyle w:val="ListParagraph"/>
        <w:numPr>
          <w:ilvl w:val="0"/>
          <w:numId w:val="2"/>
        </w:numPr>
        <w:spacing w:before="60" w:after="60"/>
      </w:pPr>
      <w:r>
        <w:rPr>
          <w:rFonts w:ascii="Arial" w:eastAsia="Arial" w:hAnsi="Arial" w:cs="Arial"/>
          <w:color w:val="000000"/>
        </w:rPr>
        <w:t>Transition Cost Assumptions (rows 13–19): TC as % of gross savings per scenario. Total TC and year-by-year splits (60/28/12) are all formula-driven from this block.</w:t>
      </w:r>
    </w:p>
    <w:p w14:paraId="0EEEC9B5" w14:textId="77777777" w:rsidR="009535BF" w:rsidRDefault="0004762A">
      <w:pPr>
        <w:pStyle w:val="ListParagraph"/>
        <w:numPr>
          <w:ilvl w:val="0"/>
          <w:numId w:val="2"/>
        </w:numPr>
        <w:spacing w:before="60" w:after="60"/>
      </w:pPr>
      <w:r>
        <w:rPr>
          <w:rFonts w:ascii="Arial" w:eastAsia="Arial" w:hAnsi="Arial" w:cs="Arial"/>
          <w:color w:val="000000"/>
        </w:rPr>
        <w:t>Savings Capture Rates (rows 21–26): Year 1/2/3 capture % per scenario. Scenario B references shared assumption cells. A and C have scenario-specific blue input values.</w:t>
      </w:r>
    </w:p>
    <w:p w14:paraId="79BCD275" w14:textId="77777777" w:rsidR="009535BF" w:rsidRDefault="0004762A">
      <w:pPr>
        <w:spacing w:before="80" w:after="80"/>
      </w:pPr>
      <w:r>
        <w:rPr>
          <w:rFonts w:ascii="Arial" w:eastAsia="Arial" w:hAnsi="Arial" w:cs="Arial"/>
          <w:color w:val="000000"/>
        </w:rPr>
        <w:t xml:space="preserve">The output table (rows 28–41) is </w:t>
      </w:r>
      <w:r>
        <w:rPr>
          <w:rFonts w:ascii="Arial" w:eastAsia="Arial" w:hAnsi="Arial" w:cs="Arial"/>
          <w:b/>
          <w:bCs/>
          <w:color w:val="000000"/>
        </w:rPr>
        <w:t>100% formula-driven</w:t>
      </w:r>
      <w:r>
        <w:rPr>
          <w:rFonts w:ascii="Arial" w:eastAsia="Arial" w:hAnsi="Arial" w:cs="Arial"/>
          <w:color w:val="000000"/>
        </w:rPr>
        <w:t xml:space="preserve"> — every cell references the assumption blocks above. Change any blue input and all three scenarios recalculate simultaneously.</w:t>
      </w:r>
    </w:p>
    <w:p w14:paraId="5BE2CB10" w14:textId="77777777" w:rsidR="009535BF" w:rsidRDefault="0004762A">
      <w:pPr>
        <w:spacing w:before="240" w:after="70"/>
      </w:pPr>
      <w:r>
        <w:rPr>
          <w:rFonts w:ascii="Arial" w:eastAsia="Arial" w:hAnsi="Arial" w:cs="Arial"/>
          <w:b/>
          <w:bCs/>
          <w:color w:val="2E75B6"/>
          <w:sz w:val="22"/>
          <w:szCs w:val="22"/>
        </w:rPr>
        <w:t>How Transition Costs Are Now Modeled</w:t>
      </w:r>
    </w:p>
    <w:p w14:paraId="269508B2" w14:textId="77777777" w:rsidR="009535BF" w:rsidRDefault="0004762A">
      <w:pPr>
        <w:spacing w:before="80" w:after="80"/>
      </w:pPr>
      <w:r>
        <w:rPr>
          <w:rFonts w:ascii="Arial" w:eastAsia="Arial" w:hAnsi="Arial" w:cs="Arial"/>
          <w:color w:val="000000"/>
        </w:rPr>
        <w:t xml:space="preserve">This is the most important methodological update. Transition costs are no longer a flat dollar input. They are calculated as </w:t>
      </w:r>
      <w:r>
        <w:rPr>
          <w:rFonts w:ascii="Arial" w:eastAsia="Arial" w:hAnsi="Arial" w:cs="Arial"/>
          <w:b/>
          <w:bCs/>
          <w:color w:val="000000"/>
        </w:rPr>
        <w:t>a percentage of gross savings</w:t>
      </w:r>
      <w:r>
        <w:rPr>
          <w:rFonts w:ascii="Arial" w:eastAsia="Arial" w:hAnsi="Arial" w:cs="Arial"/>
          <w:color w:val="000000"/>
        </w:rPr>
        <w:t>, with different rates per scenario reflecting implementation complexity:</w:t>
      </w:r>
    </w:p>
    <w:p w14:paraId="3E7B4D03" w14:textId="77777777" w:rsidR="009535BF" w:rsidRDefault="0004762A">
      <w:pPr>
        <w:pStyle w:val="ListParagraph"/>
        <w:numPr>
          <w:ilvl w:val="0"/>
          <w:numId w:val="2"/>
        </w:numPr>
        <w:spacing w:before="60" w:after="60"/>
      </w:pPr>
      <w:r>
        <w:rPr>
          <w:rFonts w:ascii="Arial" w:eastAsia="Arial" w:hAnsi="Arial" w:cs="Arial"/>
          <w:color w:val="000000"/>
        </w:rPr>
        <w:t>Scenario A — 15% of gross savings ($21.3M): Conservative consolidation has less volume leverage, harder contract exits proportionally, more organizational disruption per dollar saved.</w:t>
      </w:r>
    </w:p>
    <w:p w14:paraId="1B463659" w14:textId="77777777" w:rsidR="009535BF" w:rsidRDefault="0004762A">
      <w:pPr>
        <w:pStyle w:val="ListParagraph"/>
        <w:numPr>
          <w:ilvl w:val="0"/>
          <w:numId w:val="2"/>
        </w:numPr>
        <w:spacing w:before="60" w:after="60"/>
      </w:pPr>
      <w:r>
        <w:rPr>
          <w:rFonts w:ascii="Arial" w:eastAsia="Arial" w:hAnsi="Arial" w:cs="Arial"/>
          <w:color w:val="000000"/>
        </w:rPr>
        <w:t>Scenario B — 12% of gross savings ($21.6M): Optimal vendor count reduction. Best execution efficiency — enough scale to negotiate hard, not so many migrations that complexity drives cost up.</w:t>
      </w:r>
    </w:p>
    <w:p w14:paraId="6F9FA808" w14:textId="017CFCE2" w:rsidR="009535BF" w:rsidRDefault="0004762A">
      <w:pPr>
        <w:pStyle w:val="ListParagraph"/>
        <w:numPr>
          <w:ilvl w:val="0"/>
          <w:numId w:val="2"/>
        </w:numPr>
        <w:spacing w:before="60" w:after="60"/>
      </w:pPr>
      <w:r>
        <w:rPr>
          <w:rFonts w:ascii="Arial" w:eastAsia="Arial" w:hAnsi="Arial" w:cs="Arial"/>
          <w:color w:val="000000"/>
        </w:rPr>
        <w:t>Scenario C — 18% of gross savings ($37.6M): Aggressive consolidation hits the tail vendors, which are the hardest to exit — longer contracts, more entrenched relationships, and higher legal exposure. Diminishing returns on complexity.</w:t>
      </w:r>
    </w:p>
    <w:p w14:paraId="5AFE217B" w14:textId="77777777" w:rsidR="009535BF" w:rsidRDefault="009535BF">
      <w:pPr>
        <w:spacing w:before="80" w:after="80"/>
      </w:pPr>
    </w:p>
    <w:p w14:paraId="62575F25" w14:textId="77777777" w:rsidR="009535BF" w:rsidRDefault="0004762A">
      <w:pPr>
        <w:spacing w:before="80" w:after="80"/>
      </w:pPr>
      <w:r>
        <w:rPr>
          <w:rFonts w:ascii="Arial" w:eastAsia="Arial" w:hAnsi="Arial" w:cs="Arial"/>
          <w:color w:val="000000"/>
        </w:rPr>
        <w:t xml:space="preserve">Costs are spread across three years: </w:t>
      </w:r>
      <w:r>
        <w:rPr>
          <w:rFonts w:ascii="Arial" w:eastAsia="Arial" w:hAnsi="Arial" w:cs="Arial"/>
          <w:b/>
          <w:bCs/>
          <w:color w:val="000000"/>
        </w:rPr>
        <w:t>60% Year 1 · 28% Year 2 · 12% Year 3.</w:t>
      </w:r>
      <w:r>
        <w:rPr>
          <w:rFonts w:ascii="Arial" w:eastAsia="Arial" w:hAnsi="Arial" w:cs="Arial"/>
          <w:color w:val="000000"/>
        </w:rPr>
        <w:t xml:space="preserve"> Year 1 is the heavy lift — migrations, legal, contract exits. Year 2 is remaining change management. Year 3 is tail cleanup.</w:t>
      </w:r>
    </w:p>
    <w:p w14:paraId="4CEA0B1F" w14:textId="77777777" w:rsidR="009535BF" w:rsidRDefault="0004762A">
      <w:pPr>
        <w:spacing w:before="80" w:after="80"/>
      </w:pPr>
      <w:r>
        <w:rPr>
          <w:rFonts w:ascii="Arial" w:eastAsia="Arial" w:hAnsi="Arial" w:cs="Arial"/>
          <w:color w:val="000000"/>
        </w:rPr>
        <w:t>Net savings in each year = Gross savings × capture rate − that year’s transition cost. This is the correct approach: transition costs reduce the net value in the year they are incurred, not all upfront.</w:t>
      </w:r>
    </w:p>
    <w:p w14:paraId="49B987B1" w14:textId="77777777" w:rsidR="009535BF" w:rsidRDefault="0004762A">
      <w:pPr>
        <w:spacing w:before="240" w:after="70"/>
      </w:pPr>
      <w:r>
        <w:rPr>
          <w:rFonts w:ascii="Arial" w:eastAsia="Arial" w:hAnsi="Arial" w:cs="Arial"/>
          <w:b/>
          <w:bCs/>
          <w:color w:val="2E75B6"/>
          <w:sz w:val="22"/>
          <w:szCs w:val="22"/>
        </w:rPr>
        <w:t>Break-Even — Now Multi-Year Formula</w:t>
      </w:r>
    </w:p>
    <w:p w14:paraId="6D976C90" w14:textId="77777777" w:rsidR="009535BF" w:rsidRDefault="0004762A">
      <w:pPr>
        <w:spacing w:before="80" w:after="80"/>
      </w:pPr>
      <w:r>
        <w:rPr>
          <w:rFonts w:ascii="Arial" w:eastAsia="Arial" w:hAnsi="Arial" w:cs="Arial"/>
          <w:color w:val="000000"/>
        </w:rPr>
        <w:t>The break-even formula now accounts for all three years. Logic:</w:t>
      </w:r>
    </w:p>
    <w:p w14:paraId="652CB34A" w14:textId="77777777" w:rsidR="009535BF" w:rsidRDefault="0004762A">
      <w:pPr>
        <w:pStyle w:val="ListParagraph"/>
        <w:numPr>
          <w:ilvl w:val="0"/>
          <w:numId w:val="2"/>
        </w:numPr>
        <w:spacing w:before="60" w:after="60"/>
      </w:pPr>
      <w:r>
        <w:rPr>
          <w:rFonts w:ascii="Arial" w:eastAsia="Arial" w:hAnsi="Arial" w:cs="Arial"/>
          <w:color w:val="000000"/>
        </w:rPr>
        <w:t>If Year 1 net savings ≥ total transition cost → break-even is in Year 1 (ROUNDUP of months to recover).</w:t>
      </w:r>
    </w:p>
    <w:p w14:paraId="7EE71C22" w14:textId="77777777" w:rsidR="009535BF" w:rsidRDefault="0004762A">
      <w:pPr>
        <w:pStyle w:val="ListParagraph"/>
        <w:numPr>
          <w:ilvl w:val="0"/>
          <w:numId w:val="2"/>
        </w:numPr>
        <w:spacing w:before="60" w:after="60"/>
      </w:pPr>
      <w:r>
        <w:rPr>
          <w:rFonts w:ascii="Arial" w:eastAsia="Arial" w:hAnsi="Arial" w:cs="Arial"/>
          <w:color w:val="000000"/>
        </w:rPr>
        <w:t>If Year 1 alone does not cover it → carry remainder into Year 2, count additional months (12 + months in Y2).</w:t>
      </w:r>
    </w:p>
    <w:p w14:paraId="032F4708" w14:textId="77777777" w:rsidR="009535BF" w:rsidRDefault="0004762A">
      <w:pPr>
        <w:pStyle w:val="ListParagraph"/>
        <w:numPr>
          <w:ilvl w:val="0"/>
          <w:numId w:val="2"/>
        </w:numPr>
        <w:spacing w:before="60" w:after="60"/>
      </w:pPr>
      <w:r>
        <w:rPr>
          <w:rFonts w:ascii="Arial" w:eastAsia="Arial" w:hAnsi="Arial" w:cs="Arial"/>
          <w:color w:val="000000"/>
        </w:rPr>
        <w:t>If still not covered → carry into Year 3 (24 + months in Y3).</w:t>
      </w:r>
    </w:p>
    <w:p w14:paraId="47C4A8FD" w14:textId="77777777" w:rsidR="009535BF" w:rsidRDefault="0004762A">
      <w:pPr>
        <w:spacing w:before="80" w:after="80"/>
      </w:pPr>
      <w:r>
        <w:rPr>
          <w:rFonts w:ascii="Arial" w:eastAsia="Arial" w:hAnsi="Arial" w:cs="Arial"/>
          <w:color w:val="000000"/>
        </w:rPr>
        <w:t xml:space="preserve">The formula: </w:t>
      </w:r>
      <w:r>
        <w:rPr>
          <w:rFonts w:ascii="Arial" w:eastAsia="Arial" w:hAnsi="Arial" w:cs="Arial"/>
          <w:b/>
          <w:bCs/>
          <w:color w:val="2E75B6"/>
        </w:rPr>
        <w:t>=IF(Y1≥TC, ROUNDUP(TC/(Y1/12),0), IF(Y1+Y2≥TC, 12+ROUNDUP((TC-Y1)/(Y2/12),0), 24+ROUNDUP((TC-Y1-Y2)/(Y3/12),0)))</w:t>
      </w:r>
    </w:p>
    <w:p w14:paraId="5E93DCC2" w14:textId="77777777" w:rsidR="009535BF" w:rsidRDefault="0004762A">
      <w:pPr>
        <w:spacing w:before="240" w:after="70"/>
      </w:pPr>
      <w:r>
        <w:rPr>
          <w:rFonts w:ascii="Arial" w:eastAsia="Arial" w:hAnsi="Arial" w:cs="Arial"/>
          <w:b/>
          <w:bCs/>
          <w:color w:val="2E75B6"/>
          <w:sz w:val="22"/>
          <w:szCs w:val="22"/>
        </w:rPr>
        <w:t>Sensitivity Model — Now Fully Formula-Driven</w:t>
      </w:r>
    </w:p>
    <w:p w14:paraId="6988F011" w14:textId="77777777" w:rsidR="009535BF" w:rsidRDefault="0004762A">
      <w:pPr>
        <w:spacing w:before="80" w:after="80"/>
      </w:pPr>
      <w:r>
        <w:rPr>
          <w:rFonts w:ascii="Arial" w:eastAsia="Arial" w:hAnsi="Arial" w:cs="Arial"/>
          <w:color w:val="000000"/>
        </w:rPr>
        <w:t xml:space="preserve">Every cell in the sensitivity table is now a live formula: </w:t>
      </w:r>
      <w:r>
        <w:rPr>
          <w:rFonts w:ascii="Arial" w:eastAsia="Arial" w:hAnsi="Arial" w:cs="Arial"/>
          <w:b/>
          <w:bCs/>
          <w:color w:val="000000"/>
        </w:rPr>
        <w:t>= Total Baseline × Vendor Reduction% × Discount Rate − Transition Cost</w:t>
      </w:r>
      <w:r>
        <w:rPr>
          <w:rFonts w:ascii="Arial" w:eastAsia="Arial" w:hAnsi="Arial" w:cs="Arial"/>
          <w:color w:val="000000"/>
        </w:rPr>
        <w:t>. Row headers (reduction %) and column headers (discount rate %) are stored as numeric values with percentage formatting, so the formula simply multiplies the row and column references.</w:t>
      </w:r>
    </w:p>
    <w:p w14:paraId="456EA41A" w14:textId="77777777" w:rsidR="009535BF" w:rsidRDefault="0004762A">
      <w:pPr>
        <w:spacing w:before="80" w:after="80"/>
      </w:pPr>
      <w:r>
        <w:rPr>
          <w:rFonts w:ascii="Arial" w:eastAsia="Arial" w:hAnsi="Arial" w:cs="Arial"/>
          <w:color w:val="000000"/>
        </w:rPr>
        <w:t>All 49 data cells reference the Consolidation Scenarios assumption cells. Change the transition cost or baseline on the Scenarios tab and the entire sensitivity table updates automatically.</w:t>
      </w:r>
    </w:p>
    <w:p w14:paraId="409A50D0" w14:textId="77777777" w:rsidR="009535BF" w:rsidRDefault="0004762A">
      <w:r>
        <w:lastRenderedPageBreak/>
        <w:br/>
      </w:r>
    </w:p>
    <w:p w14:paraId="7B1B0D75" w14:textId="77777777" w:rsidR="009535BF" w:rsidRDefault="0004762A">
      <w:pPr>
        <w:pBdr>
          <w:bottom w:val="single" w:sz="6" w:space="4" w:color="1F3864"/>
        </w:pBdr>
        <w:spacing w:before="360" w:after="100"/>
      </w:pPr>
      <w:r>
        <w:rPr>
          <w:rFonts w:ascii="Arial" w:eastAsia="Arial" w:hAnsi="Arial" w:cs="Arial"/>
          <w:b/>
          <w:bCs/>
          <w:color w:val="1F3864"/>
          <w:sz w:val="28"/>
          <w:szCs w:val="28"/>
        </w:rPr>
        <w:t>SECTION 3 — SCENARIO OUTPUT SUMMARY</w:t>
      </w:r>
    </w:p>
    <w:p w14:paraId="4E968D56" w14:textId="76EC534D" w:rsidR="009535BF" w:rsidRDefault="0004762A">
      <w:pPr>
        <w:spacing w:before="80" w:after="80"/>
      </w:pPr>
      <w:r>
        <w:rPr>
          <w:rFonts w:ascii="Arial" w:eastAsia="Arial" w:hAnsi="Arial" w:cs="Arial"/>
          <w:i/>
          <w:iCs/>
          <w:color w:val="595959"/>
        </w:rPr>
        <w:t>This is the table that anchors the model's recommendation. Every number is formula-driven.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938"/>
        <w:gridCol w:w="1193"/>
        <w:gridCol w:w="1056"/>
        <w:gridCol w:w="1056"/>
        <w:gridCol w:w="1194"/>
        <w:gridCol w:w="986"/>
        <w:gridCol w:w="1066"/>
      </w:tblGrid>
      <w:tr w:rsidR="009535BF" w14:paraId="4A388B42" w14:textId="77777777">
        <w:tc>
          <w:tcPr>
            <w:tcW w:w="2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80" w:type="dxa"/>
              <w:bottom w:w="60" w:type="dxa"/>
              <w:right w:w="80" w:type="dxa"/>
            </w:tcMar>
          </w:tcPr>
          <w:p w14:paraId="00B8E91F" w14:textId="77777777" w:rsidR="009535BF" w:rsidRDefault="0004762A">
            <w:pPr>
              <w:spacing w:before="80" w:after="80"/>
            </w:pPr>
            <w:r>
              <w:rPr>
                <w:rFonts w:ascii="Arial" w:eastAsia="Arial" w:hAnsi="Arial" w:cs="Arial"/>
                <w:b/>
                <w:bCs/>
                <w:color w:val="FFFFFF"/>
                <w:sz w:val="16"/>
                <w:szCs w:val="16"/>
              </w:rPr>
              <w:t>Scenario</w:t>
            </w:r>
          </w:p>
        </w:tc>
        <w:tc>
          <w:tcPr>
            <w:tcW w:w="10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80" w:type="dxa"/>
              <w:bottom w:w="60" w:type="dxa"/>
              <w:right w:w="80" w:type="dxa"/>
            </w:tcMar>
          </w:tcPr>
          <w:p w14:paraId="50D40BAC" w14:textId="77777777" w:rsidR="009535BF" w:rsidRDefault="0004762A">
            <w:pPr>
              <w:spacing w:before="80" w:after="80"/>
            </w:pPr>
            <w:r>
              <w:rPr>
                <w:rFonts w:ascii="Arial" w:eastAsia="Arial" w:hAnsi="Arial" w:cs="Arial"/>
                <w:b/>
                <w:bCs/>
                <w:color w:val="FFFFFF"/>
                <w:sz w:val="16"/>
                <w:szCs w:val="16"/>
              </w:rPr>
              <w:t>Vendors</w:t>
            </w:r>
          </w:p>
        </w:tc>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80" w:type="dxa"/>
              <w:bottom w:w="60" w:type="dxa"/>
              <w:right w:w="80" w:type="dxa"/>
            </w:tcMar>
          </w:tcPr>
          <w:p w14:paraId="71D0B547" w14:textId="77777777" w:rsidR="009535BF" w:rsidRDefault="0004762A">
            <w:pPr>
              <w:spacing w:before="80" w:after="80"/>
            </w:pPr>
            <w:r>
              <w:rPr>
                <w:rFonts w:ascii="Arial" w:eastAsia="Arial" w:hAnsi="Arial" w:cs="Arial"/>
                <w:b/>
                <w:bCs/>
                <w:color w:val="FFFFFF"/>
                <w:sz w:val="16"/>
                <w:szCs w:val="16"/>
              </w:rPr>
              <w:t>Total TC</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80" w:type="dxa"/>
              <w:bottom w:w="60" w:type="dxa"/>
              <w:right w:w="80" w:type="dxa"/>
            </w:tcMar>
          </w:tcPr>
          <w:p w14:paraId="6EC74A65" w14:textId="77777777" w:rsidR="009535BF" w:rsidRDefault="0004762A">
            <w:pPr>
              <w:spacing w:before="80" w:after="80"/>
            </w:pPr>
            <w:r>
              <w:rPr>
                <w:rFonts w:ascii="Arial" w:eastAsia="Arial" w:hAnsi="Arial" w:cs="Arial"/>
                <w:b/>
                <w:bCs/>
                <w:color w:val="FFFFFF"/>
                <w:sz w:val="16"/>
                <w:szCs w:val="16"/>
              </w:rPr>
              <w:t>Year 1 Net</w:t>
            </w:r>
          </w:p>
        </w:tc>
        <w:tc>
          <w:tcPr>
            <w:tcW w:w="11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80" w:type="dxa"/>
              <w:bottom w:w="60" w:type="dxa"/>
              <w:right w:w="80" w:type="dxa"/>
            </w:tcMar>
          </w:tcPr>
          <w:p w14:paraId="6E7DEA37" w14:textId="77777777" w:rsidR="009535BF" w:rsidRDefault="0004762A">
            <w:pPr>
              <w:spacing w:before="80" w:after="80"/>
            </w:pPr>
            <w:r>
              <w:rPr>
                <w:rFonts w:ascii="Arial" w:eastAsia="Arial" w:hAnsi="Arial" w:cs="Arial"/>
                <w:b/>
                <w:bCs/>
                <w:color w:val="FFFFFF"/>
                <w:sz w:val="16"/>
                <w:szCs w:val="16"/>
              </w:rPr>
              <w:t>3-Yr Cumul</w:t>
            </w:r>
          </w:p>
        </w:tc>
        <w:tc>
          <w:tcPr>
            <w:tcW w:w="1360" w:type="dxa"/>
            <w:tcBorders>
              <w:top w:val="single" w:sz="1" w:space="0" w:color="D9D9D9"/>
              <w:left w:val="single" w:sz="1" w:space="0" w:color="D9D9D9"/>
              <w:bottom w:val="single" w:sz="1" w:space="0" w:color="D9D9D9"/>
              <w:right w:val="single" w:sz="1" w:space="0" w:color="D9D9D9"/>
            </w:tcBorders>
            <w:shd w:val="clear" w:color="auto" w:fill="1F3864"/>
            <w:tcMar>
              <w:top w:w="60" w:type="dxa"/>
              <w:left w:w="80" w:type="dxa"/>
              <w:bottom w:w="60" w:type="dxa"/>
              <w:right w:w="80" w:type="dxa"/>
            </w:tcMar>
          </w:tcPr>
          <w:p w14:paraId="6F8F44FA" w14:textId="77777777" w:rsidR="009535BF" w:rsidRDefault="0004762A">
            <w:pPr>
              <w:spacing w:before="80" w:after="80"/>
            </w:pPr>
            <w:r>
              <w:rPr>
                <w:rFonts w:ascii="Arial" w:eastAsia="Arial" w:hAnsi="Arial" w:cs="Arial"/>
                <w:b/>
                <w:bCs/>
                <w:color w:val="FFFFFF"/>
                <w:sz w:val="16"/>
                <w:szCs w:val="16"/>
              </w:rPr>
              <w:t>Net Prog Value</w:t>
            </w:r>
          </w:p>
        </w:tc>
        <w:tc>
          <w:tcPr>
            <w:tcW w:w="1080" w:type="dxa"/>
            <w:tcBorders>
              <w:top w:val="single" w:sz="1" w:space="0" w:color="D9D9D9"/>
              <w:left w:val="single" w:sz="1" w:space="0" w:color="D9D9D9"/>
              <w:bottom w:val="single" w:sz="1" w:space="0" w:color="D9D9D9"/>
              <w:right w:val="single" w:sz="1" w:space="0" w:color="D9D9D9"/>
            </w:tcBorders>
            <w:shd w:val="clear" w:color="auto" w:fill="1F3864"/>
            <w:tcMar>
              <w:top w:w="60" w:type="dxa"/>
              <w:left w:w="80" w:type="dxa"/>
              <w:bottom w:w="60" w:type="dxa"/>
              <w:right w:w="80" w:type="dxa"/>
            </w:tcMar>
          </w:tcPr>
          <w:p w14:paraId="6656148B" w14:textId="77777777" w:rsidR="009535BF" w:rsidRDefault="0004762A">
            <w:pPr>
              <w:spacing w:before="80" w:after="80"/>
            </w:pPr>
            <w:r>
              <w:rPr>
                <w:rFonts w:ascii="Arial" w:eastAsia="Arial" w:hAnsi="Arial" w:cs="Arial"/>
                <w:b/>
                <w:bCs/>
                <w:color w:val="FFFFFF"/>
                <w:sz w:val="16"/>
                <w:szCs w:val="16"/>
              </w:rPr>
              <w:t>Break-Even</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60" w:type="dxa"/>
              <w:left w:w="80" w:type="dxa"/>
              <w:bottom w:w="60" w:type="dxa"/>
              <w:right w:w="80" w:type="dxa"/>
            </w:tcMar>
          </w:tcPr>
          <w:p w14:paraId="0F5EFDBA" w14:textId="77777777" w:rsidR="009535BF" w:rsidRDefault="0004762A">
            <w:pPr>
              <w:spacing w:before="80" w:after="80"/>
            </w:pPr>
            <w:r>
              <w:rPr>
                <w:rFonts w:ascii="Arial" w:eastAsia="Arial" w:hAnsi="Arial" w:cs="Arial"/>
                <w:b/>
                <w:bCs/>
                <w:color w:val="FFFFFF"/>
                <w:sz w:val="16"/>
                <w:szCs w:val="16"/>
              </w:rPr>
              <w:t>ROI Multiple</w:t>
            </w:r>
          </w:p>
        </w:tc>
      </w:tr>
      <w:tr w:rsidR="009535BF" w14:paraId="6E2C0AE9"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76432FC6" w14:textId="77777777" w:rsidR="009535BF" w:rsidRDefault="0004762A">
            <w:pPr>
              <w:spacing w:before="80" w:after="80"/>
            </w:pPr>
            <w:r>
              <w:rPr>
                <w:rFonts w:ascii="Arial" w:eastAsia="Arial" w:hAnsi="Arial" w:cs="Arial"/>
                <w:color w:val="000000"/>
                <w:sz w:val="17"/>
                <w:szCs w:val="17"/>
              </w:rPr>
              <w:t>Scenario A (Conservative)</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0A8CC61B" w14:textId="77777777" w:rsidR="009535BF" w:rsidRDefault="0004762A">
            <w:pPr>
              <w:spacing w:before="80" w:after="80"/>
            </w:pPr>
            <w:r>
              <w:rPr>
                <w:rFonts w:ascii="Arial" w:eastAsia="Arial" w:hAnsi="Arial" w:cs="Arial"/>
                <w:color w:val="000000"/>
                <w:sz w:val="17"/>
                <w:szCs w:val="17"/>
              </w:rPr>
              <w:t>47 → 28</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5598A0FF" w14:textId="77777777" w:rsidR="009535BF" w:rsidRDefault="0004762A">
            <w:pPr>
              <w:spacing w:before="80" w:after="80"/>
            </w:pPr>
            <w:r>
              <w:rPr>
                <w:rFonts w:ascii="Arial" w:eastAsia="Arial" w:hAnsi="Arial" w:cs="Arial"/>
                <w:color w:val="000000"/>
                <w:sz w:val="17"/>
                <w:szCs w:val="17"/>
              </w:rPr>
              <w:t>$21.3M (15% of gross)</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5B653066" w14:textId="77777777" w:rsidR="009535BF" w:rsidRDefault="0004762A">
            <w:pPr>
              <w:spacing w:before="80" w:after="80"/>
            </w:pPr>
            <w:r>
              <w:rPr>
                <w:rFonts w:ascii="Arial" w:eastAsia="Arial" w:hAnsi="Arial" w:cs="Arial"/>
                <w:color w:val="000000"/>
                <w:sz w:val="17"/>
                <w:szCs w:val="17"/>
              </w:rPr>
              <w:t>$72.4M</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53FEAA1F" w14:textId="77777777" w:rsidR="009535BF" w:rsidRDefault="0004762A">
            <w:pPr>
              <w:spacing w:before="80" w:after="80"/>
            </w:pPr>
            <w:r>
              <w:rPr>
                <w:rFonts w:ascii="Arial" w:eastAsia="Arial" w:hAnsi="Arial" w:cs="Arial"/>
                <w:color w:val="000000"/>
                <w:sz w:val="17"/>
                <w:szCs w:val="17"/>
              </w:rPr>
              <w:t>$298.2M</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6BD144C5" w14:textId="77777777" w:rsidR="009535BF" w:rsidRDefault="0004762A">
            <w:pPr>
              <w:spacing w:before="80" w:after="80"/>
            </w:pPr>
            <w:r>
              <w:rPr>
                <w:rFonts w:ascii="Arial" w:eastAsia="Arial" w:hAnsi="Arial" w:cs="Arial"/>
                <w:color w:val="000000"/>
                <w:sz w:val="17"/>
                <w:szCs w:val="17"/>
              </w:rPr>
              <w:t>$294.2M</w:t>
            </w:r>
          </w:p>
        </w:tc>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56482DC7" w14:textId="77777777" w:rsidR="009535BF" w:rsidRDefault="0004762A">
            <w:pPr>
              <w:spacing w:before="80" w:after="80"/>
            </w:pPr>
            <w:r>
              <w:rPr>
                <w:rFonts w:ascii="Arial" w:eastAsia="Arial" w:hAnsi="Arial" w:cs="Arial"/>
                <w:color w:val="000000"/>
                <w:sz w:val="17"/>
                <w:szCs w:val="17"/>
              </w:rPr>
              <w:t>4 months</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2A112102" w14:textId="77777777" w:rsidR="009535BF" w:rsidRDefault="0004762A">
            <w:pPr>
              <w:spacing w:before="80" w:after="80"/>
            </w:pPr>
            <w:r>
              <w:rPr>
                <w:rFonts w:ascii="Arial" w:eastAsia="Arial" w:hAnsi="Arial" w:cs="Arial"/>
                <w:color w:val="000000"/>
                <w:sz w:val="17"/>
                <w:szCs w:val="17"/>
              </w:rPr>
              <w:t>14.0x</w:t>
            </w:r>
          </w:p>
        </w:tc>
      </w:tr>
      <w:tr w:rsidR="009535BF" w14:paraId="615AAEFD"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DE7"/>
            <w:tcMar>
              <w:top w:w="60" w:type="dxa"/>
              <w:left w:w="80" w:type="dxa"/>
              <w:bottom w:w="60" w:type="dxa"/>
              <w:right w:w="80" w:type="dxa"/>
            </w:tcMar>
          </w:tcPr>
          <w:p w14:paraId="2AAB8DE6" w14:textId="77777777" w:rsidR="009535BF" w:rsidRDefault="0004762A">
            <w:pPr>
              <w:spacing w:before="80" w:after="80"/>
            </w:pPr>
            <w:r>
              <w:rPr>
                <w:rFonts w:ascii="Arial" w:eastAsia="Arial" w:hAnsi="Arial" w:cs="Arial"/>
                <w:b/>
                <w:bCs/>
                <w:color w:val="000000"/>
                <w:sz w:val="17"/>
                <w:szCs w:val="17"/>
              </w:rPr>
              <w:t>Scenario B (Base Case — RECOMMENDED)</w:t>
            </w:r>
          </w:p>
        </w:tc>
        <w:tc>
          <w:tcPr>
            <w:tcW w:w="1000" w:type="dxa"/>
            <w:tcBorders>
              <w:top w:val="single" w:sz="1" w:space="0" w:color="D9D9D9"/>
              <w:left w:val="single" w:sz="1" w:space="0" w:color="D9D9D9"/>
              <w:bottom w:val="single" w:sz="1" w:space="0" w:color="D9D9D9"/>
              <w:right w:val="single" w:sz="1" w:space="0" w:color="D9D9D9"/>
            </w:tcBorders>
            <w:shd w:val="clear" w:color="auto" w:fill="FFFDE7"/>
            <w:tcMar>
              <w:top w:w="60" w:type="dxa"/>
              <w:left w:w="80" w:type="dxa"/>
              <w:bottom w:w="60" w:type="dxa"/>
              <w:right w:w="80" w:type="dxa"/>
            </w:tcMar>
          </w:tcPr>
          <w:p w14:paraId="126F70C5" w14:textId="77777777" w:rsidR="009535BF" w:rsidRDefault="0004762A">
            <w:pPr>
              <w:spacing w:before="80" w:after="80"/>
            </w:pPr>
            <w:r>
              <w:rPr>
                <w:rFonts w:ascii="Arial" w:eastAsia="Arial" w:hAnsi="Arial" w:cs="Arial"/>
                <w:b/>
                <w:bCs/>
                <w:color w:val="000000"/>
                <w:sz w:val="17"/>
                <w:szCs w:val="17"/>
              </w:rPr>
              <w:t>47 → 18</w:t>
            </w:r>
          </w:p>
        </w:tc>
        <w:tc>
          <w:tcPr>
            <w:tcW w:w="1400" w:type="dxa"/>
            <w:tcBorders>
              <w:top w:val="single" w:sz="1" w:space="0" w:color="D9D9D9"/>
              <w:left w:val="single" w:sz="1" w:space="0" w:color="D9D9D9"/>
              <w:bottom w:val="single" w:sz="1" w:space="0" w:color="D9D9D9"/>
              <w:right w:val="single" w:sz="1" w:space="0" w:color="D9D9D9"/>
            </w:tcBorders>
            <w:shd w:val="clear" w:color="auto" w:fill="FFFDE7"/>
            <w:tcMar>
              <w:top w:w="60" w:type="dxa"/>
              <w:left w:w="80" w:type="dxa"/>
              <w:bottom w:w="60" w:type="dxa"/>
              <w:right w:w="80" w:type="dxa"/>
            </w:tcMar>
          </w:tcPr>
          <w:p w14:paraId="58460297" w14:textId="77777777" w:rsidR="009535BF" w:rsidRDefault="0004762A">
            <w:pPr>
              <w:spacing w:before="80" w:after="80"/>
            </w:pPr>
            <w:r>
              <w:rPr>
                <w:rFonts w:ascii="Arial" w:eastAsia="Arial" w:hAnsi="Arial" w:cs="Arial"/>
                <w:b/>
                <w:bCs/>
                <w:color w:val="000000"/>
                <w:sz w:val="17"/>
                <w:szCs w:val="17"/>
              </w:rPr>
              <w:t>$21.6M (12% of gross)</w:t>
            </w:r>
          </w:p>
        </w:tc>
        <w:tc>
          <w:tcPr>
            <w:tcW w:w="1160" w:type="dxa"/>
            <w:tcBorders>
              <w:top w:val="single" w:sz="1" w:space="0" w:color="D9D9D9"/>
              <w:left w:val="single" w:sz="1" w:space="0" w:color="D9D9D9"/>
              <w:bottom w:val="single" w:sz="1" w:space="0" w:color="D9D9D9"/>
              <w:right w:val="single" w:sz="1" w:space="0" w:color="D9D9D9"/>
            </w:tcBorders>
            <w:shd w:val="clear" w:color="auto" w:fill="FFFDE7"/>
            <w:tcMar>
              <w:top w:w="60" w:type="dxa"/>
              <w:left w:w="80" w:type="dxa"/>
              <w:bottom w:w="60" w:type="dxa"/>
              <w:right w:w="80" w:type="dxa"/>
            </w:tcMar>
          </w:tcPr>
          <w:p w14:paraId="10DE5092" w14:textId="77777777" w:rsidR="009535BF" w:rsidRDefault="0004762A">
            <w:pPr>
              <w:spacing w:before="80" w:after="80"/>
            </w:pPr>
            <w:r>
              <w:rPr>
                <w:rFonts w:ascii="Arial" w:eastAsia="Arial" w:hAnsi="Arial" w:cs="Arial"/>
                <w:b/>
                <w:bCs/>
                <w:color w:val="000000"/>
                <w:sz w:val="17"/>
                <w:szCs w:val="17"/>
              </w:rPr>
              <w:t>$140.4M</w:t>
            </w:r>
          </w:p>
        </w:tc>
        <w:tc>
          <w:tcPr>
            <w:tcW w:w="1160" w:type="dxa"/>
            <w:tcBorders>
              <w:top w:val="single" w:sz="1" w:space="0" w:color="D9D9D9"/>
              <w:left w:val="single" w:sz="1" w:space="0" w:color="D9D9D9"/>
              <w:bottom w:val="single" w:sz="1" w:space="0" w:color="D9D9D9"/>
              <w:right w:val="single" w:sz="1" w:space="0" w:color="D9D9D9"/>
            </w:tcBorders>
            <w:shd w:val="clear" w:color="auto" w:fill="FFFDE7"/>
            <w:tcMar>
              <w:top w:w="60" w:type="dxa"/>
              <w:left w:w="80" w:type="dxa"/>
              <w:bottom w:w="60" w:type="dxa"/>
              <w:right w:w="80" w:type="dxa"/>
            </w:tcMar>
          </w:tcPr>
          <w:p w14:paraId="3BC5B23A" w14:textId="77777777" w:rsidR="009535BF" w:rsidRDefault="0004762A">
            <w:pPr>
              <w:spacing w:before="80" w:after="80"/>
            </w:pPr>
            <w:r>
              <w:rPr>
                <w:rFonts w:ascii="Arial" w:eastAsia="Arial" w:hAnsi="Arial" w:cs="Arial"/>
                <w:b/>
                <w:bCs/>
                <w:color w:val="000000"/>
                <w:sz w:val="17"/>
                <w:szCs w:val="17"/>
              </w:rPr>
              <w:t>$465.4M</w:t>
            </w:r>
          </w:p>
        </w:tc>
        <w:tc>
          <w:tcPr>
            <w:tcW w:w="1360" w:type="dxa"/>
            <w:tcBorders>
              <w:top w:val="single" w:sz="1" w:space="0" w:color="D9D9D9"/>
              <w:left w:val="single" w:sz="1" w:space="0" w:color="D9D9D9"/>
              <w:bottom w:val="single" w:sz="1" w:space="0" w:color="D9D9D9"/>
              <w:right w:val="single" w:sz="1" w:space="0" w:color="D9D9D9"/>
            </w:tcBorders>
            <w:shd w:val="clear" w:color="auto" w:fill="FFFDE7"/>
            <w:tcMar>
              <w:top w:w="60" w:type="dxa"/>
              <w:left w:w="80" w:type="dxa"/>
              <w:bottom w:w="60" w:type="dxa"/>
              <w:right w:w="80" w:type="dxa"/>
            </w:tcMar>
          </w:tcPr>
          <w:p w14:paraId="2A5335F6" w14:textId="77777777" w:rsidR="009535BF" w:rsidRDefault="0004762A">
            <w:pPr>
              <w:spacing w:before="80" w:after="80"/>
            </w:pPr>
            <w:r>
              <w:rPr>
                <w:rFonts w:ascii="Arial" w:eastAsia="Arial" w:hAnsi="Arial" w:cs="Arial"/>
                <w:b/>
                <w:bCs/>
                <w:color w:val="000000"/>
                <w:sz w:val="17"/>
                <w:szCs w:val="17"/>
              </w:rPr>
              <w:t>$462.9M</w:t>
            </w:r>
          </w:p>
        </w:tc>
        <w:tc>
          <w:tcPr>
            <w:tcW w:w="1080" w:type="dxa"/>
            <w:tcBorders>
              <w:top w:val="single" w:sz="1" w:space="0" w:color="D9D9D9"/>
              <w:left w:val="single" w:sz="1" w:space="0" w:color="D9D9D9"/>
              <w:bottom w:val="single" w:sz="1" w:space="0" w:color="D9D9D9"/>
              <w:right w:val="single" w:sz="1" w:space="0" w:color="D9D9D9"/>
            </w:tcBorders>
            <w:shd w:val="clear" w:color="auto" w:fill="FFFDE7"/>
            <w:tcMar>
              <w:top w:w="60" w:type="dxa"/>
              <w:left w:w="80" w:type="dxa"/>
              <w:bottom w:w="60" w:type="dxa"/>
              <w:right w:w="80" w:type="dxa"/>
            </w:tcMar>
          </w:tcPr>
          <w:p w14:paraId="5549DE81" w14:textId="77777777" w:rsidR="009535BF" w:rsidRDefault="0004762A">
            <w:pPr>
              <w:spacing w:before="80" w:after="80"/>
            </w:pPr>
            <w:r>
              <w:rPr>
                <w:rFonts w:ascii="Arial" w:eastAsia="Arial" w:hAnsi="Arial" w:cs="Arial"/>
                <w:b/>
                <w:bCs/>
                <w:color w:val="000000"/>
                <w:sz w:val="17"/>
                <w:szCs w:val="17"/>
              </w:rPr>
              <w:t>2 months</w:t>
            </w:r>
          </w:p>
        </w:tc>
        <w:tc>
          <w:tcPr>
            <w:tcW w:w="1200" w:type="dxa"/>
            <w:tcBorders>
              <w:top w:val="single" w:sz="1" w:space="0" w:color="D9D9D9"/>
              <w:left w:val="single" w:sz="1" w:space="0" w:color="D9D9D9"/>
              <w:bottom w:val="single" w:sz="1" w:space="0" w:color="D9D9D9"/>
              <w:right w:val="single" w:sz="1" w:space="0" w:color="D9D9D9"/>
            </w:tcBorders>
            <w:shd w:val="clear" w:color="auto" w:fill="FFFDE7"/>
            <w:tcMar>
              <w:top w:w="60" w:type="dxa"/>
              <w:left w:w="80" w:type="dxa"/>
              <w:bottom w:w="60" w:type="dxa"/>
              <w:right w:w="80" w:type="dxa"/>
            </w:tcMar>
          </w:tcPr>
          <w:p w14:paraId="0DE9E74A" w14:textId="77777777" w:rsidR="009535BF" w:rsidRDefault="0004762A">
            <w:pPr>
              <w:spacing w:before="80" w:after="80"/>
            </w:pPr>
            <w:r>
              <w:rPr>
                <w:rFonts w:ascii="Arial" w:eastAsia="Arial" w:hAnsi="Arial" w:cs="Arial"/>
                <w:b/>
                <w:bCs/>
                <w:color w:val="000000"/>
                <w:sz w:val="17"/>
                <w:szCs w:val="17"/>
              </w:rPr>
              <w:t>21.5x</w:t>
            </w:r>
          </w:p>
        </w:tc>
      </w:tr>
      <w:tr w:rsidR="009535BF" w14:paraId="77109E2F"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6EF80715" w14:textId="77777777" w:rsidR="009535BF" w:rsidRDefault="0004762A">
            <w:pPr>
              <w:spacing w:before="80" w:after="80"/>
            </w:pPr>
            <w:r>
              <w:rPr>
                <w:rFonts w:ascii="Arial" w:eastAsia="Arial" w:hAnsi="Arial" w:cs="Arial"/>
                <w:color w:val="000000"/>
                <w:sz w:val="17"/>
                <w:szCs w:val="17"/>
              </w:rPr>
              <w:t>Scenario C (Aggressive)</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3C34B567" w14:textId="77777777" w:rsidR="009535BF" w:rsidRDefault="0004762A">
            <w:pPr>
              <w:spacing w:before="80" w:after="80"/>
            </w:pPr>
            <w:r>
              <w:rPr>
                <w:rFonts w:ascii="Arial" w:eastAsia="Arial" w:hAnsi="Arial" w:cs="Arial"/>
                <w:color w:val="000000"/>
                <w:sz w:val="17"/>
                <w:szCs w:val="17"/>
              </w:rPr>
              <w:t>47 → 12</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4D200529" w14:textId="77777777" w:rsidR="009535BF" w:rsidRDefault="0004762A">
            <w:pPr>
              <w:spacing w:before="80" w:after="80"/>
            </w:pPr>
            <w:r>
              <w:rPr>
                <w:rFonts w:ascii="Arial" w:eastAsia="Arial" w:hAnsi="Arial" w:cs="Arial"/>
                <w:color w:val="000000"/>
                <w:sz w:val="17"/>
                <w:szCs w:val="17"/>
              </w:rPr>
              <w:t>$37.6M (18% of gross)</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6072E071" w14:textId="77777777" w:rsidR="009535BF" w:rsidRDefault="0004762A">
            <w:pPr>
              <w:spacing w:before="80" w:after="80"/>
            </w:pPr>
            <w:r>
              <w:rPr>
                <w:rFonts w:ascii="Arial" w:eastAsia="Arial" w:hAnsi="Arial" w:cs="Arial"/>
                <w:color w:val="000000"/>
                <w:sz w:val="17"/>
                <w:szCs w:val="17"/>
              </w:rPr>
              <w:t>$165.3M</w:t>
            </w:r>
          </w:p>
        </w:tc>
        <w:tc>
          <w:tcPr>
            <w:tcW w:w="11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32193421" w14:textId="77777777" w:rsidR="009535BF" w:rsidRDefault="0004762A">
            <w:pPr>
              <w:spacing w:before="80" w:after="80"/>
            </w:pPr>
            <w:r>
              <w:rPr>
                <w:rFonts w:ascii="Arial" w:eastAsia="Arial" w:hAnsi="Arial" w:cs="Arial"/>
                <w:color w:val="000000"/>
                <w:sz w:val="17"/>
                <w:szCs w:val="17"/>
              </w:rPr>
              <w:t>$557.2M</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0BF1B11B" w14:textId="77777777" w:rsidR="009535BF" w:rsidRDefault="0004762A">
            <w:pPr>
              <w:spacing w:before="80" w:after="80"/>
            </w:pPr>
            <w:r>
              <w:rPr>
                <w:rFonts w:ascii="Arial" w:eastAsia="Arial" w:hAnsi="Arial" w:cs="Arial"/>
                <w:color w:val="000000"/>
                <w:sz w:val="17"/>
                <w:szCs w:val="17"/>
              </w:rPr>
              <w:t>$555.4M</w:t>
            </w:r>
          </w:p>
        </w:tc>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5224077D" w14:textId="77777777" w:rsidR="009535BF" w:rsidRDefault="0004762A">
            <w:pPr>
              <w:spacing w:before="80" w:after="80"/>
            </w:pPr>
            <w:r>
              <w:rPr>
                <w:rFonts w:ascii="Arial" w:eastAsia="Arial" w:hAnsi="Arial" w:cs="Arial"/>
                <w:color w:val="000000"/>
                <w:sz w:val="17"/>
                <w:szCs w:val="17"/>
              </w:rPr>
              <w:t>3 months</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80" w:type="dxa"/>
              <w:bottom w:w="60" w:type="dxa"/>
              <w:right w:w="80" w:type="dxa"/>
            </w:tcMar>
          </w:tcPr>
          <w:p w14:paraId="4B402678" w14:textId="77777777" w:rsidR="009535BF" w:rsidRDefault="0004762A">
            <w:pPr>
              <w:spacing w:before="80" w:after="80"/>
            </w:pPr>
            <w:r>
              <w:rPr>
                <w:rFonts w:ascii="Arial" w:eastAsia="Arial" w:hAnsi="Arial" w:cs="Arial"/>
                <w:color w:val="000000"/>
                <w:sz w:val="17"/>
                <w:szCs w:val="17"/>
              </w:rPr>
              <w:t>14.8x</w:t>
            </w:r>
          </w:p>
        </w:tc>
      </w:tr>
    </w:tbl>
    <w:p w14:paraId="5391740C"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4410817D" w14:textId="77777777">
        <w:tc>
          <w:tcPr>
            <w:tcW w:w="9360" w:type="dxa"/>
            <w:tcBorders>
              <w:top w:val="single" w:sz="6" w:space="0" w:color="BF8F00"/>
              <w:left w:val="single" w:sz="6" w:space="0" w:color="BF8F00"/>
              <w:bottom w:val="single" w:sz="1" w:space="0" w:color="D9D9D9"/>
              <w:right w:val="single" w:sz="1" w:space="0" w:color="D9D9D9"/>
            </w:tcBorders>
            <w:shd w:val="clear" w:color="auto" w:fill="FFFDE7"/>
            <w:tcMar>
              <w:top w:w="120" w:type="dxa"/>
              <w:left w:w="180" w:type="dxa"/>
              <w:bottom w:w="120" w:type="dxa"/>
              <w:right w:w="180" w:type="dxa"/>
            </w:tcMar>
          </w:tcPr>
          <w:p w14:paraId="0E1DDDAF" w14:textId="0363F23F" w:rsidR="009535BF" w:rsidRDefault="00F67836">
            <w:pPr>
              <w:spacing w:before="80" w:after="60"/>
            </w:pPr>
            <w:r>
              <w:rPr>
                <w:rFonts w:ascii="Segoe UI Emoji" w:eastAsia="Arial" w:hAnsi="Segoe UI Emoji" w:cs="Segoe UI Emoji"/>
                <w:b/>
                <w:bCs/>
                <w:color w:val="BF8F00"/>
              </w:rPr>
              <w:t>⭐</w:t>
            </w:r>
            <w:r>
              <w:rPr>
                <w:rFonts w:ascii="Arial" w:eastAsia="Arial" w:hAnsi="Arial" w:cs="Arial"/>
                <w:b/>
                <w:bCs/>
                <w:color w:val="BF8F00"/>
              </w:rPr>
              <w:t xml:space="preserve"> Why Scenario B Is Recommended — The Key Line</w:t>
            </w:r>
          </w:p>
          <w:p w14:paraId="2ACE3693" w14:textId="77777777" w:rsidR="009535BF" w:rsidRDefault="0004762A">
            <w:pPr>
              <w:spacing w:before="80" w:after="80"/>
            </w:pPr>
            <w:r>
              <w:rPr>
                <w:rFonts w:ascii="Arial" w:eastAsia="Arial" w:hAnsi="Arial" w:cs="Arial"/>
                <w:i/>
                <w:iCs/>
                <w:color w:val="000000"/>
                <w:sz w:val="19"/>
                <w:szCs w:val="19"/>
              </w:rPr>
              <w:t>Scenario B wins on BOTH efficiency metrics simultaneously: fastest break-even (2 months) AND highest ROI multiple (21.5x). Scenario C generates $92M more in gross savings but spends $16M more in transition costs to get there — and that incremental $16M earns only 5.8x return versus 21.5x on Scenario B’s total investment. Scenario A is lowest risk but weakest ROI at 14.0x. The efficient frontier is Scenario B.</w:t>
            </w:r>
          </w:p>
        </w:tc>
      </w:tr>
    </w:tbl>
    <w:p w14:paraId="063BA347" w14:textId="2C511901" w:rsidR="009535BF" w:rsidRDefault="0004762A" w:rsidP="00F67836">
      <w:r>
        <w:br/>
      </w:r>
      <w:r>
        <w:rPr>
          <w:rFonts w:ascii="Arial" w:eastAsia="Arial" w:hAnsi="Arial" w:cs="Arial"/>
          <w:b/>
          <w:bCs/>
          <w:color w:val="1F3864"/>
          <w:sz w:val="28"/>
          <w:szCs w:val="28"/>
        </w:rPr>
        <w:t>SECTION 4 — THE NUMBER GAPS EXPLAINED</w:t>
      </w:r>
    </w:p>
    <w:p w14:paraId="72975F62" w14:textId="3E390518" w:rsidR="009535BF" w:rsidRDefault="0004762A">
      <w:pPr>
        <w:spacing w:before="80" w:after="80"/>
      </w:pPr>
      <w:r>
        <w:rPr>
          <w:rFonts w:ascii="Arial" w:eastAsia="Arial" w:hAnsi="Arial" w:cs="Arial"/>
          <w:i/>
          <w:iCs/>
          <w:color w:val="595959"/>
        </w:rPr>
        <w:t>A Finance person will notice the numbers across tabs do not tie perfectly. Here is the reconciliation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3360"/>
      </w:tblGrid>
      <w:tr w:rsidR="009535BF" w14:paraId="1DA53C37" w14:textId="77777777">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100" w:type="dxa"/>
              <w:left w:w="130" w:type="dxa"/>
              <w:bottom w:w="100" w:type="dxa"/>
              <w:right w:w="130" w:type="dxa"/>
            </w:tcMar>
          </w:tcPr>
          <w:p w14:paraId="34332099" w14:textId="77777777" w:rsidR="009535BF" w:rsidRDefault="0004762A">
            <w:pPr>
              <w:spacing w:before="80" w:after="80"/>
            </w:pPr>
            <w:r>
              <w:rPr>
                <w:rFonts w:ascii="Arial" w:eastAsia="Arial" w:hAnsi="Arial" w:cs="Arial"/>
                <w:b/>
                <w:bCs/>
                <w:color w:val="FFFFFF"/>
                <w:sz w:val="18"/>
                <w:szCs w:val="18"/>
              </w:rPr>
              <w:t>Gap</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100" w:type="dxa"/>
              <w:left w:w="130" w:type="dxa"/>
              <w:bottom w:w="100" w:type="dxa"/>
              <w:right w:w="130" w:type="dxa"/>
            </w:tcMar>
          </w:tcPr>
          <w:p w14:paraId="287659F0" w14:textId="77777777" w:rsidR="009535BF" w:rsidRDefault="0004762A">
            <w:pPr>
              <w:spacing w:before="80" w:after="80"/>
            </w:pPr>
            <w:r>
              <w:rPr>
                <w:rFonts w:ascii="Arial" w:eastAsia="Arial" w:hAnsi="Arial" w:cs="Arial"/>
                <w:b/>
                <w:bCs/>
                <w:color w:val="FFFFFF"/>
                <w:sz w:val="18"/>
                <w:szCs w:val="18"/>
              </w:rPr>
              <w:t>Number A</w:t>
            </w:r>
          </w:p>
        </w:tc>
        <w:tc>
          <w:tcPr>
            <w:tcW w:w="1900" w:type="dxa"/>
            <w:tcBorders>
              <w:top w:val="single" w:sz="1" w:space="0" w:color="D9D9D9"/>
              <w:left w:val="single" w:sz="1" w:space="0" w:color="D9D9D9"/>
              <w:bottom w:val="single" w:sz="1" w:space="0" w:color="D9D9D9"/>
              <w:right w:val="single" w:sz="1" w:space="0" w:color="D9D9D9"/>
            </w:tcBorders>
            <w:shd w:val="clear" w:color="auto" w:fill="1F3864"/>
            <w:tcMar>
              <w:top w:w="100" w:type="dxa"/>
              <w:left w:w="130" w:type="dxa"/>
              <w:bottom w:w="100" w:type="dxa"/>
              <w:right w:w="130" w:type="dxa"/>
            </w:tcMar>
          </w:tcPr>
          <w:p w14:paraId="5F65032F" w14:textId="77777777" w:rsidR="009535BF" w:rsidRDefault="0004762A">
            <w:pPr>
              <w:spacing w:before="80" w:after="80"/>
            </w:pPr>
            <w:r>
              <w:rPr>
                <w:rFonts w:ascii="Arial" w:eastAsia="Arial" w:hAnsi="Arial" w:cs="Arial"/>
                <w:b/>
                <w:bCs/>
                <w:color w:val="FFFFFF"/>
                <w:sz w:val="18"/>
                <w:szCs w:val="18"/>
              </w:rPr>
              <w:t>Number B</w:t>
            </w:r>
          </w:p>
        </w:tc>
        <w:tc>
          <w:tcPr>
            <w:tcW w:w="3360" w:type="dxa"/>
            <w:tcBorders>
              <w:top w:val="single" w:sz="1" w:space="0" w:color="D9D9D9"/>
              <w:left w:val="single" w:sz="1" w:space="0" w:color="D9D9D9"/>
              <w:bottom w:val="single" w:sz="1" w:space="0" w:color="D9D9D9"/>
              <w:right w:val="single" w:sz="1" w:space="0" w:color="D9D9D9"/>
            </w:tcBorders>
            <w:shd w:val="clear" w:color="auto" w:fill="1F3864"/>
            <w:tcMar>
              <w:top w:w="100" w:type="dxa"/>
              <w:left w:w="130" w:type="dxa"/>
              <w:bottom w:w="100" w:type="dxa"/>
              <w:right w:w="130" w:type="dxa"/>
            </w:tcMar>
          </w:tcPr>
          <w:p w14:paraId="4138085A" w14:textId="77777777" w:rsidR="009535BF" w:rsidRDefault="0004762A">
            <w:pPr>
              <w:spacing w:before="80" w:after="80"/>
            </w:pPr>
            <w:r>
              <w:rPr>
                <w:rFonts w:ascii="Arial" w:eastAsia="Arial" w:hAnsi="Arial" w:cs="Arial"/>
                <w:b/>
                <w:bCs/>
                <w:color w:val="FFFFFF"/>
                <w:sz w:val="18"/>
                <w:szCs w:val="18"/>
              </w:rPr>
              <w:t>Root Cause</w:t>
            </w:r>
          </w:p>
        </w:tc>
      </w:tr>
      <w:tr w:rsidR="009535BF" w14:paraId="2EFF5BBD" w14:textId="77777777">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30" w:type="dxa"/>
              <w:bottom w:w="100" w:type="dxa"/>
              <w:right w:w="130" w:type="dxa"/>
            </w:tcMar>
          </w:tcPr>
          <w:p w14:paraId="6703C373" w14:textId="77777777" w:rsidR="009535BF" w:rsidRDefault="0004762A">
            <w:pPr>
              <w:spacing w:before="80" w:after="80"/>
            </w:pPr>
            <w:r>
              <w:rPr>
                <w:rFonts w:ascii="Arial" w:eastAsia="Arial" w:hAnsi="Arial" w:cs="Arial"/>
                <w:b/>
                <w:bCs/>
                <w:color w:val="000000"/>
                <w:sz w:val="18"/>
                <w:szCs w:val="18"/>
              </w:rPr>
              <w:t>Variance Analysis Finance Budget ($138M) vs. Exec Dashboard Finance Baseline ($142.3M)</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166DF8D5" w14:textId="77777777" w:rsidR="009535BF" w:rsidRDefault="0004762A">
            <w:pPr>
              <w:spacing w:before="80" w:after="80"/>
            </w:pPr>
            <w:r>
              <w:rPr>
                <w:rFonts w:ascii="Arial" w:eastAsia="Arial" w:hAnsi="Arial" w:cs="Arial"/>
                <w:color w:val="000000"/>
                <w:sz w:val="18"/>
                <w:szCs w:val="18"/>
              </w:rPr>
              <w:t>$138.0M budget</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13EFC5FE" w14:textId="77777777" w:rsidR="009535BF" w:rsidRDefault="0004762A">
            <w:pPr>
              <w:spacing w:before="80" w:after="80"/>
            </w:pPr>
            <w:r>
              <w:rPr>
                <w:rFonts w:ascii="Arial" w:eastAsia="Arial" w:hAnsi="Arial" w:cs="Arial"/>
                <w:color w:val="000000"/>
                <w:sz w:val="18"/>
                <w:szCs w:val="18"/>
              </w:rPr>
              <w:t>$142.3M baseline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708B671B" w14:textId="77777777" w:rsidR="009535BF" w:rsidRDefault="0004762A">
            <w:pPr>
              <w:spacing w:before="80" w:after="80"/>
            </w:pPr>
            <w:r>
              <w:rPr>
                <w:rFonts w:ascii="Arial" w:eastAsia="Arial" w:hAnsi="Arial" w:cs="Arial"/>
                <w:color w:val="000000"/>
                <w:sz w:val="17"/>
                <w:szCs w:val="17"/>
              </w:rPr>
              <w:t>$4.3M is vendor spend outside the 6 tracked categories. In production a reconciliation note documents in-scope vs. out-of-scope spend.</w:t>
            </w:r>
          </w:p>
        </w:tc>
      </w:tr>
      <w:tr w:rsidR="009535BF" w14:paraId="37870C35" w14:textId="77777777">
        <w:tc>
          <w:tcPr>
            <w:tcW w:w="2200" w:type="dxa"/>
            <w:tcBorders>
              <w:top w:val="single" w:sz="1" w:space="0" w:color="D9D9D9"/>
              <w:left w:val="single" w:sz="1" w:space="0" w:color="D9D9D9"/>
              <w:bottom w:val="single" w:sz="1" w:space="0" w:color="D9D9D9"/>
              <w:right w:val="single" w:sz="1" w:space="0" w:color="D9D9D9"/>
            </w:tcBorders>
            <w:shd w:val="clear" w:color="auto" w:fill="EAEEF3"/>
            <w:tcMar>
              <w:top w:w="100" w:type="dxa"/>
              <w:left w:w="130" w:type="dxa"/>
              <w:bottom w:w="100" w:type="dxa"/>
              <w:right w:w="130" w:type="dxa"/>
            </w:tcMar>
          </w:tcPr>
          <w:p w14:paraId="156F2EEA" w14:textId="77777777" w:rsidR="009535BF" w:rsidRDefault="0004762A">
            <w:pPr>
              <w:spacing w:before="80" w:after="80"/>
            </w:pPr>
            <w:r>
              <w:rPr>
                <w:rFonts w:ascii="Arial" w:eastAsia="Arial" w:hAnsi="Arial" w:cs="Arial"/>
                <w:b/>
                <w:bCs/>
                <w:color w:val="000000"/>
                <w:sz w:val="18"/>
                <w:szCs w:val="18"/>
              </w:rPr>
              <w:t>Variance Analysis Actuals ($141.7M) vs. Exec Dashboard Finance Baseline ($142.3M)</w:t>
            </w:r>
          </w:p>
        </w:tc>
        <w:tc>
          <w:tcPr>
            <w:tcW w:w="190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656784E6" w14:textId="77777777" w:rsidR="009535BF" w:rsidRDefault="0004762A">
            <w:pPr>
              <w:spacing w:before="80" w:after="80"/>
            </w:pPr>
            <w:r>
              <w:rPr>
                <w:rFonts w:ascii="Arial" w:eastAsia="Arial" w:hAnsi="Arial" w:cs="Arial"/>
                <w:color w:val="000000"/>
                <w:sz w:val="18"/>
                <w:szCs w:val="18"/>
              </w:rPr>
              <w:t>$141.7M actual</w:t>
            </w:r>
          </w:p>
        </w:tc>
        <w:tc>
          <w:tcPr>
            <w:tcW w:w="190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4F6246BE" w14:textId="77777777" w:rsidR="009535BF" w:rsidRDefault="0004762A">
            <w:pPr>
              <w:spacing w:before="80" w:after="80"/>
            </w:pPr>
            <w:r>
              <w:rPr>
                <w:rFonts w:ascii="Arial" w:eastAsia="Arial" w:hAnsi="Arial" w:cs="Arial"/>
                <w:color w:val="000000"/>
                <w:sz w:val="18"/>
                <w:szCs w:val="18"/>
              </w:rPr>
              <w:t>$142.3M baseline</w:t>
            </w:r>
          </w:p>
        </w:tc>
        <w:tc>
          <w:tcPr>
            <w:tcW w:w="336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0840C30A" w14:textId="77777777" w:rsidR="009535BF" w:rsidRDefault="0004762A">
            <w:pPr>
              <w:spacing w:before="80" w:after="80"/>
            </w:pPr>
            <w:r>
              <w:rPr>
                <w:rFonts w:ascii="Arial" w:eastAsia="Arial" w:hAnsi="Arial" w:cs="Arial"/>
                <w:color w:val="000000"/>
                <w:sz w:val="17"/>
                <w:szCs w:val="17"/>
              </w:rPr>
              <w:t>$0.6M gap because actuals derive from budget × variance rate. In a GL-sourced model these tie exactly through a trial balance reconciliation.</w:t>
            </w:r>
          </w:p>
        </w:tc>
      </w:tr>
      <w:tr w:rsidR="009535BF" w14:paraId="57043261" w14:textId="77777777">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30" w:type="dxa"/>
              <w:bottom w:w="100" w:type="dxa"/>
              <w:right w:w="130" w:type="dxa"/>
            </w:tcMar>
          </w:tcPr>
          <w:p w14:paraId="52EC2239" w14:textId="77777777" w:rsidR="009535BF" w:rsidRDefault="0004762A">
            <w:pPr>
              <w:spacing w:before="80" w:after="80"/>
            </w:pPr>
            <w:r>
              <w:rPr>
                <w:rFonts w:ascii="Arial" w:eastAsia="Arial" w:hAnsi="Arial" w:cs="Arial"/>
                <w:b/>
                <w:bCs/>
                <w:color w:val="000000"/>
                <w:sz w:val="18"/>
                <w:szCs w:val="18"/>
              </w:rPr>
              <w:t>Exec Dashboard Savings ($100.4M) vs. Consolidation Scenarios Gross ($180.4M)</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47E9BDCC" w14:textId="77777777" w:rsidR="009535BF" w:rsidRDefault="0004762A">
            <w:pPr>
              <w:spacing w:before="80" w:after="80"/>
            </w:pPr>
            <w:r>
              <w:rPr>
                <w:rFonts w:ascii="Arial" w:eastAsia="Arial" w:hAnsi="Arial" w:cs="Arial"/>
                <w:color w:val="000000"/>
                <w:sz w:val="18"/>
                <w:szCs w:val="18"/>
              </w:rPr>
              <w:t>$100.4M dashboard</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6D2313D2" w14:textId="77777777" w:rsidR="009535BF" w:rsidRDefault="0004762A">
            <w:pPr>
              <w:spacing w:before="80" w:after="80"/>
            </w:pPr>
            <w:r>
              <w:rPr>
                <w:rFonts w:ascii="Arial" w:eastAsia="Arial" w:hAnsi="Arial" w:cs="Arial"/>
                <w:color w:val="000000"/>
                <w:sz w:val="18"/>
                <w:szCs w:val="18"/>
              </w:rPr>
              <w:t>$180.4M scenarios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75BC61E3" w14:textId="77777777" w:rsidR="009535BF" w:rsidRDefault="0004762A">
            <w:pPr>
              <w:spacing w:before="80" w:after="80"/>
            </w:pPr>
            <w:r>
              <w:rPr>
                <w:rFonts w:ascii="Arial" w:eastAsia="Arial" w:hAnsi="Arial" w:cs="Arial"/>
                <w:color w:val="000000"/>
                <w:sz w:val="17"/>
                <w:szCs w:val="17"/>
              </w:rPr>
              <w:t>Different time horizons. $100.4M = Year 1 realized savings. $180.4M = full annual run-rate at Year 3 steady state. Not a conflict — different questions.</w:t>
            </w:r>
          </w:p>
        </w:tc>
      </w:tr>
      <w:tr w:rsidR="009535BF" w14:paraId="6EE3DAC4" w14:textId="77777777">
        <w:tc>
          <w:tcPr>
            <w:tcW w:w="2200" w:type="dxa"/>
            <w:tcBorders>
              <w:top w:val="single" w:sz="1" w:space="0" w:color="D9D9D9"/>
              <w:left w:val="single" w:sz="1" w:space="0" w:color="D9D9D9"/>
              <w:bottom w:val="single" w:sz="1" w:space="0" w:color="D9D9D9"/>
              <w:right w:val="single" w:sz="1" w:space="0" w:color="D9D9D9"/>
            </w:tcBorders>
            <w:shd w:val="clear" w:color="auto" w:fill="EAEEF3"/>
            <w:tcMar>
              <w:top w:w="100" w:type="dxa"/>
              <w:left w:w="130" w:type="dxa"/>
              <w:bottom w:w="100" w:type="dxa"/>
              <w:right w:w="130" w:type="dxa"/>
            </w:tcMar>
          </w:tcPr>
          <w:p w14:paraId="570DA940" w14:textId="77777777" w:rsidR="009535BF" w:rsidRDefault="0004762A">
            <w:pPr>
              <w:spacing w:before="80" w:after="80"/>
            </w:pPr>
            <w:r>
              <w:rPr>
                <w:rFonts w:ascii="Arial" w:eastAsia="Arial" w:hAnsi="Arial" w:cs="Arial"/>
                <w:b/>
                <w:bCs/>
                <w:color w:val="000000"/>
                <w:sz w:val="18"/>
                <w:szCs w:val="18"/>
              </w:rPr>
              <w:t>Sensitivity table values ($13–$66M) vs. Scenario gross savings ($142–$208M)</w:t>
            </w:r>
          </w:p>
        </w:tc>
        <w:tc>
          <w:tcPr>
            <w:tcW w:w="190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4222D950" w14:textId="77777777" w:rsidR="009535BF" w:rsidRDefault="0004762A">
            <w:pPr>
              <w:spacing w:before="80" w:after="80"/>
            </w:pPr>
            <w:r>
              <w:rPr>
                <w:rFonts w:ascii="Arial" w:eastAsia="Arial" w:hAnsi="Arial" w:cs="Arial"/>
                <w:color w:val="000000"/>
                <w:sz w:val="18"/>
                <w:szCs w:val="18"/>
              </w:rPr>
              <w:t>$13–$66M sensitivity</w:t>
            </w:r>
          </w:p>
        </w:tc>
        <w:tc>
          <w:tcPr>
            <w:tcW w:w="190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4DF79C77" w14:textId="77777777" w:rsidR="009535BF" w:rsidRDefault="0004762A">
            <w:pPr>
              <w:spacing w:before="80" w:after="80"/>
            </w:pPr>
            <w:r>
              <w:rPr>
                <w:rFonts w:ascii="Arial" w:eastAsia="Arial" w:hAnsi="Arial" w:cs="Arial"/>
                <w:color w:val="000000"/>
                <w:sz w:val="18"/>
                <w:szCs w:val="18"/>
              </w:rPr>
              <w:t>$142–$208M scenarios</w:t>
            </w:r>
          </w:p>
        </w:tc>
        <w:tc>
          <w:tcPr>
            <w:tcW w:w="3360" w:type="dxa"/>
            <w:tcBorders>
              <w:top w:val="single" w:sz="1" w:space="0" w:color="D9D9D9"/>
              <w:left w:val="single" w:sz="1" w:space="0" w:color="D9D9D9"/>
              <w:bottom w:val="single" w:sz="1" w:space="0" w:color="D9D9D9"/>
              <w:right w:val="single" w:sz="1" w:space="0" w:color="D9D9D9"/>
            </w:tcBorders>
            <w:shd w:val="clear" w:color="auto" w:fill="F7F9FC"/>
            <w:tcMar>
              <w:top w:w="100" w:type="dxa"/>
              <w:left w:w="130" w:type="dxa"/>
              <w:bottom w:w="100" w:type="dxa"/>
              <w:right w:w="130" w:type="dxa"/>
            </w:tcMar>
          </w:tcPr>
          <w:p w14:paraId="2F3A693B" w14:textId="77777777" w:rsidR="009535BF" w:rsidRDefault="0004762A">
            <w:pPr>
              <w:spacing w:before="80" w:after="80"/>
            </w:pPr>
            <w:r>
              <w:rPr>
                <w:rFonts w:ascii="Arial" w:eastAsia="Arial" w:hAnsi="Arial" w:cs="Arial"/>
                <w:color w:val="000000"/>
                <w:sz w:val="17"/>
                <w:szCs w:val="17"/>
              </w:rPr>
              <w:t xml:space="preserve">Sensitivity uses the simplified formula: Baseline × Reduction% × Discount Rate − TC. This is a first-year direct savings </w:t>
            </w:r>
            <w:r>
              <w:rPr>
                <w:rFonts w:ascii="Arial" w:eastAsia="Arial" w:hAnsi="Arial" w:cs="Arial"/>
                <w:color w:val="000000"/>
                <w:sz w:val="17"/>
                <w:szCs w:val="17"/>
              </w:rPr>
              <w:lastRenderedPageBreak/>
              <w:t>approximation. Scenario gross savings include full 3-year program value.</w:t>
            </w:r>
          </w:p>
        </w:tc>
      </w:tr>
      <w:tr w:rsidR="009535BF" w14:paraId="3FC90A9A" w14:textId="77777777">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30" w:type="dxa"/>
              <w:bottom w:w="100" w:type="dxa"/>
              <w:right w:w="130" w:type="dxa"/>
            </w:tcMar>
          </w:tcPr>
          <w:p w14:paraId="364C8558" w14:textId="77777777" w:rsidR="009535BF" w:rsidRDefault="0004762A">
            <w:pPr>
              <w:spacing w:before="80" w:after="80"/>
            </w:pPr>
            <w:r>
              <w:rPr>
                <w:rFonts w:ascii="Arial" w:eastAsia="Arial" w:hAnsi="Arial" w:cs="Arial"/>
                <w:b/>
                <w:bCs/>
                <w:color w:val="000000"/>
                <w:sz w:val="18"/>
                <w:szCs w:val="18"/>
              </w:rPr>
              <w:lastRenderedPageBreak/>
              <w:t>Sensitivity Model vs. Consolidation Scenarios format</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30A4496D" w14:textId="77777777" w:rsidR="009535BF" w:rsidRDefault="0004762A">
            <w:pPr>
              <w:spacing w:before="80" w:after="80"/>
            </w:pPr>
            <w:r>
              <w:rPr>
                <w:rFonts w:ascii="Arial" w:eastAsia="Arial" w:hAnsi="Arial" w:cs="Arial"/>
                <w:color w:val="000000"/>
                <w:sz w:val="18"/>
                <w:szCs w:val="18"/>
              </w:rPr>
              <w:t>Table max $66M</w:t>
            </w:r>
          </w:p>
        </w:tc>
        <w:tc>
          <w:tcPr>
            <w:tcW w:w="190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29A1A6E0" w14:textId="77777777" w:rsidR="009535BF" w:rsidRDefault="0004762A">
            <w:pPr>
              <w:spacing w:before="80" w:after="80"/>
            </w:pPr>
            <w:r>
              <w:rPr>
                <w:rFonts w:ascii="Arial" w:eastAsia="Arial" w:hAnsi="Arial" w:cs="Arial"/>
                <w:color w:val="000000"/>
                <w:sz w:val="18"/>
                <w:szCs w:val="18"/>
              </w:rPr>
              <w:t>Scenario B gross $180.4M</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30" w:type="dxa"/>
              <w:bottom w:w="100" w:type="dxa"/>
              <w:right w:w="130" w:type="dxa"/>
            </w:tcMar>
          </w:tcPr>
          <w:p w14:paraId="398BB5C5" w14:textId="77777777" w:rsidR="009535BF" w:rsidRDefault="0004762A">
            <w:pPr>
              <w:spacing w:before="80" w:after="80"/>
            </w:pPr>
            <w:r>
              <w:rPr>
                <w:rFonts w:ascii="Arial" w:eastAsia="Arial" w:hAnsi="Arial" w:cs="Arial"/>
                <w:color w:val="000000"/>
                <w:sz w:val="17"/>
                <w:szCs w:val="17"/>
              </w:rPr>
              <w:t>Sensitivity isolates the two key variables to stress-test assumptions. Full program value is on the Scenarios tab. The two tools answer different questions.</w:t>
            </w:r>
          </w:p>
        </w:tc>
      </w:tr>
    </w:tbl>
    <w:p w14:paraId="1EA88D17"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17BCCB3B" w14:textId="77777777">
        <w:tc>
          <w:tcPr>
            <w:tcW w:w="9360" w:type="dxa"/>
            <w:tcBorders>
              <w:top w:val="single" w:sz="6" w:space="0" w:color="2E75B6"/>
              <w:left w:val="single" w:sz="6" w:space="0" w:color="2E75B6"/>
              <w:bottom w:val="single" w:sz="1" w:space="0" w:color="D9D9D9"/>
              <w:right w:val="single" w:sz="1" w:space="0" w:color="D9D9D9"/>
            </w:tcBorders>
            <w:shd w:val="clear" w:color="auto" w:fill="EBF3FB"/>
            <w:tcMar>
              <w:top w:w="120" w:type="dxa"/>
              <w:left w:w="180" w:type="dxa"/>
              <w:bottom w:w="120" w:type="dxa"/>
              <w:right w:w="180" w:type="dxa"/>
            </w:tcMar>
          </w:tcPr>
          <w:p w14:paraId="43396859" w14:textId="77777777" w:rsidR="009535BF" w:rsidRDefault="0004762A">
            <w:pPr>
              <w:spacing w:before="80" w:after="60"/>
            </w:pPr>
            <w:r>
              <w:rPr>
                <w:rFonts w:ascii="Arial" w:eastAsia="Arial" w:hAnsi="Arial" w:cs="Arial"/>
                <w:b/>
                <w:bCs/>
                <w:color w:val="2E75B6"/>
              </w:rPr>
              <w:t>The Line to Use for Any Gap Question</w:t>
            </w:r>
          </w:p>
          <w:p w14:paraId="0C64F2A1" w14:textId="4A9FEA05" w:rsidR="009535BF" w:rsidRDefault="0004762A">
            <w:pPr>
              <w:spacing w:before="80" w:after="80"/>
            </w:pPr>
            <w:r>
              <w:rPr>
                <w:rFonts w:ascii="Arial" w:eastAsia="Arial" w:hAnsi="Arial" w:cs="Arial"/>
                <w:i/>
                <w:iCs/>
                <w:color w:val="000000"/>
                <w:sz w:val="19"/>
                <w:szCs w:val="19"/>
              </w:rPr>
              <w:t>In a fully governed production model, every number traces back to the GL and these tabs reconcile through a source-to-output validation layer. The gaps here reflect the synthetic data structure and intentional scoping differences between tabs — the analytical approach and formula logic are production-grade.</w:t>
            </w:r>
          </w:p>
        </w:tc>
      </w:tr>
    </w:tbl>
    <w:p w14:paraId="1E3D4575" w14:textId="333C9543" w:rsidR="009535BF" w:rsidRDefault="0004762A" w:rsidP="00F67836">
      <w:r>
        <w:br/>
      </w:r>
      <w:r>
        <w:rPr>
          <w:rFonts w:ascii="Arial" w:eastAsia="Arial" w:hAnsi="Arial" w:cs="Arial"/>
          <w:b/>
          <w:bCs/>
          <w:color w:val="1F3864"/>
          <w:sz w:val="28"/>
          <w:szCs w:val="28"/>
        </w:rPr>
        <w:t>SECTION 5 — ANTICIPATED FINANCE QUESTIONS &amp; ANSWERS</w:t>
      </w:r>
    </w:p>
    <w:p w14:paraId="2F9E5D51" w14:textId="77777777" w:rsidR="009535BF" w:rsidRDefault="0004762A">
      <w:pPr>
        <w:spacing w:before="80" w:after="80"/>
      </w:pPr>
      <w:r>
        <w:rPr>
          <w:rFonts w:ascii="Arial" w:eastAsia="Arial" w:hAnsi="Arial" w:cs="Arial"/>
          <w:i/>
          <w:iCs/>
          <w:color w:val="595959"/>
        </w:rPr>
        <w:t>Each answer below explains the reasoning in 1–2 sentences. The starred questions cover the methodology decisions most likely to draw follow-up scrutiny.</w:t>
      </w:r>
    </w:p>
    <w:p w14:paraId="696EAEA9"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7B618B0E" w14:textId="77777777">
        <w:tc>
          <w:tcPr>
            <w:tcW w:w="9360" w:type="dxa"/>
            <w:tcBorders>
              <w:top w:val="single" w:sz="6" w:space="0" w:color="2E75B6"/>
              <w:left w:val="single" w:sz="6" w:space="0" w:color="2E75B6"/>
              <w:bottom w:val="single" w:sz="1" w:space="0" w:color="D9D9D9"/>
              <w:right w:val="single" w:sz="1" w:space="0" w:color="D9D9D9"/>
            </w:tcBorders>
            <w:shd w:val="clear" w:color="auto" w:fill="EBF3FB"/>
            <w:tcMar>
              <w:top w:w="120" w:type="dxa"/>
              <w:left w:w="180" w:type="dxa"/>
              <w:bottom w:w="120" w:type="dxa"/>
              <w:right w:w="180" w:type="dxa"/>
            </w:tcMar>
          </w:tcPr>
          <w:p w14:paraId="562F791D" w14:textId="5D2A657C" w:rsidR="009535BF" w:rsidRDefault="00F67836">
            <w:pPr>
              <w:spacing w:before="80" w:after="60"/>
            </w:pPr>
            <w:r>
              <w:rPr>
                <w:rFonts w:ascii="Segoe UI Emoji" w:eastAsia="Arial" w:hAnsi="Segoe UI Emoji" w:cs="Segoe UI Emoji"/>
                <w:b/>
                <w:bCs/>
                <w:color w:val="1F3864"/>
              </w:rPr>
              <w:t>📋</w:t>
            </w:r>
            <w:r>
              <w:rPr>
                <w:rFonts w:ascii="Arial" w:eastAsia="Arial" w:hAnsi="Arial" w:cs="Arial"/>
                <w:b/>
                <w:bCs/>
                <w:color w:val="1F3864"/>
              </w:rPr>
              <w:t xml:space="preserve"> Q: Why does the variance analysis show $138M but the dashboard shows $142.3M for Finance?</w:t>
            </w:r>
          </w:p>
          <w:p w14:paraId="764620B4" w14:textId="77777777" w:rsidR="009535BF" w:rsidRDefault="0004762A">
            <w:pPr>
              <w:spacing w:before="80" w:after="80"/>
            </w:pPr>
            <w:r>
              <w:rPr>
                <w:rFonts w:ascii="Arial" w:eastAsia="Arial" w:hAnsi="Arial" w:cs="Arial"/>
                <w:i/>
                <w:iCs/>
                <w:color w:val="595959"/>
                <w:sz w:val="19"/>
                <w:szCs w:val="19"/>
              </w:rPr>
              <w:t>First question a Finance person asks — they tie everything.</w:t>
            </w:r>
          </w:p>
        </w:tc>
      </w:tr>
    </w:tbl>
    <w:p w14:paraId="6820870D"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4A7E604D" w14:textId="77777777">
        <w:tc>
          <w:tcPr>
            <w:tcW w:w="9360" w:type="dxa"/>
            <w:tcBorders>
              <w:top w:val="single" w:sz="6" w:space="0" w:color="375623"/>
              <w:left w:val="single" w:sz="6" w:space="0" w:color="375623"/>
              <w:bottom w:val="single" w:sz="1" w:space="0" w:color="D9D9D9"/>
              <w:right w:val="single" w:sz="1" w:space="0" w:color="D9D9D9"/>
            </w:tcBorders>
            <w:shd w:val="clear" w:color="auto" w:fill="F0F7EE"/>
            <w:tcMar>
              <w:top w:w="120" w:type="dxa"/>
              <w:left w:w="180" w:type="dxa"/>
              <w:bottom w:w="120" w:type="dxa"/>
              <w:right w:w="180" w:type="dxa"/>
            </w:tcMar>
          </w:tcPr>
          <w:p w14:paraId="42E9FE60" w14:textId="57BA2173" w:rsidR="009535BF" w:rsidRDefault="00F67836">
            <w:pPr>
              <w:spacing w:before="80" w:after="80"/>
            </w:pPr>
            <w:r>
              <w:rPr>
                <w:rFonts w:ascii="Segoe UI Emoji" w:eastAsia="Arial" w:hAnsi="Segoe UI Emoji" w:cs="Segoe UI Emoji"/>
                <w:b/>
                <w:bCs/>
                <w:color w:val="375623"/>
              </w:rPr>
              <w:t>✅</w:t>
            </w:r>
            <w:r>
              <w:rPr>
                <w:rFonts w:ascii="Arial" w:eastAsia="Arial" w:hAnsi="Arial" w:cs="Arial"/>
                <w:b/>
                <w:bCs/>
                <w:color w:val="375623"/>
              </w:rPr>
              <w:t xml:space="preserve"> Your Answer</w:t>
            </w:r>
          </w:p>
          <w:p w14:paraId="25D07DFF" w14:textId="77777777" w:rsidR="009535BF" w:rsidRDefault="0004762A">
            <w:pPr>
              <w:spacing w:before="80" w:after="80"/>
            </w:pPr>
            <w:r>
              <w:rPr>
                <w:rFonts w:ascii="Arial" w:eastAsia="Arial" w:hAnsi="Arial" w:cs="Arial"/>
                <w:color w:val="000000"/>
              </w:rPr>
              <w:t>The $4.3M gap is vendor spend that sits outside the six tracked cost categories in the variance model. The model covers the six primary categories Finance uses for monthly variance review. The $142.3M baseline is Finance’s full vendor footprint. In production there would be a reconciliation note documenting what is in scope and what is not, and the totals would tie to the GL.</w:t>
            </w:r>
          </w:p>
        </w:tc>
      </w:tr>
    </w:tbl>
    <w:p w14:paraId="1CF1A6EE"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28A57C26" w14:textId="77777777">
        <w:tc>
          <w:tcPr>
            <w:tcW w:w="9360" w:type="dxa"/>
            <w:tcBorders>
              <w:top w:val="single" w:sz="6" w:space="0" w:color="2E75B6"/>
              <w:left w:val="single" w:sz="6" w:space="0" w:color="2E75B6"/>
              <w:bottom w:val="single" w:sz="1" w:space="0" w:color="D9D9D9"/>
              <w:right w:val="single" w:sz="1" w:space="0" w:color="D9D9D9"/>
            </w:tcBorders>
            <w:shd w:val="clear" w:color="auto" w:fill="EBF3FB"/>
            <w:tcMar>
              <w:top w:w="120" w:type="dxa"/>
              <w:left w:w="180" w:type="dxa"/>
              <w:bottom w:w="120" w:type="dxa"/>
              <w:right w:w="180" w:type="dxa"/>
            </w:tcMar>
          </w:tcPr>
          <w:p w14:paraId="7D9DC542" w14:textId="4FE1C901" w:rsidR="009535BF" w:rsidRDefault="00F67836">
            <w:pPr>
              <w:spacing w:before="80" w:after="80"/>
            </w:pPr>
            <w:r>
              <w:rPr>
                <w:rFonts w:ascii="Segoe UI Emoji" w:eastAsia="Arial" w:hAnsi="Segoe UI Emoji" w:cs="Segoe UI Emoji"/>
                <w:b/>
                <w:bCs/>
                <w:color w:val="1F3864"/>
              </w:rPr>
              <w:t>📋</w:t>
            </w:r>
            <w:r>
              <w:rPr>
                <w:rFonts w:ascii="Arial" w:eastAsia="Arial" w:hAnsi="Arial" w:cs="Arial"/>
                <w:b/>
                <w:bCs/>
                <w:color w:val="1F3864"/>
              </w:rPr>
              <w:t xml:space="preserve"> Q: Why is Scenario B savings $180.4M but the Executive Dashboard shows only $100.4M?</w:t>
            </w:r>
          </w:p>
        </w:tc>
      </w:tr>
    </w:tbl>
    <w:p w14:paraId="6F988B5A"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56C2784F" w14:textId="77777777">
        <w:tc>
          <w:tcPr>
            <w:tcW w:w="9360" w:type="dxa"/>
            <w:tcBorders>
              <w:top w:val="single" w:sz="6" w:space="0" w:color="375623"/>
              <w:left w:val="single" w:sz="6" w:space="0" w:color="375623"/>
              <w:bottom w:val="single" w:sz="1" w:space="0" w:color="D9D9D9"/>
              <w:right w:val="single" w:sz="1" w:space="0" w:color="D9D9D9"/>
            </w:tcBorders>
            <w:shd w:val="clear" w:color="auto" w:fill="F0F7EE"/>
            <w:tcMar>
              <w:top w:w="120" w:type="dxa"/>
              <w:left w:w="180" w:type="dxa"/>
              <w:bottom w:w="120" w:type="dxa"/>
              <w:right w:w="180" w:type="dxa"/>
            </w:tcMar>
          </w:tcPr>
          <w:p w14:paraId="4A26FBD3" w14:textId="3EC272F1" w:rsidR="009535BF" w:rsidRDefault="00F67836">
            <w:pPr>
              <w:spacing w:before="80" w:after="80"/>
            </w:pPr>
            <w:r>
              <w:rPr>
                <w:rFonts w:ascii="Segoe UI Emoji" w:eastAsia="Arial" w:hAnsi="Segoe UI Emoji" w:cs="Segoe UI Emoji"/>
                <w:b/>
                <w:bCs/>
                <w:color w:val="375623"/>
              </w:rPr>
              <w:t>✅</w:t>
            </w:r>
            <w:r>
              <w:rPr>
                <w:rFonts w:ascii="Arial" w:eastAsia="Arial" w:hAnsi="Arial" w:cs="Arial"/>
                <w:b/>
                <w:bCs/>
                <w:color w:val="375623"/>
              </w:rPr>
              <w:t xml:space="preserve"> Your Answer</w:t>
            </w:r>
          </w:p>
          <w:p w14:paraId="54979881" w14:textId="21FADB4C" w:rsidR="009535BF" w:rsidRDefault="0004762A">
            <w:pPr>
              <w:spacing w:before="80" w:after="80"/>
            </w:pPr>
            <w:r>
              <w:rPr>
                <w:rFonts w:ascii="Arial" w:eastAsia="Arial" w:hAnsi="Arial" w:cs="Arial"/>
                <w:color w:val="000000"/>
              </w:rPr>
              <w:t>Different time horizons, not a conflict. The $100.4M on the dashboard is Year 1 realized savings — what you capture in the first year as contracts transition. The $180.4M is the full annual run-rate at Year 3 once every contract has been renegotiated and consolidated. The gap between them is the ramp period: some contracts have minimum terms, exit provisions, or migration timelines that prevent immediate full capture.</w:t>
            </w:r>
          </w:p>
        </w:tc>
      </w:tr>
    </w:tbl>
    <w:p w14:paraId="059F7CC5"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5FD1B41F" w14:textId="77777777">
        <w:tc>
          <w:tcPr>
            <w:tcW w:w="9360" w:type="dxa"/>
            <w:tcBorders>
              <w:top w:val="single" w:sz="6" w:space="0" w:color="2E75B6"/>
              <w:left w:val="single" w:sz="6" w:space="0" w:color="2E75B6"/>
              <w:bottom w:val="single" w:sz="1" w:space="0" w:color="D9D9D9"/>
              <w:right w:val="single" w:sz="1" w:space="0" w:color="D9D9D9"/>
            </w:tcBorders>
            <w:shd w:val="clear" w:color="auto" w:fill="EBF3FB"/>
            <w:tcMar>
              <w:top w:w="120" w:type="dxa"/>
              <w:left w:w="180" w:type="dxa"/>
              <w:bottom w:w="120" w:type="dxa"/>
              <w:right w:w="180" w:type="dxa"/>
            </w:tcMar>
          </w:tcPr>
          <w:p w14:paraId="5282475D" w14:textId="667B378C" w:rsidR="009535BF" w:rsidRDefault="00F67836">
            <w:pPr>
              <w:spacing w:before="80" w:after="60"/>
            </w:pPr>
            <w:r>
              <w:rPr>
                <w:rFonts w:ascii="Segoe UI Emoji" w:eastAsia="Arial" w:hAnsi="Segoe UI Emoji" w:cs="Segoe UI Emoji"/>
                <w:b/>
                <w:bCs/>
                <w:color w:val="1F3864"/>
              </w:rPr>
              <w:t>📋</w:t>
            </w:r>
            <w:r>
              <w:rPr>
                <w:rFonts w:ascii="Arial" w:eastAsia="Arial" w:hAnsi="Arial" w:cs="Arial"/>
                <w:b/>
                <w:bCs/>
                <w:color w:val="1F3864"/>
              </w:rPr>
              <w:t xml:space="preserve"> Q: ★ Why is the transition cost a percentage of gross savings? Why not a flat dollar number?</w:t>
            </w:r>
          </w:p>
          <w:p w14:paraId="6AF8A4A8" w14:textId="77777777" w:rsidR="009535BF" w:rsidRDefault="0004762A">
            <w:pPr>
              <w:spacing w:before="80" w:after="80"/>
            </w:pPr>
            <w:r>
              <w:rPr>
                <w:rFonts w:ascii="Arial" w:eastAsia="Arial" w:hAnsi="Arial" w:cs="Arial"/>
                <w:i/>
                <w:iCs/>
                <w:color w:val="595959"/>
                <w:sz w:val="19"/>
                <w:szCs w:val="19"/>
              </w:rPr>
              <w:t>This will come up — it is the most important methodology question.</w:t>
            </w:r>
          </w:p>
        </w:tc>
      </w:tr>
    </w:tbl>
    <w:p w14:paraId="0AF7E31B"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765AD489" w14:textId="77777777">
        <w:tc>
          <w:tcPr>
            <w:tcW w:w="9360" w:type="dxa"/>
            <w:tcBorders>
              <w:top w:val="single" w:sz="6" w:space="0" w:color="375623"/>
              <w:left w:val="single" w:sz="6" w:space="0" w:color="375623"/>
              <w:bottom w:val="single" w:sz="1" w:space="0" w:color="D9D9D9"/>
              <w:right w:val="single" w:sz="1" w:space="0" w:color="D9D9D9"/>
            </w:tcBorders>
            <w:shd w:val="clear" w:color="auto" w:fill="F0F7EE"/>
            <w:tcMar>
              <w:top w:w="120" w:type="dxa"/>
              <w:left w:w="180" w:type="dxa"/>
              <w:bottom w:w="120" w:type="dxa"/>
              <w:right w:w="180" w:type="dxa"/>
            </w:tcMar>
          </w:tcPr>
          <w:p w14:paraId="62D02E1E" w14:textId="51FE9E9A" w:rsidR="009535BF" w:rsidRDefault="00F67836">
            <w:pPr>
              <w:spacing w:before="80" w:after="80"/>
            </w:pPr>
            <w:r>
              <w:rPr>
                <w:rFonts w:ascii="Segoe UI Emoji" w:eastAsia="Arial" w:hAnsi="Segoe UI Emoji" w:cs="Segoe UI Emoji"/>
                <w:b/>
                <w:bCs/>
                <w:color w:val="375623"/>
              </w:rPr>
              <w:lastRenderedPageBreak/>
              <w:t>✅</w:t>
            </w:r>
            <w:r>
              <w:rPr>
                <w:rFonts w:ascii="Arial" w:eastAsia="Arial" w:hAnsi="Arial" w:cs="Arial"/>
                <w:b/>
                <w:bCs/>
                <w:color w:val="375623"/>
              </w:rPr>
              <w:t xml:space="preserve"> Your Answer</w:t>
            </w:r>
          </w:p>
          <w:p w14:paraId="67860E49" w14:textId="70127981" w:rsidR="009535BF" w:rsidRDefault="0004762A">
            <w:pPr>
              <w:spacing w:before="80" w:after="80"/>
            </w:pPr>
            <w:r>
              <w:rPr>
                <w:rFonts w:ascii="Arial" w:eastAsia="Arial" w:hAnsi="Arial" w:cs="Arial"/>
                <w:color w:val="000000"/>
              </w:rPr>
              <w:t>Because transition cost should be scaled with program scope, and the complexity of each scenario is different. A flat number creates a false equivalence between three programs of very different scale and risk. Using percentage of gross savings lets each scenario’s cost reflect its implementation reality:</w:t>
            </w:r>
          </w:p>
          <w:p w14:paraId="1CDEFB1C" w14:textId="77777777" w:rsidR="009535BF" w:rsidRDefault="0004762A">
            <w:pPr>
              <w:pStyle w:val="ListParagraph"/>
              <w:numPr>
                <w:ilvl w:val="0"/>
                <w:numId w:val="2"/>
              </w:numPr>
              <w:spacing w:before="60" w:after="60"/>
            </w:pPr>
            <w:r>
              <w:rPr>
                <w:rFonts w:ascii="Arial" w:eastAsia="Arial" w:hAnsi="Arial" w:cs="Arial"/>
                <w:color w:val="000000"/>
              </w:rPr>
              <w:t>Scenario A at 15%: fewer vendors eliminated but proportionally harder exits — less volume leverage, more disruption per dollar saved.</w:t>
            </w:r>
          </w:p>
          <w:p w14:paraId="31542CED" w14:textId="77777777" w:rsidR="009535BF" w:rsidRDefault="0004762A">
            <w:pPr>
              <w:pStyle w:val="ListParagraph"/>
              <w:numPr>
                <w:ilvl w:val="0"/>
                <w:numId w:val="2"/>
              </w:numPr>
              <w:spacing w:before="60" w:after="60"/>
            </w:pPr>
            <w:r>
              <w:rPr>
                <w:rFonts w:ascii="Arial" w:eastAsia="Arial" w:hAnsi="Arial" w:cs="Arial"/>
                <w:color w:val="000000"/>
              </w:rPr>
              <w:t>Scenario B at 12%: the optimal efficiency point — enough scale to negotiate hard without hitting the complexity ceiling.</w:t>
            </w:r>
          </w:p>
          <w:p w14:paraId="054C4C14" w14:textId="77777777" w:rsidR="009535BF" w:rsidRDefault="0004762A">
            <w:pPr>
              <w:pStyle w:val="ListParagraph"/>
              <w:numPr>
                <w:ilvl w:val="0"/>
                <w:numId w:val="2"/>
              </w:numPr>
              <w:spacing w:before="60" w:after="60"/>
            </w:pPr>
            <w:r>
              <w:rPr>
                <w:rFonts w:ascii="Arial" w:eastAsia="Arial" w:hAnsi="Arial" w:cs="Arial"/>
                <w:color w:val="000000"/>
              </w:rPr>
              <w:t>Scenario C at 18%: tail vendors are the hardest to exit — longer contracts, more entrenched relationships, diminishing returns on effort.</w:t>
            </w:r>
          </w:p>
          <w:p w14:paraId="5B0F55C9" w14:textId="41A8163A" w:rsidR="009535BF" w:rsidRDefault="0004762A">
            <w:pPr>
              <w:spacing w:before="80" w:after="80"/>
            </w:pPr>
            <w:r>
              <w:rPr>
                <w:rFonts w:ascii="Arial" w:eastAsia="Arial" w:hAnsi="Arial" w:cs="Arial"/>
                <w:color w:val="000000"/>
              </w:rPr>
              <w:t>This is how large-scale vendor consolidation programs are scoped. The percentage approach produces numbers a CFO can defend too the board because each rate has a business rationale behind it.</w:t>
            </w:r>
          </w:p>
        </w:tc>
      </w:tr>
    </w:tbl>
    <w:p w14:paraId="1653FE60"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6EE09B21" w14:textId="77777777">
        <w:tc>
          <w:tcPr>
            <w:tcW w:w="9360" w:type="dxa"/>
            <w:tcBorders>
              <w:top w:val="single" w:sz="6" w:space="0" w:color="2E75B6"/>
              <w:left w:val="single" w:sz="6" w:space="0" w:color="2E75B6"/>
              <w:bottom w:val="single" w:sz="1" w:space="0" w:color="D9D9D9"/>
              <w:right w:val="single" w:sz="1" w:space="0" w:color="D9D9D9"/>
            </w:tcBorders>
            <w:shd w:val="clear" w:color="auto" w:fill="EBF3FB"/>
            <w:tcMar>
              <w:top w:w="120" w:type="dxa"/>
              <w:left w:w="180" w:type="dxa"/>
              <w:bottom w:w="120" w:type="dxa"/>
              <w:right w:w="180" w:type="dxa"/>
            </w:tcMar>
          </w:tcPr>
          <w:p w14:paraId="2F525E00" w14:textId="51C474DA" w:rsidR="009535BF" w:rsidRDefault="00F67836">
            <w:pPr>
              <w:spacing w:before="80" w:after="60"/>
            </w:pPr>
            <w:r>
              <w:rPr>
                <w:rFonts w:ascii="Segoe UI Emoji" w:eastAsia="Arial" w:hAnsi="Segoe UI Emoji" w:cs="Segoe UI Emoji"/>
                <w:b/>
                <w:bCs/>
                <w:color w:val="1F3864"/>
              </w:rPr>
              <w:t>📋</w:t>
            </w:r>
            <w:r>
              <w:rPr>
                <w:rFonts w:ascii="Arial" w:eastAsia="Arial" w:hAnsi="Arial" w:cs="Arial"/>
                <w:b/>
                <w:bCs/>
                <w:color w:val="1F3864"/>
              </w:rPr>
              <w:t xml:space="preserve"> Q: ★ Why are transition costs spread across three years? Why not all in Year 1?</w:t>
            </w:r>
          </w:p>
          <w:p w14:paraId="05ECF787" w14:textId="77777777" w:rsidR="009535BF" w:rsidRDefault="0004762A">
            <w:pPr>
              <w:spacing w:before="80" w:after="80"/>
            </w:pPr>
            <w:r>
              <w:rPr>
                <w:rFonts w:ascii="Arial" w:eastAsia="Arial" w:hAnsi="Arial" w:cs="Arial"/>
                <w:i/>
                <w:iCs/>
                <w:color w:val="595959"/>
                <w:sz w:val="19"/>
                <w:szCs w:val="19"/>
              </w:rPr>
              <w:t>Follows directly from the previous question.</w:t>
            </w:r>
          </w:p>
        </w:tc>
      </w:tr>
    </w:tbl>
    <w:p w14:paraId="39AC3DD2"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58FE8436" w14:textId="77777777">
        <w:tc>
          <w:tcPr>
            <w:tcW w:w="9360" w:type="dxa"/>
            <w:tcBorders>
              <w:top w:val="single" w:sz="6" w:space="0" w:color="375623"/>
              <w:left w:val="single" w:sz="6" w:space="0" w:color="375623"/>
              <w:bottom w:val="single" w:sz="1" w:space="0" w:color="D9D9D9"/>
              <w:right w:val="single" w:sz="1" w:space="0" w:color="D9D9D9"/>
            </w:tcBorders>
            <w:shd w:val="clear" w:color="auto" w:fill="F0F7EE"/>
            <w:tcMar>
              <w:top w:w="120" w:type="dxa"/>
              <w:left w:w="180" w:type="dxa"/>
              <w:bottom w:w="120" w:type="dxa"/>
              <w:right w:w="180" w:type="dxa"/>
            </w:tcMar>
          </w:tcPr>
          <w:p w14:paraId="1FCC6C72" w14:textId="094AF921" w:rsidR="009535BF" w:rsidRDefault="00F67836">
            <w:pPr>
              <w:spacing w:before="80" w:after="80"/>
            </w:pPr>
            <w:r>
              <w:rPr>
                <w:rFonts w:ascii="Segoe UI Emoji" w:eastAsia="Arial" w:hAnsi="Segoe UI Emoji" w:cs="Segoe UI Emoji"/>
                <w:b/>
                <w:bCs/>
                <w:color w:val="375623"/>
              </w:rPr>
              <w:t>✅</w:t>
            </w:r>
            <w:r>
              <w:rPr>
                <w:rFonts w:ascii="Arial" w:eastAsia="Arial" w:hAnsi="Arial" w:cs="Arial"/>
                <w:b/>
                <w:bCs/>
                <w:color w:val="375623"/>
              </w:rPr>
              <w:t xml:space="preserve"> Your Answer</w:t>
            </w:r>
          </w:p>
          <w:p w14:paraId="00690C03" w14:textId="77777777" w:rsidR="009535BF" w:rsidRDefault="0004762A">
            <w:pPr>
              <w:spacing w:before="80" w:after="80"/>
            </w:pPr>
            <w:r>
              <w:rPr>
                <w:rFonts w:ascii="Arial" w:eastAsia="Arial" w:hAnsi="Arial" w:cs="Arial"/>
                <w:color w:val="000000"/>
              </w:rPr>
              <w:t>Because you do not migrate 29 or 35 vendors in a single year. The consolidation happens sequentially: high-value, easy-to-exit vendors go first in Year 1 (heaviest spend at 60%), remaining migrations and change management continue in Year 2 (28%), and Year 3 is tail cleanup and monitoring (12%). Putting all transition costs in Year 1 would overstate Year 1 cost and understate Years 2 and 3 — which distorts the true break-even and misrepresents the cash flow profile of the program.</w:t>
            </w:r>
          </w:p>
        </w:tc>
      </w:tr>
    </w:tbl>
    <w:p w14:paraId="1D60DC11"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1482A2A7" w14:textId="77777777">
        <w:tc>
          <w:tcPr>
            <w:tcW w:w="9360" w:type="dxa"/>
            <w:tcBorders>
              <w:top w:val="single" w:sz="6" w:space="0" w:color="2E75B6"/>
              <w:left w:val="single" w:sz="6" w:space="0" w:color="2E75B6"/>
              <w:bottom w:val="single" w:sz="1" w:space="0" w:color="D9D9D9"/>
              <w:right w:val="single" w:sz="1" w:space="0" w:color="D9D9D9"/>
            </w:tcBorders>
            <w:shd w:val="clear" w:color="auto" w:fill="EBF3FB"/>
            <w:tcMar>
              <w:top w:w="120" w:type="dxa"/>
              <w:left w:w="180" w:type="dxa"/>
              <w:bottom w:w="120" w:type="dxa"/>
              <w:right w:w="180" w:type="dxa"/>
            </w:tcMar>
          </w:tcPr>
          <w:p w14:paraId="27E72B34" w14:textId="5C36D5A5" w:rsidR="009535BF" w:rsidRDefault="00F67836">
            <w:pPr>
              <w:spacing w:before="80" w:after="60"/>
            </w:pPr>
            <w:r>
              <w:rPr>
                <w:rFonts w:ascii="Segoe UI Emoji" w:eastAsia="Arial" w:hAnsi="Segoe UI Emoji" w:cs="Segoe UI Emoji"/>
                <w:b/>
                <w:bCs/>
                <w:color w:val="1F3864"/>
              </w:rPr>
              <w:t>📋</w:t>
            </w:r>
            <w:r>
              <w:rPr>
                <w:rFonts w:ascii="Arial" w:eastAsia="Arial" w:hAnsi="Arial" w:cs="Arial"/>
                <w:b/>
                <w:bCs/>
                <w:color w:val="1F3864"/>
              </w:rPr>
              <w:t xml:space="preserve"> Q: ★ Why does Scenario B break even faster than Scenario C, even though C saves more?</w:t>
            </w:r>
          </w:p>
          <w:p w14:paraId="6A71381D" w14:textId="104E8D93" w:rsidR="009535BF" w:rsidRDefault="0004762A">
            <w:pPr>
              <w:spacing w:before="80" w:after="80"/>
            </w:pPr>
            <w:r>
              <w:rPr>
                <w:rFonts w:ascii="Arial" w:eastAsia="Arial" w:hAnsi="Arial" w:cs="Arial"/>
                <w:i/>
                <w:iCs/>
                <w:color w:val="595959"/>
                <w:sz w:val="19"/>
                <w:szCs w:val="19"/>
              </w:rPr>
              <w:t>This is the key question; it is why B is recommended over C.</w:t>
            </w:r>
          </w:p>
        </w:tc>
      </w:tr>
    </w:tbl>
    <w:p w14:paraId="72A6ACA4"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34CA8767" w14:textId="77777777">
        <w:tc>
          <w:tcPr>
            <w:tcW w:w="9360" w:type="dxa"/>
            <w:tcBorders>
              <w:top w:val="single" w:sz="6" w:space="0" w:color="375623"/>
              <w:left w:val="single" w:sz="6" w:space="0" w:color="375623"/>
              <w:bottom w:val="single" w:sz="1" w:space="0" w:color="D9D9D9"/>
              <w:right w:val="single" w:sz="1" w:space="0" w:color="D9D9D9"/>
            </w:tcBorders>
            <w:shd w:val="clear" w:color="auto" w:fill="F0F7EE"/>
            <w:tcMar>
              <w:top w:w="120" w:type="dxa"/>
              <w:left w:w="180" w:type="dxa"/>
              <w:bottom w:w="120" w:type="dxa"/>
              <w:right w:w="180" w:type="dxa"/>
            </w:tcMar>
          </w:tcPr>
          <w:p w14:paraId="7F3A16D2" w14:textId="31193BAC" w:rsidR="009535BF" w:rsidRDefault="00F67836">
            <w:pPr>
              <w:spacing w:before="80" w:after="80"/>
            </w:pPr>
            <w:r>
              <w:rPr>
                <w:rFonts w:ascii="Segoe UI Emoji" w:eastAsia="Arial" w:hAnsi="Segoe UI Emoji" w:cs="Segoe UI Emoji"/>
                <w:b/>
                <w:bCs/>
                <w:color w:val="375623"/>
              </w:rPr>
              <w:t>✅</w:t>
            </w:r>
            <w:r>
              <w:rPr>
                <w:rFonts w:ascii="Arial" w:eastAsia="Arial" w:hAnsi="Arial" w:cs="Arial"/>
                <w:b/>
                <w:bCs/>
                <w:color w:val="375623"/>
              </w:rPr>
              <w:t xml:space="preserve"> Your Answer</w:t>
            </w:r>
          </w:p>
          <w:p w14:paraId="728A713E" w14:textId="64068E6E" w:rsidR="009535BF" w:rsidRDefault="0004762A">
            <w:pPr>
              <w:spacing w:before="80" w:after="80"/>
            </w:pPr>
            <w:r>
              <w:rPr>
                <w:rFonts w:ascii="Arial" w:eastAsia="Arial" w:hAnsi="Arial" w:cs="Arial"/>
                <w:color w:val="000000"/>
              </w:rPr>
              <w:t>Scenario C generates $92M more in gross savings over three years but spends $16M more on transition costs to get there. That incremental $16M earns a 5.8x return, compared to 21.5x on Scenario B’s total investment. Scenario C’s Year 1 transition cost is $22.6M versus Scenario B’s $13M — so even though C’s Year 1 savings are higher, the net position in Year 1 is not as efficient.</w:t>
            </w:r>
          </w:p>
          <w:p w14:paraId="44275A93" w14:textId="77777777" w:rsidR="009535BF" w:rsidRDefault="0004762A">
            <w:pPr>
              <w:spacing w:before="80" w:after="80"/>
            </w:pPr>
            <w:r>
              <w:rPr>
                <w:rFonts w:ascii="Arial" w:eastAsia="Arial" w:hAnsi="Arial" w:cs="Arial"/>
                <w:color w:val="000000"/>
              </w:rPr>
              <w:t>Scenario B breaks even in 2 months and delivers a 21.5x ROI multiple. Scenario C breaks even in 3 months at 14.8x. Scenario B is recommended because it achieves the best return per dollar invested, not just the largest gross number. That is the distinction a CFO cares about.</w:t>
            </w:r>
          </w:p>
        </w:tc>
      </w:tr>
    </w:tbl>
    <w:p w14:paraId="5C2B0BC6"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5BA530E5" w14:textId="77777777">
        <w:tc>
          <w:tcPr>
            <w:tcW w:w="9360" w:type="dxa"/>
            <w:tcBorders>
              <w:top w:val="single" w:sz="6" w:space="0" w:color="2E75B6"/>
              <w:left w:val="single" w:sz="6" w:space="0" w:color="2E75B6"/>
              <w:bottom w:val="single" w:sz="1" w:space="0" w:color="D9D9D9"/>
              <w:right w:val="single" w:sz="1" w:space="0" w:color="D9D9D9"/>
            </w:tcBorders>
            <w:shd w:val="clear" w:color="auto" w:fill="EBF3FB"/>
            <w:tcMar>
              <w:top w:w="120" w:type="dxa"/>
              <w:left w:w="180" w:type="dxa"/>
              <w:bottom w:w="120" w:type="dxa"/>
              <w:right w:w="180" w:type="dxa"/>
            </w:tcMar>
          </w:tcPr>
          <w:p w14:paraId="7A6F8A03" w14:textId="4687A366" w:rsidR="009535BF" w:rsidRDefault="00F67836">
            <w:pPr>
              <w:spacing w:before="80" w:after="60"/>
            </w:pPr>
            <w:r>
              <w:rPr>
                <w:rFonts w:ascii="Segoe UI Emoji" w:eastAsia="Arial" w:hAnsi="Segoe UI Emoji" w:cs="Segoe UI Emoji"/>
                <w:b/>
                <w:bCs/>
                <w:color w:val="1F3864"/>
              </w:rPr>
              <w:t>📋</w:t>
            </w:r>
            <w:r>
              <w:rPr>
                <w:rFonts w:ascii="Arial" w:eastAsia="Arial" w:hAnsi="Arial" w:cs="Arial"/>
                <w:b/>
                <w:bCs/>
                <w:color w:val="1F3864"/>
              </w:rPr>
              <w:t xml:space="preserve"> Q: Why does the sensitivity table show $13–$66M when scenario savings are $142–$208M?</w:t>
            </w:r>
          </w:p>
          <w:p w14:paraId="240E8230" w14:textId="77777777" w:rsidR="009535BF" w:rsidRDefault="0004762A">
            <w:pPr>
              <w:spacing w:before="80" w:after="80"/>
            </w:pPr>
            <w:r>
              <w:rPr>
                <w:rFonts w:ascii="Arial" w:eastAsia="Arial" w:hAnsi="Arial" w:cs="Arial"/>
                <w:i/>
                <w:iCs/>
                <w:color w:val="595959"/>
                <w:sz w:val="19"/>
                <w:szCs w:val="19"/>
              </w:rPr>
              <w:t>This gap will confuse anyone who looks at both tabs.</w:t>
            </w:r>
          </w:p>
        </w:tc>
      </w:tr>
    </w:tbl>
    <w:p w14:paraId="6B51A9A4"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5A9F7A2A" w14:textId="77777777">
        <w:tc>
          <w:tcPr>
            <w:tcW w:w="9360" w:type="dxa"/>
            <w:tcBorders>
              <w:top w:val="single" w:sz="6" w:space="0" w:color="375623"/>
              <w:left w:val="single" w:sz="6" w:space="0" w:color="375623"/>
              <w:bottom w:val="single" w:sz="1" w:space="0" w:color="D9D9D9"/>
              <w:right w:val="single" w:sz="1" w:space="0" w:color="D9D9D9"/>
            </w:tcBorders>
            <w:shd w:val="clear" w:color="auto" w:fill="F0F7EE"/>
            <w:tcMar>
              <w:top w:w="120" w:type="dxa"/>
              <w:left w:w="180" w:type="dxa"/>
              <w:bottom w:w="120" w:type="dxa"/>
              <w:right w:w="180" w:type="dxa"/>
            </w:tcMar>
          </w:tcPr>
          <w:p w14:paraId="36E5DA5C" w14:textId="139B4D71" w:rsidR="009535BF" w:rsidRDefault="00F67836">
            <w:pPr>
              <w:spacing w:before="80" w:after="80"/>
            </w:pPr>
            <w:r>
              <w:rPr>
                <w:rFonts w:ascii="Segoe UI Emoji" w:eastAsia="Arial" w:hAnsi="Segoe UI Emoji" w:cs="Segoe UI Emoji"/>
                <w:b/>
                <w:bCs/>
                <w:color w:val="375623"/>
              </w:rPr>
              <w:t>✅</w:t>
            </w:r>
            <w:r>
              <w:rPr>
                <w:rFonts w:ascii="Arial" w:eastAsia="Arial" w:hAnsi="Arial" w:cs="Arial"/>
                <w:b/>
                <w:bCs/>
                <w:color w:val="375623"/>
              </w:rPr>
              <w:t xml:space="preserve"> Your Answer</w:t>
            </w:r>
          </w:p>
          <w:p w14:paraId="2AF6D6E9" w14:textId="5E56F212" w:rsidR="009535BF" w:rsidRDefault="0004762A">
            <w:pPr>
              <w:spacing w:before="80" w:after="80"/>
            </w:pPr>
            <w:r>
              <w:rPr>
                <w:rFonts w:ascii="Arial" w:eastAsia="Arial" w:hAnsi="Arial" w:cs="Arial"/>
                <w:color w:val="000000"/>
              </w:rPr>
              <w:t>The sensitivity table uses a simplified first-year approximation formula: Total Baseline × Vendor Reduction % × Discount Rate − Transition Cost. It answers the question: how sensitive is Year 1 direct savings outcome to changes in those two variables? The $142–$208M scenario figures are the full 3-year program value incorporating capture rate ramps, multi-year transition cost spreads, and compounding savings. The two tools answer different questions — sensitivity for variable stress-testing, scenarios for full program modeling.</w:t>
            </w:r>
          </w:p>
        </w:tc>
      </w:tr>
    </w:tbl>
    <w:p w14:paraId="2758E184"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5BD83535" w14:textId="77777777">
        <w:tc>
          <w:tcPr>
            <w:tcW w:w="9360" w:type="dxa"/>
            <w:tcBorders>
              <w:top w:val="single" w:sz="6" w:space="0" w:color="2E75B6"/>
              <w:left w:val="single" w:sz="6" w:space="0" w:color="2E75B6"/>
              <w:bottom w:val="single" w:sz="1" w:space="0" w:color="D9D9D9"/>
              <w:right w:val="single" w:sz="1" w:space="0" w:color="D9D9D9"/>
            </w:tcBorders>
            <w:shd w:val="clear" w:color="auto" w:fill="EBF3FB"/>
            <w:tcMar>
              <w:top w:w="120" w:type="dxa"/>
              <w:left w:w="180" w:type="dxa"/>
              <w:bottom w:w="120" w:type="dxa"/>
              <w:right w:w="180" w:type="dxa"/>
            </w:tcMar>
          </w:tcPr>
          <w:p w14:paraId="17D057FA" w14:textId="4BEB7DBB" w:rsidR="009535BF" w:rsidRDefault="00F67836">
            <w:pPr>
              <w:spacing w:before="80" w:after="60"/>
            </w:pPr>
            <w:r>
              <w:rPr>
                <w:rFonts w:ascii="Segoe UI Emoji" w:eastAsia="Arial" w:hAnsi="Segoe UI Emoji" w:cs="Segoe UI Emoji"/>
                <w:b/>
                <w:bCs/>
                <w:color w:val="1F3864"/>
              </w:rPr>
              <w:t>📋</w:t>
            </w:r>
            <w:r>
              <w:rPr>
                <w:rFonts w:ascii="Arial" w:eastAsia="Arial" w:hAnsi="Arial" w:cs="Arial"/>
                <w:b/>
                <w:bCs/>
                <w:color w:val="1F3864"/>
              </w:rPr>
              <w:t xml:space="preserve"> Q: Where do the variance rates in the actuals come from?</w:t>
            </w:r>
          </w:p>
          <w:p w14:paraId="2ECBCF30" w14:textId="77777777" w:rsidR="009535BF" w:rsidRDefault="0004762A">
            <w:pPr>
              <w:spacing w:before="80" w:after="80"/>
            </w:pPr>
            <w:r>
              <w:rPr>
                <w:rFonts w:ascii="Arial" w:eastAsia="Arial" w:hAnsi="Arial" w:cs="Arial"/>
                <w:i/>
                <w:iCs/>
                <w:color w:val="595959"/>
                <w:sz w:val="19"/>
                <w:szCs w:val="19"/>
              </w:rPr>
              <w:t>Finance stakeholders consistently ask this.</w:t>
            </w:r>
          </w:p>
        </w:tc>
      </w:tr>
    </w:tbl>
    <w:p w14:paraId="107E2B1E"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0F47EC04" w14:textId="77777777">
        <w:tc>
          <w:tcPr>
            <w:tcW w:w="9360" w:type="dxa"/>
            <w:tcBorders>
              <w:top w:val="single" w:sz="6" w:space="0" w:color="375623"/>
              <w:left w:val="single" w:sz="6" w:space="0" w:color="375623"/>
              <w:bottom w:val="single" w:sz="1" w:space="0" w:color="D9D9D9"/>
              <w:right w:val="single" w:sz="1" w:space="0" w:color="D9D9D9"/>
            </w:tcBorders>
            <w:shd w:val="clear" w:color="auto" w:fill="F0F7EE"/>
            <w:tcMar>
              <w:top w:w="120" w:type="dxa"/>
              <w:left w:w="180" w:type="dxa"/>
              <w:bottom w:w="120" w:type="dxa"/>
              <w:right w:w="180" w:type="dxa"/>
            </w:tcMar>
          </w:tcPr>
          <w:p w14:paraId="5348D0D9" w14:textId="276119B9" w:rsidR="009535BF" w:rsidRDefault="00F67836">
            <w:pPr>
              <w:spacing w:before="80" w:after="80"/>
            </w:pPr>
            <w:r>
              <w:rPr>
                <w:rFonts w:ascii="Segoe UI Emoji" w:eastAsia="Arial" w:hAnsi="Segoe UI Emoji" w:cs="Segoe UI Emoji"/>
                <w:b/>
                <w:bCs/>
                <w:color w:val="375623"/>
              </w:rPr>
              <w:t>✅</w:t>
            </w:r>
            <w:r>
              <w:rPr>
                <w:rFonts w:ascii="Arial" w:eastAsia="Arial" w:hAnsi="Arial" w:cs="Arial"/>
                <w:b/>
                <w:bCs/>
                <w:color w:val="375623"/>
              </w:rPr>
              <w:t xml:space="preserve"> Your Answer</w:t>
            </w:r>
          </w:p>
          <w:p w14:paraId="2B810274" w14:textId="77777777" w:rsidR="009535BF" w:rsidRDefault="0004762A">
            <w:pPr>
              <w:spacing w:before="80" w:after="80"/>
            </w:pPr>
            <w:r>
              <w:rPr>
                <w:rFonts w:ascii="Arial" w:eastAsia="Arial" w:hAnsi="Arial" w:cs="Arial"/>
                <w:color w:val="000000"/>
              </w:rPr>
              <w:t>In this demonstration model the variance rates are embedded as inputs because I do not have access to actual GL data — this is synthetic data illustrating the methodology. In production, actuals would be a direct pull from the source GL system with a reconciliation step confirming the sum of actuals matches the GL trial balance before any formula runs. The formula structure — Actual = Budget × (1 + Rate) — is correct. The difference in production is the rates come from the data, not the model builder.</w:t>
            </w:r>
          </w:p>
        </w:tc>
      </w:tr>
    </w:tbl>
    <w:p w14:paraId="25FC7689"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2A183FD2" w14:textId="77777777">
        <w:tc>
          <w:tcPr>
            <w:tcW w:w="9360" w:type="dxa"/>
            <w:tcBorders>
              <w:top w:val="single" w:sz="6" w:space="0" w:color="2E75B6"/>
              <w:left w:val="single" w:sz="6" w:space="0" w:color="2E75B6"/>
              <w:bottom w:val="single" w:sz="1" w:space="0" w:color="D9D9D9"/>
              <w:right w:val="single" w:sz="1" w:space="0" w:color="D9D9D9"/>
            </w:tcBorders>
            <w:shd w:val="clear" w:color="auto" w:fill="EBF3FB"/>
            <w:tcMar>
              <w:top w:w="120" w:type="dxa"/>
              <w:left w:w="180" w:type="dxa"/>
              <w:bottom w:w="120" w:type="dxa"/>
              <w:right w:w="180" w:type="dxa"/>
            </w:tcMar>
          </w:tcPr>
          <w:p w14:paraId="615C398A" w14:textId="1E282E30" w:rsidR="009535BF" w:rsidRDefault="00F67836">
            <w:pPr>
              <w:spacing w:before="80" w:after="80"/>
            </w:pPr>
            <w:r>
              <w:rPr>
                <w:rFonts w:ascii="Segoe UI Emoji" w:eastAsia="Arial" w:hAnsi="Segoe UI Emoji" w:cs="Segoe UI Emoji"/>
                <w:b/>
                <w:bCs/>
                <w:color w:val="1F3864"/>
              </w:rPr>
              <w:t>📋</w:t>
            </w:r>
            <w:r>
              <w:rPr>
                <w:rFonts w:ascii="Arial" w:eastAsia="Arial" w:hAnsi="Arial" w:cs="Arial"/>
                <w:b/>
                <w:bCs/>
                <w:color w:val="1F3864"/>
              </w:rPr>
              <w:t xml:space="preserve"> Q: Why not go with Scenario C since it delivers the most savings?</w:t>
            </w:r>
          </w:p>
        </w:tc>
      </w:tr>
    </w:tbl>
    <w:p w14:paraId="7F552936" w14:textId="77777777" w:rsidR="009535BF" w:rsidRDefault="009535B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35BF" w14:paraId="2E291CE1" w14:textId="77777777">
        <w:tc>
          <w:tcPr>
            <w:tcW w:w="9360" w:type="dxa"/>
            <w:tcBorders>
              <w:top w:val="single" w:sz="6" w:space="0" w:color="375623"/>
              <w:left w:val="single" w:sz="6" w:space="0" w:color="375623"/>
              <w:bottom w:val="single" w:sz="1" w:space="0" w:color="D9D9D9"/>
              <w:right w:val="single" w:sz="1" w:space="0" w:color="D9D9D9"/>
            </w:tcBorders>
            <w:shd w:val="clear" w:color="auto" w:fill="F0F7EE"/>
            <w:tcMar>
              <w:top w:w="120" w:type="dxa"/>
              <w:left w:w="180" w:type="dxa"/>
              <w:bottom w:w="120" w:type="dxa"/>
              <w:right w:w="180" w:type="dxa"/>
            </w:tcMar>
          </w:tcPr>
          <w:p w14:paraId="011AF93A" w14:textId="26E5DF18" w:rsidR="009535BF" w:rsidRDefault="00F67836">
            <w:pPr>
              <w:spacing w:before="80" w:after="80"/>
            </w:pPr>
            <w:r>
              <w:rPr>
                <w:rFonts w:ascii="Segoe UI Emoji" w:eastAsia="Arial" w:hAnsi="Segoe UI Emoji" w:cs="Segoe UI Emoji"/>
                <w:b/>
                <w:bCs/>
                <w:color w:val="375623"/>
              </w:rPr>
              <w:t>✅</w:t>
            </w:r>
            <w:r>
              <w:rPr>
                <w:rFonts w:ascii="Arial" w:eastAsia="Arial" w:hAnsi="Arial" w:cs="Arial"/>
                <w:b/>
                <w:bCs/>
                <w:color w:val="375623"/>
              </w:rPr>
              <w:t xml:space="preserve"> Your Answer</w:t>
            </w:r>
          </w:p>
          <w:p w14:paraId="02D7DC3F" w14:textId="77777777" w:rsidR="009535BF" w:rsidRDefault="0004762A">
            <w:pPr>
              <w:spacing w:before="80" w:after="80"/>
            </w:pPr>
            <w:r>
              <w:rPr>
                <w:rFonts w:ascii="Arial" w:eastAsia="Arial" w:hAnsi="Arial" w:cs="Arial"/>
                <w:color w:val="000000"/>
              </w:rPr>
              <w:t>Because Scenario C’s ROI multiple is 14.8x versus Scenario B’s 21.5x. The extra $92M in gross savings costs $16M more in transition investment. If the business has the program management capacity and risk appetite for the more aggressive consolidation, Scenario C is a viable choice — but the efficient recommendation is Scenario B because every dollar invested returns more. That is the conversation I would bring to the CFO: here is what the additional $16M buys you, and here is what the ROI comparison looks like. Then leadership decides.</w:t>
            </w:r>
          </w:p>
        </w:tc>
      </w:tr>
    </w:tbl>
    <w:p w14:paraId="5D3247C7" w14:textId="5BAC6DC4" w:rsidR="009535BF" w:rsidRDefault="0004762A" w:rsidP="00F67836">
      <w:r>
        <w:br/>
      </w:r>
      <w:r>
        <w:rPr>
          <w:rFonts w:ascii="Arial" w:eastAsia="Arial" w:hAnsi="Arial" w:cs="Arial"/>
          <w:b/>
          <w:bCs/>
          <w:color w:val="1F3864"/>
          <w:sz w:val="28"/>
          <w:szCs w:val="28"/>
        </w:rPr>
        <w:t>SECTION 6 — FIVE-STEP WALK-THROUGH SCRIPT</w:t>
      </w:r>
    </w:p>
    <w:p w14:paraId="6CF88D4F" w14:textId="77777777" w:rsidR="009535BF" w:rsidRDefault="0004762A">
      <w:pPr>
        <w:spacing w:before="80" w:after="80"/>
      </w:pPr>
      <w:r>
        <w:rPr>
          <w:rFonts w:ascii="Arial" w:eastAsia="Arial" w:hAnsi="Arial" w:cs="Arial"/>
          <w:i/>
          <w:iCs/>
          <w:color w:val="595959"/>
        </w:rPr>
        <w:t>Use this sequence to walk through the model from headline to detail. Two minutes, five steps.</w:t>
      </w:r>
    </w:p>
    <w:p w14:paraId="1651FEBF" w14:textId="77777777" w:rsidR="009535BF" w:rsidRDefault="009535BF">
      <w:pPr>
        <w:spacing w:before="80" w:after="80"/>
      </w:pPr>
    </w:p>
    <w:p w14:paraId="62A6A05A" w14:textId="77777777" w:rsidR="009535BF" w:rsidRDefault="0004762A">
      <w:pPr>
        <w:pStyle w:val="ListParagraph"/>
        <w:numPr>
          <w:ilvl w:val="0"/>
          <w:numId w:val="3"/>
        </w:numPr>
        <w:spacing w:before="80" w:after="80"/>
      </w:pPr>
      <w:r>
        <w:rPr>
          <w:rFonts w:ascii="Arial" w:eastAsia="Arial" w:hAnsi="Arial" w:cs="Arial"/>
          <w:b/>
          <w:bCs/>
          <w:color w:val="000000"/>
        </w:rPr>
        <w:t xml:space="preserve">Start on Executive Dashboard. </w:t>
      </w:r>
      <w:r>
        <w:rPr>
          <w:rFonts w:ascii="Arial" w:eastAsia="Arial" w:hAnsi="Arial" w:cs="Arial"/>
          <w:color w:val="000000"/>
        </w:rPr>
        <w:t>State the headline: $180.4M in identified savings, vendor count from 47 to 18, zero audit escalations, 150+ stakeholders unified. This is the C-suite view. One screen, outcome-first.</w:t>
      </w:r>
    </w:p>
    <w:p w14:paraId="2D629B07" w14:textId="571D6885" w:rsidR="009535BF" w:rsidRDefault="0004762A">
      <w:pPr>
        <w:pStyle w:val="ListParagraph"/>
        <w:numPr>
          <w:ilvl w:val="0"/>
          <w:numId w:val="3"/>
        </w:numPr>
        <w:spacing w:before="80" w:after="80"/>
      </w:pPr>
      <w:r>
        <w:rPr>
          <w:rFonts w:ascii="Arial" w:eastAsia="Arial" w:hAnsi="Arial" w:cs="Arial"/>
          <w:b/>
          <w:bCs/>
          <w:color w:val="000000"/>
        </w:rPr>
        <w:t xml:space="preserve">Navigate to a Variance Analysis tab. </w:t>
      </w:r>
      <w:r>
        <w:rPr>
          <w:rFonts w:ascii="Arial" w:eastAsia="Arial" w:hAnsi="Arial" w:cs="Arial"/>
          <w:color w:val="000000"/>
        </w:rPr>
        <w:t>Explain: budget is the approved annual plan; actuals are what was spent each month. Point to a large variance and explain what it signals operationally — a +9.5% overage on Vendor Licensing in January might indicate an unplanned contract renewal or pricing adjustment. This is the data discipline that makes the scenario model credible.</w:t>
      </w:r>
    </w:p>
    <w:p w14:paraId="3AE21876" w14:textId="77777777" w:rsidR="009535BF" w:rsidRDefault="0004762A">
      <w:pPr>
        <w:pStyle w:val="ListParagraph"/>
        <w:numPr>
          <w:ilvl w:val="0"/>
          <w:numId w:val="3"/>
        </w:numPr>
        <w:spacing w:before="80" w:after="80"/>
      </w:pPr>
      <w:r>
        <w:rPr>
          <w:rFonts w:ascii="Arial" w:eastAsia="Arial" w:hAnsi="Arial" w:cs="Arial"/>
          <w:b/>
          <w:bCs/>
          <w:color w:val="000000"/>
        </w:rPr>
        <w:t xml:space="preserve">Navigate to Consolidation Scenarios. </w:t>
      </w:r>
      <w:r>
        <w:rPr>
          <w:rFonts w:ascii="Arial" w:eastAsia="Arial" w:hAnsi="Arial" w:cs="Arial"/>
          <w:color w:val="000000"/>
        </w:rPr>
        <w:t>Walk through the three assumption blocks: shared Scenario B inputs, transition cost percentages per scenario (15/12/18%), and savings capture rates. Show the output table — specifically that Scenario B wins on both break-even (2 months) AND ROI multiple (21.5x), which is why it is recommended over C despite C having higher gross savings.</w:t>
      </w:r>
    </w:p>
    <w:p w14:paraId="0ED13432" w14:textId="77777777" w:rsidR="009535BF" w:rsidRDefault="0004762A">
      <w:pPr>
        <w:pStyle w:val="ListParagraph"/>
        <w:numPr>
          <w:ilvl w:val="0"/>
          <w:numId w:val="3"/>
        </w:numPr>
        <w:spacing w:before="80" w:after="80"/>
      </w:pPr>
      <w:r>
        <w:rPr>
          <w:rFonts w:ascii="Arial" w:eastAsia="Arial" w:hAnsi="Arial" w:cs="Arial"/>
          <w:b/>
          <w:bCs/>
          <w:color w:val="000000"/>
        </w:rPr>
        <w:lastRenderedPageBreak/>
        <w:t xml:space="preserve">Navigate to Sensitivity Model. </w:t>
      </w:r>
      <w:r>
        <w:rPr>
          <w:rFonts w:ascii="Arial" w:eastAsia="Arial" w:hAnsi="Arial" w:cs="Arial"/>
          <w:color w:val="000000"/>
        </w:rPr>
        <w:t>Show the two-variable table — vendor reduction % on rows, discount rate on columns. Every cell is a live formula. Change the transition cost on the Scenarios tab and the whole table updates. Point to the Scenario B cell (62% reduction, 18% discount). This is how you stress-test the recommendation before presenting to leadership.</w:t>
      </w:r>
    </w:p>
    <w:p w14:paraId="0ACC2707" w14:textId="77777777" w:rsidR="009535BF" w:rsidRDefault="0004762A">
      <w:pPr>
        <w:pStyle w:val="ListParagraph"/>
        <w:numPr>
          <w:ilvl w:val="0"/>
          <w:numId w:val="3"/>
        </w:numPr>
        <w:spacing w:before="80" w:after="80"/>
      </w:pPr>
      <w:r>
        <w:rPr>
          <w:rFonts w:ascii="Arial" w:eastAsia="Arial" w:hAnsi="Arial" w:cs="Arial"/>
          <w:b/>
          <w:bCs/>
          <w:color w:val="000000"/>
        </w:rPr>
        <w:t xml:space="preserve">Close the loop. </w:t>
      </w:r>
      <w:r>
        <w:rPr>
          <w:rFonts w:ascii="Arial" w:eastAsia="Arial" w:hAnsi="Arial" w:cs="Arial"/>
          <w:color w:val="000000"/>
        </w:rPr>
        <w:t>‘The models were built after the underlying data was governed. The outcome was credible because leadership trusted the data it was built on. Without the reconciliation work first, the models would have been challenged before anyone acted on them. That sequencing — govern the data, then model it — is the discipline I bring to every analytics engagement.’</w:t>
      </w:r>
    </w:p>
    <w:p w14:paraId="5501E83F" w14:textId="77777777" w:rsidR="009535BF" w:rsidRDefault="009535BF">
      <w:pPr>
        <w:pBdr>
          <w:top w:val="single" w:sz="2" w:space="4" w:color="D9D9D9"/>
        </w:pBdr>
        <w:spacing w:before="120" w:after="120"/>
      </w:pPr>
    </w:p>
    <w:p w14:paraId="45379546" w14:textId="77777777" w:rsidR="009535BF" w:rsidRDefault="0004762A">
      <w:pPr>
        <w:spacing w:before="200" w:after="80"/>
        <w:jc w:val="center"/>
        <w:rPr>
          <w:rFonts w:ascii="Arial" w:eastAsia="Arial" w:hAnsi="Arial" w:cs="Arial"/>
          <w:b/>
          <w:bCs/>
          <w:i/>
          <w:iCs/>
          <w:color w:val="1F3864"/>
        </w:rPr>
      </w:pPr>
      <w:r>
        <w:rPr>
          <w:rFonts w:ascii="Arial" w:eastAsia="Arial" w:hAnsi="Arial" w:cs="Arial"/>
          <w:b/>
          <w:bCs/>
          <w:i/>
          <w:iCs/>
          <w:color w:val="1F3864"/>
        </w:rPr>
        <w:t>While others build analytics — I make analytics dependable enough that leaders are willing to bet decisions on it.</w:t>
      </w:r>
    </w:p>
    <w:p w14:paraId="78F7A7F0" w14:textId="77777777" w:rsidR="00F67836" w:rsidRDefault="00F67836">
      <w:pPr>
        <w:spacing w:before="200" w:after="80"/>
        <w:jc w:val="center"/>
      </w:pPr>
    </w:p>
    <w:p w14:paraId="006676D9" w14:textId="4CA96F96" w:rsidR="009535BF" w:rsidRDefault="0004762A">
      <w:pPr>
        <w:spacing w:before="80" w:after="80"/>
        <w:jc w:val="center"/>
      </w:pPr>
      <w:r>
        <w:rPr>
          <w:rFonts w:ascii="Arial" w:eastAsia="Arial" w:hAnsi="Arial" w:cs="Arial"/>
          <w:color w:val="595959"/>
          <w:sz w:val="18"/>
          <w:szCs w:val="18"/>
        </w:rPr>
        <w:t>Christopher S. Girvin • (682) 395-2074 • cgirvin72@outlook.com</w:t>
      </w:r>
    </w:p>
    <w:p w14:paraId="75EA2331" w14:textId="516328D3" w:rsidR="009535BF" w:rsidRDefault="0004762A">
      <w:pPr>
        <w:spacing w:before="40" w:after="80"/>
        <w:jc w:val="center"/>
      </w:pPr>
      <w:r>
        <w:rPr>
          <w:rFonts w:ascii="Arial" w:eastAsia="Arial" w:hAnsi="Arial" w:cs="Arial"/>
          <w:color w:val="595959"/>
          <w:sz w:val="18"/>
          <w:szCs w:val="18"/>
        </w:rPr>
        <w:t>Vendor Consolidation Scenario Model — Walk-Through &amp; Methodology Guide</w:t>
      </w:r>
    </w:p>
    <w:sectPr w:rsidR="009535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39A0"/>
    <w:multiLevelType w:val="hybridMultilevel"/>
    <w:tmpl w:val="F9FE42B8"/>
    <w:lvl w:ilvl="0" w:tplc="0F36E76C">
      <w:start w:val="1"/>
      <w:numFmt w:val="decimal"/>
      <w:lvlText w:val="%1."/>
      <w:lvlJc w:val="left"/>
      <w:pPr>
        <w:ind w:left="540" w:hanging="300"/>
      </w:pPr>
    </w:lvl>
    <w:lvl w:ilvl="1" w:tplc="DC66F1E0">
      <w:numFmt w:val="decimal"/>
      <w:lvlText w:val=""/>
      <w:lvlJc w:val="left"/>
    </w:lvl>
    <w:lvl w:ilvl="2" w:tplc="E92E4296">
      <w:numFmt w:val="decimal"/>
      <w:lvlText w:val=""/>
      <w:lvlJc w:val="left"/>
    </w:lvl>
    <w:lvl w:ilvl="3" w:tplc="FD2AF5FA">
      <w:numFmt w:val="decimal"/>
      <w:lvlText w:val=""/>
      <w:lvlJc w:val="left"/>
    </w:lvl>
    <w:lvl w:ilvl="4" w:tplc="1B70F51A">
      <w:numFmt w:val="decimal"/>
      <w:lvlText w:val=""/>
      <w:lvlJc w:val="left"/>
    </w:lvl>
    <w:lvl w:ilvl="5" w:tplc="7AA0E508">
      <w:numFmt w:val="decimal"/>
      <w:lvlText w:val=""/>
      <w:lvlJc w:val="left"/>
    </w:lvl>
    <w:lvl w:ilvl="6" w:tplc="133A05A6">
      <w:numFmt w:val="decimal"/>
      <w:lvlText w:val=""/>
      <w:lvlJc w:val="left"/>
    </w:lvl>
    <w:lvl w:ilvl="7" w:tplc="30104084">
      <w:numFmt w:val="decimal"/>
      <w:lvlText w:val=""/>
      <w:lvlJc w:val="left"/>
    </w:lvl>
    <w:lvl w:ilvl="8" w:tplc="54EC561C">
      <w:numFmt w:val="decimal"/>
      <w:lvlText w:val=""/>
      <w:lvlJc w:val="left"/>
    </w:lvl>
  </w:abstractNum>
  <w:abstractNum w:abstractNumId="1" w15:restartNumberingAfterBreak="0">
    <w:nsid w:val="166F5502"/>
    <w:multiLevelType w:val="hybridMultilevel"/>
    <w:tmpl w:val="E36A1B54"/>
    <w:lvl w:ilvl="0" w:tplc="C22A7B8C">
      <w:start w:val="1"/>
      <w:numFmt w:val="bullet"/>
      <w:lvlText w:val="●"/>
      <w:lvlJc w:val="left"/>
      <w:pPr>
        <w:ind w:left="720" w:hanging="360"/>
      </w:pPr>
    </w:lvl>
    <w:lvl w:ilvl="1" w:tplc="399692E4">
      <w:start w:val="1"/>
      <w:numFmt w:val="bullet"/>
      <w:lvlText w:val="○"/>
      <w:lvlJc w:val="left"/>
      <w:pPr>
        <w:ind w:left="1440" w:hanging="360"/>
      </w:pPr>
    </w:lvl>
    <w:lvl w:ilvl="2" w:tplc="C8F272B8">
      <w:start w:val="1"/>
      <w:numFmt w:val="bullet"/>
      <w:lvlText w:val="■"/>
      <w:lvlJc w:val="left"/>
      <w:pPr>
        <w:ind w:left="2160" w:hanging="360"/>
      </w:pPr>
    </w:lvl>
    <w:lvl w:ilvl="3" w:tplc="8CAE5A10">
      <w:start w:val="1"/>
      <w:numFmt w:val="bullet"/>
      <w:lvlText w:val="●"/>
      <w:lvlJc w:val="left"/>
      <w:pPr>
        <w:ind w:left="2880" w:hanging="360"/>
      </w:pPr>
    </w:lvl>
    <w:lvl w:ilvl="4" w:tplc="6C22F4E6">
      <w:start w:val="1"/>
      <w:numFmt w:val="bullet"/>
      <w:lvlText w:val="○"/>
      <w:lvlJc w:val="left"/>
      <w:pPr>
        <w:ind w:left="3600" w:hanging="360"/>
      </w:pPr>
    </w:lvl>
    <w:lvl w:ilvl="5" w:tplc="C9F8CC62">
      <w:start w:val="1"/>
      <w:numFmt w:val="bullet"/>
      <w:lvlText w:val="■"/>
      <w:lvlJc w:val="left"/>
      <w:pPr>
        <w:ind w:left="4320" w:hanging="360"/>
      </w:pPr>
    </w:lvl>
    <w:lvl w:ilvl="6" w:tplc="5ED48684">
      <w:start w:val="1"/>
      <w:numFmt w:val="bullet"/>
      <w:lvlText w:val="●"/>
      <w:lvlJc w:val="left"/>
      <w:pPr>
        <w:ind w:left="5040" w:hanging="360"/>
      </w:pPr>
    </w:lvl>
    <w:lvl w:ilvl="7" w:tplc="ECB2E8D4">
      <w:start w:val="1"/>
      <w:numFmt w:val="bullet"/>
      <w:lvlText w:val="●"/>
      <w:lvlJc w:val="left"/>
      <w:pPr>
        <w:ind w:left="5760" w:hanging="360"/>
      </w:pPr>
    </w:lvl>
    <w:lvl w:ilvl="8" w:tplc="9E221E54">
      <w:start w:val="1"/>
      <w:numFmt w:val="bullet"/>
      <w:lvlText w:val="●"/>
      <w:lvlJc w:val="left"/>
      <w:pPr>
        <w:ind w:left="6480" w:hanging="360"/>
      </w:pPr>
    </w:lvl>
  </w:abstractNum>
  <w:abstractNum w:abstractNumId="2" w15:restartNumberingAfterBreak="0">
    <w:nsid w:val="556413A5"/>
    <w:multiLevelType w:val="hybridMultilevel"/>
    <w:tmpl w:val="979A6E40"/>
    <w:lvl w:ilvl="0" w:tplc="0F268786">
      <w:start w:val="1"/>
      <w:numFmt w:val="bullet"/>
      <w:lvlText w:val="•"/>
      <w:lvlJc w:val="left"/>
      <w:pPr>
        <w:ind w:left="540" w:hanging="300"/>
      </w:pPr>
    </w:lvl>
    <w:lvl w:ilvl="1" w:tplc="991AF896">
      <w:numFmt w:val="decimal"/>
      <w:lvlText w:val=""/>
      <w:lvlJc w:val="left"/>
    </w:lvl>
    <w:lvl w:ilvl="2" w:tplc="4C34E9A8">
      <w:numFmt w:val="decimal"/>
      <w:lvlText w:val=""/>
      <w:lvlJc w:val="left"/>
    </w:lvl>
    <w:lvl w:ilvl="3" w:tplc="600E7786">
      <w:numFmt w:val="decimal"/>
      <w:lvlText w:val=""/>
      <w:lvlJc w:val="left"/>
    </w:lvl>
    <w:lvl w:ilvl="4" w:tplc="C0120D36">
      <w:numFmt w:val="decimal"/>
      <w:lvlText w:val=""/>
      <w:lvlJc w:val="left"/>
    </w:lvl>
    <w:lvl w:ilvl="5" w:tplc="1F9ADEC4">
      <w:numFmt w:val="decimal"/>
      <w:lvlText w:val=""/>
      <w:lvlJc w:val="left"/>
    </w:lvl>
    <w:lvl w:ilvl="6" w:tplc="C9901C42">
      <w:numFmt w:val="decimal"/>
      <w:lvlText w:val=""/>
      <w:lvlJc w:val="left"/>
    </w:lvl>
    <w:lvl w:ilvl="7" w:tplc="61C67368">
      <w:numFmt w:val="decimal"/>
      <w:lvlText w:val=""/>
      <w:lvlJc w:val="left"/>
    </w:lvl>
    <w:lvl w:ilvl="8" w:tplc="C7885022">
      <w:numFmt w:val="decimal"/>
      <w:lvlText w:val=""/>
      <w:lvlJc w:val="left"/>
    </w:lvl>
  </w:abstractNum>
  <w:num w:numId="1" w16cid:durableId="112597179">
    <w:abstractNumId w:val="1"/>
    <w:lvlOverride w:ilvl="0">
      <w:startOverride w:val="1"/>
    </w:lvlOverride>
  </w:num>
  <w:num w:numId="2" w16cid:durableId="1967615458">
    <w:abstractNumId w:val="2"/>
    <w:lvlOverride w:ilvl="0">
      <w:startOverride w:val="1"/>
    </w:lvlOverride>
  </w:num>
  <w:num w:numId="3" w16cid:durableId="395251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5BF"/>
    <w:rsid w:val="0004762A"/>
    <w:rsid w:val="008E1CCE"/>
    <w:rsid w:val="009535BF"/>
    <w:rsid w:val="00AB6E5A"/>
    <w:rsid w:val="00C233F5"/>
    <w:rsid w:val="00CD3ACD"/>
    <w:rsid w:val="00E40FB7"/>
    <w:rsid w:val="00F67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A6CAC"/>
  <w15:docId w15:val="{56CC7234-7251-405E-A7E6-2351AE41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2475</Words>
  <Characters>14113</Characters>
  <Application>Microsoft Office Word</Application>
  <DocSecurity>0</DocSecurity>
  <Lines>117</Lines>
  <Paragraphs>33</Paragraphs>
  <ScaleCrop>false</ScaleCrop>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Girvin</cp:lastModifiedBy>
  <cp:revision>2</cp:revision>
  <dcterms:created xsi:type="dcterms:W3CDTF">2026-06-24T14:25:00Z</dcterms:created>
  <dcterms:modified xsi:type="dcterms:W3CDTF">2026-06-24T14:25:00Z</dcterms:modified>
</cp:coreProperties>
</file>