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Metric Reconciliation</w:t>
      </w:r>
    </w:p>
    <w:p>
      <w:pPr>
        <w:spacing w:after="120"/>
      </w:pPr>
      <w:r>
        <w:rPr>
          <w:rFonts w:ascii="Calibri" w:cs="Calibri" w:eastAsia="Calibri" w:hAnsi="Calibri"/>
          <w:color w:val="2E75B6"/>
          <w:sz w:val="24"/>
          <w:szCs w:val="24"/>
        </w:rPr>
        <w:t xml:space="preserve">Validating the Reporting Layer by Building a Second One</w:t>
      </w:r>
    </w:p>
    <w:p>
      <w:pPr>
        <w:pBdr>
          <w:bottom w:val="single" w:color="1F3864" w:sz="12" w:space="8"/>
        </w:pBdr>
        <w:spacing w:after="260"/>
      </w:pPr>
      <w:r>
        <w:rPr>
          <w:rFonts w:ascii="Calibri" w:cs="Calibri" w:eastAsia="Calibri" w:hAnsi="Calibri"/>
          <w:i/>
          <w:iCs/>
          <w:color w:val="475569"/>
          <w:sz w:val="18"/>
          <w:szCs w:val="18"/>
        </w:rPr>
        <w:t xml:space="preserve">Call Center Reporting Consolidation  |  Chris Girvin  |  August 2026</w:t>
      </w:r>
    </w:p>
    <w:p>
      <w:pPr>
        <w:pStyle w:val="Heading1"/>
        <w:pBdr>
          <w:bottom w:val="single" w:color="2E75B6" w:sz="8" w:space="6"/>
        </w:pBdr>
        <w:spacing w:after="160" w:before="360"/>
      </w:pPr>
      <w:r>
        <w:rPr>
          <w:rFonts w:ascii="Calibri" w:cs="Calibri" w:eastAsia="Calibri" w:hAnsi="Calibri"/>
          <w:b/>
          <w:bCs/>
          <w:color w:val="1F3864"/>
          <w:sz w:val="30"/>
          <w:szCs w:val="30"/>
        </w:rPr>
        <w:t xml:space="preserve">Why This Exists</w:t>
      </w:r>
    </w:p>
    <w:p>
      <w:pPr>
        <w:spacing w:after="140" w:line="276"/>
      </w:pPr>
      <w:r>
        <w:rPr>
          <w:rFonts w:ascii="Calibri" w:cs="Calibri" w:eastAsia="Calibri" w:hAnsi="Calibri"/>
          <w:color w:val="1E293B"/>
          <w:sz w:val="21"/>
          <w:szCs w:val="21"/>
        </w:rPr>
        <w:t xml:space="preserve">The pipeline in this repository was validated before anyone trusted it. The Python ETL implemented the "keep the most recent version" rule in plain Python, the SQL Server window functions implemented the same rule independently, and the two were compared against the same synthetic dataset. They produced identical counts. That agreement is what made the deduplication safe to rely on.</w:t>
      </w:r>
    </w:p>
    <w:p>
      <w:pPr>
        <w:spacing w:after="140" w:line="276"/>
      </w:pPr>
      <w:r>
        <w:rPr>
          <w:rFonts w:ascii="Calibri" w:cs="Calibri" w:eastAsia="Calibri" w:hAnsi="Calibri"/>
          <w:color w:val="1E293B"/>
          <w:sz w:val="21"/>
          <w:szCs w:val="21"/>
        </w:rPr>
        <w:t xml:space="preserve">The reporting layer never got that treatment. There was only one consumption layer, so there was nothing to check it against. Every metric definition, average handle time, resolution rate, rank within team, existed in exactly one place and was correct by assertion.</w:t>
      </w:r>
    </w:p>
    <w:p>
      <w:pPr>
        <w:spacing w:after="140" w:line="276"/>
      </w:pPr>
      <w:r>
        <w:rPr>
          <w:rFonts w:ascii="Calibri" w:cs="Calibri" w:eastAsia="Calibri" w:hAnsi="Calibri"/>
          <w:color w:val="1E293B"/>
          <w:sz w:val="21"/>
          <w:szCs w:val="21"/>
        </w:rPr>
        <w:t xml:space="preserve">So I built a second consumption layer in Power BI, against the same governed model, and reconciled it against the first.</w:t>
      </w:r>
    </w:p>
    <w:p>
      <w:pPr>
        <w:spacing w:after="140" w:line="276"/>
      </w:pPr>
      <w:r>
        <w:rPr>
          <w:rFonts w:ascii="Calibri" w:cs="Calibri" w:eastAsia="Calibri" w:hAnsi="Calibri"/>
          <w:color w:val="1E293B"/>
          <w:sz w:val="21"/>
          <w:szCs w:val="21"/>
        </w:rPr>
        <w:t xml:space="preserve">The dashboards are a side effect. The reconciliation is the point.</w:t>
      </w:r>
    </w:p>
    <w:p>
      <w:pPr>
        <w:pBdr>
          <w:left w:val="single" w:color="B91C1C" w:sz="18" w:space="10"/>
        </w:pBdr>
        <w:shd w:fill="F1F5F9" w:val="clear"/>
        <w:spacing w:after="180" w:before="140" w:line="276"/>
        <w:ind w:left="180" w:right="180"/>
      </w:pPr>
      <w:r>
        <w:rPr>
          <w:rFonts w:ascii="Calibri" w:cs="Calibri" w:eastAsia="Calibri" w:hAnsi="Calibri"/>
          <w:color w:val="1E293B"/>
          <w:sz w:val="21"/>
          <w:szCs w:val="21"/>
        </w:rPr>
        <w:t xml:space="preserve">It found four defects. All four are in the reporting layer. None are in the pipeline.</w:t>
      </w:r>
    </w:p>
    <w:p>
      <w:pPr>
        <w:pStyle w:val="Heading1"/>
        <w:pBdr>
          <w:bottom w:val="single" w:color="2E75B6" w:sz="8" w:space="6"/>
        </w:pBdr>
        <w:spacing w:after="160" w:before="360"/>
      </w:pPr>
      <w:r>
        <w:rPr>
          <w:rFonts w:ascii="Calibri" w:cs="Calibri" w:eastAsia="Calibri" w:hAnsi="Calibri"/>
          <w:b/>
          <w:bCs/>
          <w:color w:val="1F3864"/>
          <w:sz w:val="30"/>
          <w:szCs w:val="30"/>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340"/>
        <w:gridCol w:w="3100"/>
        <w:gridCol w:w="2400"/>
      </w:tblGrid>
      <w:tr>
        <w:trPr>
          <w:tblHeader/>
        </w:trPr>
        <w:tc>
          <w:tcPr>
            <w:tcW w:type="dxa" w:w="52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334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Finding</w:t>
            </w:r>
          </w:p>
        </w:tc>
        <w:tc>
          <w:tcPr>
            <w:tcW w:type="dxa" w:w="31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c>
          <w:tcPr>
            <w:tcW w:type="dxa" w:w="24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Exposure</w:t>
            </w:r>
          </w:p>
        </w:tc>
      </w:tr>
      <w:tr>
        <w:tc>
          <w:tcPr>
            <w:tcW w:type="dxa" w:w="52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1</w:t>
            </w:r>
          </w:p>
        </w:tc>
        <w:tc>
          <w:tcPr>
            <w:tcW w:type="dxa" w:w="334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Average handle time is computed two different ways</w:t>
            </w:r>
          </w:p>
        </w:tc>
        <w:tc>
          <w:tcPr>
            <w:tcW w:type="dxa" w:w="31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Two published numbers for one metric</w:t>
            </w:r>
          </w:p>
        </w:tc>
        <w:tc>
          <w:tcPr>
            <w:tcW w:type="dxa" w:w="24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97% of agent-days</w:t>
            </w:r>
          </w:p>
        </w:tc>
      </w:tr>
      <w:tr>
        <w:tc>
          <w:tcPr>
            <w:tcW w:type="dxa" w:w="52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2</w:t>
            </w:r>
          </w:p>
        </w:tc>
        <w:tc>
          <w:tcPr>
            <w:tcW w:type="dxa" w:w="334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The "7-day rolling average" does not cover seven days</w:t>
            </w:r>
          </w:p>
        </w:tc>
        <w:tc>
          <w:tcPr>
            <w:tcW w:type="dxa" w:w="31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Metric name does not match the calculation</w:t>
            </w:r>
          </w:p>
        </w:tc>
        <w:tc>
          <w:tcPr>
            <w:tcW w:type="dxa" w:w="24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100% of week-two agent-days</w:t>
            </w:r>
          </w:p>
        </w:tc>
      </w:tr>
      <w:tr>
        <w:tc>
          <w:tcPr>
            <w:tcW w:type="dxa" w:w="52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3</w:t>
            </w:r>
          </w:p>
        </w:tc>
        <w:tc>
          <w:tcPr>
            <w:tcW w:type="dxa" w:w="334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Tableau and SQL rank agents with different functions</w:t>
            </w:r>
          </w:p>
        </w:tc>
        <w:tc>
          <w:tcPr>
            <w:tcW w:type="dxa" w:w="31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Two layers already disagree today</w:t>
            </w:r>
          </w:p>
        </w:tc>
        <w:tc>
          <w:tcPr>
            <w:tcW w:type="dxa" w:w="24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58% of agent-days</w:t>
            </w:r>
          </w:p>
        </w:tc>
      </w:tr>
      <w:tr>
        <w:tc>
          <w:tcPr>
            <w:tcW w:type="dxa" w:w="52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4</w:t>
            </w:r>
          </w:p>
        </w:tc>
        <w:tc>
          <w:tcPr>
            <w:tcW w:type="dxa" w:w="334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"Agents Affected" counts a nullable label, not the key</w:t>
            </w:r>
          </w:p>
        </w:tc>
        <w:tc>
          <w:tcPr>
            <w:tcW w:type="dxa" w:w="31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Metric reads zero during the incident it measures</w:t>
            </w:r>
          </w:p>
        </w:tc>
        <w:tc>
          <w:tcPr>
            <w:tcW w:type="dxa" w:w="24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4 agents, 1,100 calls</w:t>
            </w:r>
          </w:p>
        </w:tc>
      </w:tr>
    </w:tbl>
    <w:p>
      <w:pPr>
        <w:spacing w:after="60" w:line="276"/>
      </w:pPr>
      <w:r>
        <w:rPr>
          <w:rFonts w:ascii="Calibri" w:cs="Calibri" w:eastAsia="Calibri" w:hAnsi="Calibri"/>
          <w:color w:val="1E293B"/>
          <w:sz w:val="21"/>
          <w:szCs w:val="21"/>
        </w:rPr>
        <w:t xml:space="preserve">Findings 3 and 4 are disagreements between Tableau and SQL that existed before Power BI was introduced. They were invisible because nothing was comparing the two.</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Finding 1 — Average Handle Time Has Two Definitions</w:t>
      </w:r>
    </w:p>
    <w:p>
      <w:pPr>
        <w:spacing w:after="140" w:line="276"/>
      </w:pPr>
      <w:r>
        <w:rPr>
          <w:rFonts w:ascii="Consolas" w:cs="Consolas" w:eastAsia="Consolas" w:hAnsi="Consolas"/>
          <w:color w:val="1F3864"/>
          <w:sz w:val="20"/>
          <w:szCs w:val="20"/>
        </w:rPr>
        <w:t xml:space="preserve">duration_sec</w:t>
      </w:r>
      <w:r>
        <w:rPr>
          <w:rFonts w:ascii="Calibri" w:cs="Calibri" w:eastAsia="Calibri" w:hAnsi="Calibri"/>
          <w:color w:val="1E293B"/>
          <w:sz w:val="21"/>
          <w:szCs w:val="21"/>
        </w:rPr>
        <w:t xml:space="preserve"> is declared </w:t>
      </w:r>
      <w:r>
        <w:rPr>
          <w:rFonts w:ascii="Consolas" w:cs="Consolas" w:eastAsia="Consolas" w:hAnsi="Consolas"/>
          <w:color w:val="1F3864"/>
          <w:sz w:val="20"/>
          <w:szCs w:val="20"/>
        </w:rPr>
        <w:t xml:space="preserve">INT</w:t>
      </w:r>
      <w:r>
        <w:rPr>
          <w:rFonts w:ascii="Calibri" w:cs="Calibri" w:eastAsia="Calibri" w:hAnsi="Calibri"/>
          <w:color w:val="1E293B"/>
          <w:sz w:val="21"/>
          <w:szCs w:val="21"/>
        </w:rPr>
        <w:t xml:space="preserve"> in </w:t>
      </w:r>
      <w:r>
        <w:rPr>
          <w:rFonts w:ascii="Consolas" w:cs="Consolas" w:eastAsia="Consolas" w:hAnsi="Consolas"/>
          <w:color w:val="1F3864"/>
          <w:sz w:val="20"/>
          <w:szCs w:val="20"/>
        </w:rPr>
        <w:t xml:space="preserve">01_schema.sql</w:t>
      </w:r>
      <w:r>
        <w:rPr>
          <w:rFonts w:ascii="Calibri" w:cs="Calibri" w:eastAsia="Calibri" w:hAnsi="Calibri"/>
          <w:color w:val="1E293B"/>
          <w:sz w:val="21"/>
          <w:szCs w:val="21"/>
        </w:rPr>
        <w:t xml:space="preserve">. SQL Server's </w:t>
      </w:r>
      <w:r>
        <w:rPr>
          <w:rFonts w:ascii="Consolas" w:cs="Consolas" w:eastAsia="Consolas" w:hAnsi="Consolas"/>
          <w:color w:val="1F3864"/>
          <w:sz w:val="20"/>
          <w:szCs w:val="20"/>
        </w:rPr>
        <w:t xml:space="preserve">AVG</w:t>
      </w:r>
      <w:r>
        <w:rPr>
          <w:rFonts w:ascii="Calibri" w:cs="Calibri" w:eastAsia="Calibri" w:hAnsi="Calibri"/>
          <w:color w:val="1E293B"/>
          <w:sz w:val="21"/>
          <w:szCs w:val="21"/>
        </w:rPr>
        <w:t xml:space="preserve"> returns the data type of its input, so an average over an integer column performs integer division and truncates.</w:t>
      </w:r>
    </w:p>
    <w:p>
      <w:pPr>
        <w:pBdr>
          <w:top w:val="single" w:color="E2E8F0" w:sz="2" w:space="4"/>
          <w:left w:val="single" w:color="2E75B6" w:sz="12" w:space="8"/>
        </w:pBdr>
        <w:shd w:fill="F8FAFC" w:val="clear"/>
        <w:spacing w:after="0" w:before="100" w:line="240"/>
        <w:ind w:left="220" w:right="220"/>
      </w:pPr>
      <w:r>
        <w:rPr>
          <w:rFonts w:ascii="Consolas" w:cs="Consolas" w:eastAsia="Consolas" w:hAnsi="Consolas"/>
          <w:color w:val="0F172A"/>
          <w:sz w:val="17"/>
          <w:szCs w:val="17"/>
        </w:rPr>
        <w:t xml:space="preserve">-- 02_dedup_and_aggregation.sql, queries B1 and B3</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AVG(fc.duration_sec)                    -- returns 247</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-- 03_views_for_tableau.sql</w:t>
      </w:r>
    </w:p>
    <w:p>
      <w:pPr>
        <w:pBdr>
          <w:bottom w:val="single" w:color="E2E8F0" w:sz="2" w:space="4"/>
          <w:left w:val="single" w:color="2E75B6" w:sz="12" w:space="8"/>
        </w:pBdr>
        <w:shd w:fill="F8FAFC" w:val="clear"/>
        <w:spacing w:after="160" w:before="0" w:line="240"/>
        <w:ind w:left="220" w:right="220"/>
      </w:pPr>
      <w:r>
        <w:rPr>
          <w:rFonts w:ascii="Consolas" w:cs="Consolas" w:eastAsia="Consolas" w:hAnsi="Consolas"/>
          <w:color w:val="0F172A"/>
          <w:sz w:val="17"/>
          <w:szCs w:val="17"/>
        </w:rPr>
        <w:t xml:space="preserve">AVG(CAST(fc.duration_sec AS FLOAT))     -- returns 247.8</w:t>
      </w:r>
    </w:p>
    <w:p>
      <w:pPr>
        <w:spacing w:after="140" w:line="276"/>
      </w:pPr>
      <w:r>
        <w:rPr>
          <w:rFonts w:ascii="Calibri" w:cs="Calibri" w:eastAsia="Calibri" w:hAnsi="Calibri"/>
          <w:color w:val="1E293B"/>
          <w:sz w:val="21"/>
          <w:szCs w:val="21"/>
        </w:rPr>
        <w:t xml:space="preserve">Same metric, same data, two answers depending on which file someone ran.</w:t>
      </w:r>
    </w:p>
    <w:p>
      <w:pPr>
        <w:spacing w:after="140" w:line="276"/>
      </w:pPr>
      <w:r>
        <w:rPr>
          <w:rFonts w:ascii="Calibri" w:cs="Calibri" w:eastAsia="Calibri" w:hAnsi="Calibri"/>
          <w:b/>
          <w:bCs/>
          <w:color w:val="1E293B"/>
          <w:sz w:val="21"/>
          <w:szCs w:val="21"/>
        </w:rPr>
        <w:t xml:space="preserve">Exposure:</w:t>
      </w:r>
      <w:r>
        <w:rPr>
          <w:rFonts w:ascii="Calibri" w:cs="Calibri" w:eastAsia="Calibri" w:hAnsi="Calibri"/>
          <w:color w:val="1E293B"/>
          <w:sz w:val="21"/>
          <w:szCs w:val="21"/>
        </w:rPr>
        <w:t xml:space="preserve"> 929 of 961 agent-days, or 97%, return a different value between the two. At the grand-total level the true mean is 306.4224 seconds and the truncated version reports 306.</w:t>
      </w:r>
    </w:p>
    <w:p>
      <w:pPr>
        <w:pStyle w:val="Heading3"/>
        <w:spacing w:after="100" w:before="200"/>
      </w:pPr>
      <w:r>
        <w:rPr>
          <w:rFonts w:ascii="Calibri" w:cs="Calibri" w:eastAsia="Calibri" w:hAnsi="Calibri"/>
          <w:b/>
          <w:bCs/>
          <w:color w:val="2E75B6"/>
          <w:sz w:val="21"/>
          <w:szCs w:val="21"/>
        </w:rPr>
        <w:t xml:space="preserve">Why the decimal is not the problem</w:t>
      </w:r>
    </w:p>
    <w:p>
      <w:pPr>
        <w:spacing w:after="140" w:line="276"/>
      </w:pPr>
      <w:r>
        <w:rPr>
          <w:rFonts w:ascii="Calibri" w:cs="Calibri" w:eastAsia="Calibri" w:hAnsi="Calibri"/>
          <w:color w:val="1E293B"/>
          <w:sz w:val="21"/>
          <w:szCs w:val="21"/>
        </w:rPr>
        <w:t xml:space="preserve">Query B1 ranks agents on the truncated value:</w:t>
      </w:r>
    </w:p>
    <w:p>
      <w:pPr>
        <w:pBdr>
          <w:top w:val="single" w:color="E2E8F0" w:sz="2" w:space="4"/>
          <w:bottom w:val="single" w:color="E2E8F0" w:sz="2" w:space="4"/>
          <w:left w:val="single" w:color="2E75B6" w:sz="12" w:space="8"/>
        </w:pBdr>
        <w:shd w:fill="F8FAFC" w:val="clear"/>
        <w:spacing w:after="160" w:before="100" w:line="240"/>
        <w:ind w:left="220" w:right="220"/>
      </w:pPr>
      <w:r>
        <w:rPr>
          <w:rFonts w:ascii="Consolas" w:cs="Consolas" w:eastAsia="Consolas" w:hAnsi="Consolas"/>
          <w:color w:val="0F172A"/>
          <w:sz w:val="17"/>
          <w:szCs w:val="17"/>
        </w:rPr>
        <w:t xml:space="preserve">RANK() OVER (... ORDER BY AVG(fc.duration_sec) ASC) AS rank_within_team_by_speed</w:t>
      </w:r>
    </w:p>
    <w:p>
      <w:pPr>
        <w:spacing w:after="140" w:line="276"/>
      </w:pPr>
      <w:r>
        <w:rPr>
          <w:rFonts w:ascii="Calibri" w:cs="Calibri" w:eastAsia="Calibri" w:hAnsi="Calibri"/>
          <w:color w:val="1E293B"/>
          <w:sz w:val="21"/>
          <w:szCs w:val="21"/>
        </w:rPr>
        <w:t xml:space="preserve">Two agents at 247.2 and 247.8 seconds both truncate to 247 and tie. On their real numbers, one of them is measurably faster than the other. A supervisor reads that rank and starts a coaching conversation based on a rounding artifact.</w:t>
      </w:r>
    </w:p>
    <w:p>
      <w:pPr>
        <w:pStyle w:val="Heading3"/>
        <w:spacing w:after="100" w:before="200"/>
      </w:pPr>
      <w:r>
        <w:rPr>
          <w:rFonts w:ascii="Calibri" w:cs="Calibri" w:eastAsia="Calibri" w:hAnsi="Calibri"/>
          <w:b/>
          <w:bCs/>
          <w:color w:val="2E75B6"/>
          <w:sz w:val="21"/>
          <w:szCs w:val="21"/>
        </w:rPr>
        <w:t xml:space="preserve">Resolution</w:t>
      </w:r>
    </w:p>
    <w:p>
      <w:pPr>
        <w:spacing w:after="140" w:line="276"/>
      </w:pPr>
      <w:r>
        <w:rPr>
          <w:rFonts w:ascii="Calibri" w:cs="Calibri" w:eastAsia="Calibri" w:hAnsi="Calibri"/>
          <w:color w:val="1E293B"/>
          <w:sz w:val="21"/>
          <w:szCs w:val="21"/>
        </w:rPr>
        <w:t xml:space="preserve">The </w:t>
      </w:r>
      <w:r>
        <w:rPr>
          <w:rFonts w:ascii="Consolas" w:cs="Consolas" w:eastAsia="Consolas" w:hAnsi="Consolas"/>
          <w:color w:val="1F3864"/>
          <w:sz w:val="20"/>
          <w:szCs w:val="20"/>
        </w:rPr>
        <w:t xml:space="preserve">FLOAT</w:t>
      </w:r>
      <w:r>
        <w:rPr>
          <w:rFonts w:ascii="Calibri" w:cs="Calibri" w:eastAsia="Calibri" w:hAnsi="Calibri"/>
          <w:color w:val="1E293B"/>
          <w:sz w:val="21"/>
          <w:szCs w:val="21"/>
        </w:rPr>
        <w:t xml:space="preserve"> cast in the views is authoritative. Tableau computes </w:t>
      </w:r>
      <w:r>
        <w:rPr>
          <w:rFonts w:ascii="Consolas" w:cs="Consolas" w:eastAsia="Consolas" w:hAnsi="Consolas"/>
          <w:color w:val="1F3864"/>
          <w:sz w:val="20"/>
          <w:szCs w:val="20"/>
        </w:rPr>
        <w:t xml:space="preserve">SUM([Duration Sec]) / COUNT([Call Ref])</w:t>
      </w:r>
      <w:r>
        <w:rPr>
          <w:rFonts w:ascii="Calibri" w:cs="Calibri" w:eastAsia="Calibri" w:hAnsi="Calibri"/>
          <w:color w:val="1E293B"/>
          <w:sz w:val="21"/>
          <w:szCs w:val="21"/>
        </w:rPr>
        <w:t xml:space="preserve">, which is arithmetically the true mean, so Tableau and the views already agree. The two ad-hoc queries are the sole outlier and were corrected, including inside the </w:t>
      </w:r>
      <w:r>
        <w:rPr>
          <w:rFonts w:ascii="Consolas" w:cs="Consolas" w:eastAsia="Consolas" w:hAnsi="Consolas"/>
          <w:color w:val="1F3864"/>
          <w:sz w:val="20"/>
          <w:szCs w:val="20"/>
        </w:rPr>
        <w:t xml:space="preserve">ORDER BY</w:t>
      </w:r>
      <w:r>
        <w:rPr>
          <w:rFonts w:ascii="Calibri" w:cs="Calibri" w:eastAsia="Calibri" w:hAnsi="Calibri"/>
          <w:color w:val="1E293B"/>
          <w:sz w:val="21"/>
          <w:szCs w:val="21"/>
        </w:rPr>
        <w:t xml:space="preserve"> of the ranking window, not only in the projected column. Fixing the displayed value while leaving the ranking on the truncated one would produce a result set that disagrees with itself.</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Finding 2 — The Seven-Day Rolling Average Does Not Cover Seven Days</w:t>
      </w:r>
    </w:p>
    <w:p>
      <w:pPr>
        <w:pBdr>
          <w:top w:val="single" w:color="E2E8F0" w:sz="2" w:space="4"/>
          <w:left w:val="single" w:color="2E75B6" w:sz="12" w:space="8"/>
        </w:pBdr>
        <w:shd w:fill="F8FAFC" w:val="clear"/>
        <w:spacing w:after="0" w:before="100" w:line="240"/>
        <w:ind w:left="220" w:right="220"/>
      </w:pPr>
      <w:r>
        <w:rPr>
          <w:rFonts w:ascii="Consolas" w:cs="Consolas" w:eastAsia="Consolas" w:hAnsi="Consolas"/>
          <w:color w:val="0F172A"/>
          <w:sz w:val="17"/>
          <w:szCs w:val="17"/>
        </w:rPr>
        <w:t xml:space="preserve">-- 02_dedup_and_aggregation.sql, query B2</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AVG(daily_avg_handle_time) OVER (</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PARTITION BY agent_num</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ORDER BY call_date</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ROWS BETWEEN 6 PRECEDING AND CURRENT ROW</w:t>
      </w:r>
    </w:p>
    <w:p>
      <w:pPr>
        <w:pBdr>
          <w:bottom w:val="single" w:color="E2E8F0" w:sz="2" w:space="4"/>
          <w:left w:val="single" w:color="2E75B6" w:sz="12" w:space="8"/>
        </w:pBdr>
        <w:shd w:fill="F8FAFC" w:val="clear"/>
        <w:spacing w:after="160" w:before="0" w:line="240"/>
        <w:ind w:left="220" w:right="220"/>
      </w:pPr>
      <w:r>
        <w:rPr>
          <w:rFonts w:ascii="Consolas" w:cs="Consolas" w:eastAsia="Consolas" w:hAnsi="Consolas"/>
          <w:color w:val="0F172A"/>
          <w:sz w:val="17"/>
          <w:szCs w:val="17"/>
        </w:rPr>
        <w:t xml:space="preserve">)</w:t>
      </w:r>
    </w:p>
    <w:p>
      <w:pPr>
        <w:spacing w:after="140" w:line="276"/>
      </w:pPr>
      <w:r>
        <w:rPr>
          <w:rFonts w:ascii="Consolas" w:cs="Consolas" w:eastAsia="Consolas" w:hAnsi="Consolas"/>
          <w:color w:val="1F3864"/>
          <w:sz w:val="20"/>
          <w:szCs w:val="20"/>
        </w:rPr>
        <w:t xml:space="preserve">ROWS</w:t>
      </w:r>
      <w:r>
        <w:rPr>
          <w:rFonts w:ascii="Calibri" w:cs="Calibri" w:eastAsia="Calibri" w:hAnsi="Calibri"/>
          <w:color w:val="1E293B"/>
          <w:sz w:val="21"/>
          <w:szCs w:val="21"/>
        </w:rPr>
        <w:t xml:space="preserve"> counts rows in the result set, not calendar days. The CTE feeding this window only emits a row for a date on which an agent actually handled a call. Days off produce no row, so the window reaches further back in time until it finds seven rows that exist.</w:t>
      </w:r>
    </w:p>
    <w:p>
      <w:pPr>
        <w:spacing w:after="140" w:line="276"/>
      </w:pPr>
      <w:r>
        <w:rPr>
          <w:rFonts w:ascii="Calibri" w:cs="Calibri" w:eastAsia="Calibri" w:hAnsi="Calibri"/>
          <w:b/>
          <w:bCs/>
          <w:color w:val="1E293B"/>
          <w:sz w:val="21"/>
          <w:szCs w:val="21"/>
        </w:rPr>
        <w:t xml:space="preserve">Exposure:</w:t>
      </w:r>
      <w:r>
        <w:rPr>
          <w:rFonts w:ascii="Calibri" w:cs="Calibri" w:eastAsia="Calibri" w:hAnsi="Calibri"/>
          <w:color w:val="1E293B"/>
          <w:sz w:val="21"/>
          <w:szCs w:val="21"/>
        </w:rPr>
        <w:t xml:space="preserve"> the dataset covers 2026-05-04 through 2026-05-15, a twelve-day calendar span containing ten dates. 2026-05-09 and 2026-05-10 are a Saturday and Sunday with no call volume. Every agent crosses that gap. For every agent, on every date in the second week, a window labeled "7 day" actually spans </w:t>
      </w:r>
      <w:r>
        <w:rPr>
          <w:rFonts w:ascii="Calibri" w:cs="Calibri" w:eastAsia="Calibri" w:hAnsi="Calibri"/>
          <w:b/>
          <w:bCs/>
          <w:color w:val="1E293B"/>
          <w:sz w:val="21"/>
          <w:szCs w:val="21"/>
        </w:rPr>
        <w:t xml:space="preserve">nine calendar days</w:t>
      </w:r>
      <w:r>
        <w:rPr>
          <w:rFonts w:ascii="Calibri" w:cs="Calibri" w:eastAsia="Calibri" w:hAnsi="Calibri"/>
          <w:color w:val="1E293B"/>
          <w:sz w:val="21"/>
          <w:szCs w:val="21"/>
        </w:rPr>
        <w:t xml:space="preserve">.</w:t>
      </w:r>
    </w:p>
    <w:p>
      <w:pPr>
        <w:pBdr>
          <w:left w:val="single" w:color="B91C1C" w:sz="18" w:space="10"/>
        </w:pBdr>
        <w:shd w:fill="F1F5F9" w:val="clear"/>
        <w:spacing w:after="180" w:before="140" w:line="276"/>
        <w:ind w:left="180" w:right="180"/>
      </w:pPr>
      <w:r>
        <w:rPr>
          <w:rFonts w:ascii="Calibri" w:cs="Calibri" w:eastAsia="Calibri" w:hAnsi="Calibri"/>
          <w:color w:val="1E293B"/>
          <w:sz w:val="21"/>
          <w:szCs w:val="21"/>
        </w:rPr>
        <w:t xml:space="preserve">This is not an edge case affecting a few agents. There is no unaffected population to compare against.</w:t>
      </w:r>
    </w:p>
    <w:p>
      <w:pPr>
        <w:pStyle w:val="Heading3"/>
        <w:spacing w:after="100" w:before="200"/>
      </w:pPr>
      <w:r>
        <w:rPr>
          <w:rFonts w:ascii="Calibri" w:cs="Calibri" w:eastAsia="Calibri" w:hAnsi="Calibri"/>
          <w:b/>
          <w:bCs/>
          <w:color w:val="2E75B6"/>
          <w:sz w:val="21"/>
          <w:szCs w:val="21"/>
        </w:rPr>
        <w:t xml:space="preserve">Why it matters</w:t>
      </w:r>
    </w:p>
    <w:p>
      <w:pPr>
        <w:spacing w:after="140" w:line="276"/>
      </w:pPr>
      <w:r>
        <w:rPr>
          <w:rFonts w:ascii="Calibri" w:cs="Calibri" w:eastAsia="Calibri" w:hAnsi="Calibri"/>
          <w:color w:val="1E293B"/>
          <w:sz w:val="21"/>
          <w:szCs w:val="21"/>
        </w:rPr>
        <w:t xml:space="preserve">Every agent's rolling average therefore covers a different period, which makes agent-to-agent comparison on that metric invalid. The dataset was deliberately regenerated so agent handle time carries real spread and outliers are findable. The metric built to surface a coaching outlier was comparing unequal windows.</w:t>
      </w:r>
    </w:p>
    <w:p>
      <w:pPr>
        <w:pStyle w:val="Heading3"/>
        <w:spacing w:after="100" w:before="200"/>
      </w:pPr>
      <w:r>
        <w:rPr>
          <w:rFonts w:ascii="Calibri" w:cs="Calibri" w:eastAsia="Calibri" w:hAnsi="Calibri"/>
          <w:b/>
          <w:bCs/>
          <w:color w:val="2E75B6"/>
          <w:sz w:val="21"/>
          <w:szCs w:val="21"/>
        </w:rPr>
        <w:t xml:space="preserve">Resolution</w:t>
      </w:r>
    </w:p>
    <w:p>
      <w:pPr>
        <w:spacing w:after="140" w:line="276"/>
      </w:pPr>
      <w:r>
        <w:rPr>
          <w:rFonts w:ascii="Calibri" w:cs="Calibri" w:eastAsia="Calibri" w:hAnsi="Calibri"/>
          <w:color w:val="1E293B"/>
          <w:sz w:val="21"/>
          <w:szCs w:val="21"/>
        </w:rPr>
        <w:t xml:space="preserve">A manager asking for a seven-day rolling average means seven calendar days. The calendar-framed definition is implemented in DAX using </w:t>
      </w:r>
      <w:r>
        <w:rPr>
          <w:rFonts w:ascii="Consolas" w:cs="Consolas" w:eastAsia="Consolas" w:hAnsi="Consolas"/>
          <w:color w:val="1F3864"/>
          <w:sz w:val="20"/>
          <w:szCs w:val="20"/>
        </w:rPr>
        <w:t xml:space="preserve">DATESINPERIOD</w:t>
      </w:r>
      <w:r>
        <w:rPr>
          <w:rFonts w:ascii="Calibri" w:cs="Calibri" w:eastAsia="Calibri" w:hAnsi="Calibri"/>
          <w:color w:val="1E293B"/>
          <w:sz w:val="21"/>
          <w:szCs w:val="21"/>
        </w:rPr>
        <w:t xml:space="preserve"> over a new date dimension, skipping days with no calls rather than reaching past them. The row-framed version is retained as a reconciliation control only, so the two implementations can be shown to agree when they implement the same rule, which isolates this as a definition problem rather than an implementation bug.</w:t>
      </w:r>
    </w:p>
    <w:p>
      <w:pPr>
        <w:spacing w:after="140" w:line="276"/>
      </w:pPr>
      <w:r>
        <w:rPr>
          <w:rFonts w:ascii="Calibri" w:cs="Calibri" w:eastAsia="Calibri" w:hAnsi="Calibri"/>
          <w:color w:val="1E293B"/>
          <w:sz w:val="21"/>
          <w:szCs w:val="21"/>
        </w:rPr>
        <w:t xml:space="preserve">The alternative was equally defensible: keep row semantics and rename the metric </w:t>
      </w:r>
      <w:r>
        <w:rPr>
          <w:rFonts w:ascii="Consolas" w:cs="Consolas" w:eastAsia="Consolas" w:hAnsi="Consolas"/>
          <w:color w:val="1F3864"/>
          <w:sz w:val="20"/>
          <w:szCs w:val="20"/>
        </w:rPr>
        <w:t xml:space="preserve">avg_handle_time_last_7_active_days</w:t>
      </w:r>
      <w:r>
        <w:rPr>
          <w:rFonts w:ascii="Calibri" w:cs="Calibri" w:eastAsia="Calibri" w:hAnsi="Calibri"/>
          <w:color w:val="1E293B"/>
          <w:sz w:val="21"/>
          <w:szCs w:val="21"/>
        </w:rPr>
        <w:t xml:space="preserve">, so the name stops promising something the calculation does not deliver. What was not defensible was leaving a metric whose name and behavior disagree.</w:t>
      </w:r>
    </w:p>
    <w:p>
      <w:pPr>
        <w:pStyle w:val="Heading3"/>
        <w:spacing w:after="100" w:before="200"/>
      </w:pPr>
      <w:r>
        <w:rPr>
          <w:rFonts w:ascii="Calibri" w:cs="Calibri" w:eastAsia="Calibri" w:hAnsi="Calibri"/>
          <w:b/>
          <w:bCs/>
          <w:color w:val="2E75B6"/>
          <w:sz w:val="21"/>
          <w:szCs w:val="21"/>
        </w:rPr>
        <w:t xml:space="preserve">A note on why a date dimension was required</w:t>
      </w:r>
    </w:p>
    <w:p>
      <w:pPr>
        <w:spacing w:after="140" w:line="276"/>
      </w:pPr>
      <w:r>
        <w:rPr>
          <w:rFonts w:ascii="Calibri" w:cs="Calibri" w:eastAsia="Calibri" w:hAnsi="Calibri"/>
          <w:color w:val="1E293B"/>
          <w:sz w:val="21"/>
          <w:szCs w:val="21"/>
        </w:rPr>
        <w:t xml:space="preserve">SQL can frame a window on a fact column directly. A tabular model cannot. DAX time intelligence needs a contiguous, gap-free date table marked as the model's date table. Without one, </w:t>
      </w:r>
      <w:r>
        <w:rPr>
          <w:rFonts w:ascii="Consolas" w:cs="Consolas" w:eastAsia="Consolas" w:hAnsi="Consolas"/>
          <w:color w:val="1F3864"/>
          <w:sz w:val="20"/>
          <w:szCs w:val="20"/>
        </w:rPr>
        <w:t xml:space="preserve">DATESINPERIOD</w:t>
      </w:r>
      <w:r>
        <w:rPr>
          <w:rFonts w:ascii="Calibri" w:cs="Calibri" w:eastAsia="Calibri" w:hAnsi="Calibri"/>
          <w:color w:val="1E293B"/>
          <w:sz w:val="21"/>
          <w:szCs w:val="21"/>
        </w:rPr>
        <w:t xml:space="preserve"> returns wrong answers without raising an error, the same class of silent failure as the org-chart gap this project already documents.</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Finding 3 — Tableau and SQL Rank Agents With Different Functions</w:t>
      </w:r>
    </w:p>
    <w:p>
      <w:pPr>
        <w:pBdr>
          <w:top w:val="single" w:color="E2E8F0" w:sz="2" w:space="4"/>
          <w:left w:val="single" w:color="2E75B6" w:sz="12" w:space="8"/>
        </w:pBdr>
        <w:shd w:fill="F8FAFC" w:val="clear"/>
        <w:spacing w:after="0" w:before="100" w:line="240"/>
        <w:ind w:left="220" w:right="220"/>
      </w:pPr>
      <w:r>
        <w:rPr>
          <w:rFonts w:ascii="Consolas" w:cs="Consolas" w:eastAsia="Consolas" w:hAnsi="Consolas"/>
          <w:color w:val="0F172A"/>
          <w:sz w:val="17"/>
          <w:szCs w:val="17"/>
        </w:rPr>
        <w:t xml:space="preserve">-- SQL: 02_dedup_and_aggregation.sql B1, and vw_daily_agent_scorecard</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RANK() OVER (PARTITION BY call_date, manager_id ORDER BY COUNT(*) DESC)</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Tableau: Agent Rank in Team calculated field</w:t>
      </w:r>
    </w:p>
    <w:p>
      <w:pPr>
        <w:pBdr>
          <w:bottom w:val="single" w:color="E2E8F0" w:sz="2" w:space="4"/>
          <w:left w:val="single" w:color="2E75B6" w:sz="12" w:space="8"/>
        </w:pBdr>
        <w:shd w:fill="F8FAFC" w:val="clear"/>
        <w:spacing w:after="160" w:before="0" w:line="240"/>
        <w:ind w:left="220" w:right="220"/>
      </w:pPr>
      <w:r>
        <w:rPr>
          <w:rFonts w:ascii="Consolas" w:cs="Consolas" w:eastAsia="Consolas" w:hAnsi="Consolas"/>
          <w:color w:val="0F172A"/>
          <w:sz w:val="17"/>
          <w:szCs w:val="17"/>
        </w:rPr>
        <w:t xml:space="preserve">RANK_DENSE(COUNT([Call Ref]), 'desc')</w:t>
      </w:r>
    </w:p>
    <w:p>
      <w:pPr>
        <w:spacing w:after="140" w:line="276"/>
      </w:pPr>
      <w:r>
        <w:rPr>
          <w:rFonts w:ascii="Calibri" w:cs="Calibri" w:eastAsia="Calibri" w:hAnsi="Calibri"/>
          <w:color w:val="1E293B"/>
          <w:sz w:val="21"/>
          <w:szCs w:val="21"/>
        </w:rPr>
        <w:t xml:space="preserve">These are different functions. On a tie, </w:t>
      </w:r>
      <w:r>
        <w:rPr>
          <w:rFonts w:ascii="Consolas" w:cs="Consolas" w:eastAsia="Consolas" w:hAnsi="Consolas"/>
          <w:color w:val="1F3864"/>
          <w:sz w:val="20"/>
          <w:szCs w:val="20"/>
        </w:rPr>
        <w:t xml:space="preserve">RANK</w:t>
      </w:r>
      <w:r>
        <w:rPr>
          <w:rFonts w:ascii="Calibri" w:cs="Calibri" w:eastAsia="Calibri" w:hAnsi="Calibri"/>
          <w:color w:val="1E293B"/>
          <w:sz w:val="21"/>
          <w:szCs w:val="21"/>
        </w:rPr>
        <w:t xml:space="preserve"> assigns the shared position and skips the next values, producing 1, 1, 3. </w:t>
      </w:r>
      <w:r>
        <w:rPr>
          <w:rFonts w:ascii="Consolas" w:cs="Consolas" w:eastAsia="Consolas" w:hAnsi="Consolas"/>
          <w:color w:val="1F3864"/>
          <w:sz w:val="20"/>
          <w:szCs w:val="20"/>
        </w:rPr>
        <w:t xml:space="preserve">RANK_DENSE</w:t>
      </w:r>
      <w:r>
        <w:rPr>
          <w:rFonts w:ascii="Calibri" w:cs="Calibri" w:eastAsia="Calibri" w:hAnsi="Calibri"/>
          <w:color w:val="1E293B"/>
          <w:sz w:val="21"/>
          <w:szCs w:val="21"/>
        </w:rPr>
        <w:t xml:space="preserve"> assigns the shared position and does not skip, producing 1, 1, 2. Below any tie, every subsequent agent carries a different number in Tableau than in SQL.</w:t>
      </w:r>
    </w:p>
    <w:p>
      <w:pPr>
        <w:pStyle w:val="Heading3"/>
        <w:spacing w:after="100" w:before="200"/>
      </w:pPr>
      <w:r>
        <w:rPr>
          <w:rFonts w:ascii="Calibri" w:cs="Calibri" w:eastAsia="Calibri" w:hAnsi="Calibri"/>
          <w:b/>
          <w:bCs/>
          <w:color w:val="2E75B6"/>
          <w:sz w:val="21"/>
          <w:szCs w:val="21"/>
        </w:rPr>
        <w:t xml:space="preserve">Measured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Measure</w:t>
            </w:r>
          </w:p>
        </w:tc>
        <w:tc>
          <w:tcPr>
            <w:tcW w:type="dxa" w:w="33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r>
      <w:tr>
        <w:tc>
          <w:tcPr>
            <w:tcW w:type="dxa" w:w="60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Team-days examined</w:t>
            </w:r>
          </w:p>
        </w:tc>
        <w:tc>
          <w:tcPr>
            <w:tcW w:type="dxa" w:w="33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50</w:t>
            </w:r>
          </w:p>
        </w:tc>
      </w:tr>
      <w:tr>
        <w:tc>
          <w:tcPr>
            <w:tcW w:type="dxa" w:w="60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Team-days containing at least one tie</w:t>
            </w:r>
          </w:p>
        </w:tc>
        <w:tc>
          <w:tcPr>
            <w:tcW w:type="dxa" w:w="33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42, or </w:t>
            </w:r>
            <w:r>
              <w:rPr>
                <w:rFonts w:ascii="Calibri" w:cs="Calibri" w:eastAsia="Calibri" w:hAnsi="Calibri"/>
                <w:b/>
                <w:bCs/>
                <w:color w:val="1E293B"/>
                <w:sz w:val="19"/>
                <w:szCs w:val="19"/>
              </w:rPr>
              <w:t xml:space="preserve">84%</w:t>
            </w:r>
          </w:p>
        </w:tc>
      </w:tr>
      <w:tr>
        <w:tc>
          <w:tcPr>
            <w:tcW w:type="dxa" w:w="60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Agent-days sitting inside a tie group</w:t>
            </w:r>
          </w:p>
        </w:tc>
        <w:tc>
          <w:tcPr>
            <w:tcW w:type="dxa" w:w="33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553 of 961, or </w:t>
            </w:r>
            <w:r>
              <w:rPr>
                <w:rFonts w:ascii="Calibri" w:cs="Calibri" w:eastAsia="Calibri" w:hAnsi="Calibri"/>
                <w:b/>
                <w:bCs/>
                <w:color w:val="1E293B"/>
                <w:sz w:val="19"/>
                <w:szCs w:val="19"/>
              </w:rPr>
              <w:t xml:space="preserve">58%</w:t>
            </w:r>
          </w:p>
        </w:tc>
      </w:tr>
    </w:tbl>
    <w:p>
      <w:pPr>
        <w:spacing w:after="60" w:line="276"/>
      </w:pPr>
      <w:r>
        <w:rPr>
          <w:rFonts w:ascii="Calibri" w:cs="Calibri" w:eastAsia="Calibri" w:hAnsi="Calibri"/>
          <w:color w:val="1E293B"/>
          <w:sz w:val="21"/>
          <w:szCs w:val="21"/>
        </w:rPr>
        <w:t xml:space="preserve">Agents handle roughly 28 calls a day in teams of about 25, so ties in daily volume are the normal condition rather than the exception. For the majority of agent-days, the rank displayed on the Tableau scorecard and the rank returned by the SQL scorecard are different numbers describing the same agent on the same day.</w:t>
      </w:r>
    </w:p>
    <w:p>
      <w:pPr>
        <w:pStyle w:val="Heading3"/>
        <w:spacing w:after="100" w:before="200"/>
      </w:pPr>
      <w:r>
        <w:rPr>
          <w:rFonts w:ascii="Calibri" w:cs="Calibri" w:eastAsia="Calibri" w:hAnsi="Calibri"/>
          <w:b/>
          <w:bCs/>
          <w:color w:val="2E75B6"/>
          <w:sz w:val="21"/>
          <w:szCs w:val="21"/>
        </w:rPr>
        <w:t xml:space="preserve">Why it matters</w:t>
      </w:r>
    </w:p>
    <w:p>
      <w:pPr>
        <w:spacing w:after="140" w:line="276"/>
      </w:pPr>
      <w:r>
        <w:rPr>
          <w:rFonts w:ascii="Calibri" w:cs="Calibri" w:eastAsia="Calibri" w:hAnsi="Calibri"/>
          <w:color w:val="1E293B"/>
          <w:sz w:val="21"/>
          <w:szCs w:val="21"/>
        </w:rPr>
        <w:t xml:space="preserve">Rank is the field a manager acts on. Two people reading the same governed model and quoting a rank produce different answers, and neither can explain the difference without reading two files written in two different languages. That is the failure this architecture exists to prevent, reintroduced one layer above where the governance stopped.</w:t>
      </w:r>
    </w:p>
    <w:p>
      <w:pPr>
        <w:pStyle w:val="Heading3"/>
        <w:spacing w:after="100" w:before="200"/>
      </w:pPr>
      <w:r>
        <w:rPr>
          <w:rFonts w:ascii="Calibri" w:cs="Calibri" w:eastAsia="Calibri" w:hAnsi="Calibri"/>
          <w:b/>
          <w:bCs/>
          <w:color w:val="2E75B6"/>
          <w:sz w:val="21"/>
          <w:szCs w:val="21"/>
        </w:rPr>
        <w:t xml:space="preserve">Resolution</w:t>
      </w:r>
    </w:p>
    <w:p>
      <w:pPr>
        <w:spacing w:after="140" w:line="276"/>
      </w:pPr>
      <w:r>
        <w:rPr>
          <w:rFonts w:ascii="Consolas" w:cs="Consolas" w:eastAsia="Consolas" w:hAnsi="Consolas"/>
          <w:color w:val="1F3864"/>
          <w:sz w:val="20"/>
          <w:szCs w:val="20"/>
        </w:rPr>
        <w:t xml:space="preserve">RANK</w:t>
      </w:r>
      <w:r>
        <w:rPr>
          <w:rFonts w:ascii="Calibri" w:cs="Calibri" w:eastAsia="Calibri" w:hAnsi="Calibri"/>
          <w:color w:val="1E293B"/>
          <w:sz w:val="21"/>
          <w:szCs w:val="21"/>
        </w:rPr>
        <w:t xml:space="preserve"> with gaps is authoritative in all three layers. A skipped position communicates that a tie consumed it, and "third of twenty-five" remains true. </w:t>
      </w:r>
      <w:r>
        <w:rPr>
          <w:rFonts w:ascii="Consolas" w:cs="Consolas" w:eastAsia="Consolas" w:hAnsi="Consolas"/>
          <w:color w:val="1F3864"/>
          <w:sz w:val="20"/>
          <w:szCs w:val="20"/>
        </w:rPr>
        <w:t xml:space="preserve">RANK_DENSE</w:t>
      </w:r>
      <w:r>
        <w:rPr>
          <w:rFonts w:ascii="Calibri" w:cs="Calibri" w:eastAsia="Calibri" w:hAnsi="Calibri"/>
          <w:color w:val="1E293B"/>
          <w:sz w:val="21"/>
          <w:szCs w:val="21"/>
        </w:rPr>
        <w:t xml:space="preserve"> silently compresses the scale. The Tableau field was the outlier and was changed. The DAX measures set </w:t>
      </w:r>
      <w:r>
        <w:rPr>
          <w:rFonts w:ascii="Consolas" w:cs="Consolas" w:eastAsia="Consolas" w:hAnsi="Consolas"/>
          <w:color w:val="1F3864"/>
          <w:sz w:val="20"/>
          <w:szCs w:val="20"/>
        </w:rPr>
        <w:t xml:space="preserve">SKIP</w:t>
      </w:r>
      <w:r>
        <w:rPr>
          <w:rFonts w:ascii="Calibri" w:cs="Calibri" w:eastAsia="Calibri" w:hAnsi="Calibri"/>
          <w:color w:val="1E293B"/>
          <w:sz w:val="21"/>
          <w:szCs w:val="21"/>
        </w:rPr>
        <w:t xml:space="preserve"> explicitly rather than relying on the default, so the intent is legible in the code rather than dependent on a product default that could change.</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Finding 4 — A Data Quality Metric That Goes Quiet During Data Quality Incidents</w:t>
      </w:r>
    </w:p>
    <w:p>
      <w:pPr>
        <w:pBdr>
          <w:top w:val="single" w:color="E2E8F0" w:sz="2" w:space="4"/>
          <w:left w:val="single" w:color="2E75B6" w:sz="12" w:space="8"/>
        </w:pBdr>
        <w:shd w:fill="F8FAFC" w:val="clear"/>
        <w:spacing w:after="0" w:before="100" w:line="240"/>
        <w:ind w:left="220" w:right="220"/>
      </w:pPr>
      <w:r>
        <w:rPr>
          <w:rFonts w:ascii="Consolas" w:cs="Consolas" w:eastAsia="Consolas" w:hAnsi="Consolas"/>
          <w:color w:val="0F172A"/>
          <w:sz w:val="17"/>
          <w:szCs w:val="17"/>
        </w:rPr>
        <w:t xml:space="preserve">-- vw_data_quality_unmapped</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COUNT(DISTINCT fc.agent_num)   AS unmapped_agent_count   -- returns 4</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w:t>
      </w:r>
    </w:p>
    <w:p>
      <w:pPr>
        <w:pBdr>
          <w:left w:val="single" w:color="2E75B6" w:sz="12" w:space="8"/>
        </w:pBdr>
        <w:shd w:fill="F8FAFC" w:val="clear"/>
        <w:spacing w:after="0" w:before="0" w:line="240"/>
        <w:ind w:left="220" w:right="220"/>
      </w:pPr>
      <w:r>
        <w:rPr>
          <w:rFonts w:ascii="Consolas" w:cs="Consolas" w:eastAsia="Consolas" w:hAnsi="Consolas"/>
          <w:color w:val="0F172A"/>
          <w:sz w:val="17"/>
          <w:szCs w:val="17"/>
        </w:rPr>
        <w:t xml:space="preserve">// Tableau: Agents Affected (Unmapped)</w:t>
      </w:r>
    </w:p>
    <w:p>
      <w:pPr>
        <w:pBdr>
          <w:bottom w:val="single" w:color="E2E8F0" w:sz="2" w:space="4"/>
          <w:left w:val="single" w:color="2E75B6" w:sz="12" w:space="8"/>
        </w:pBdr>
        <w:shd w:fill="F8FAFC" w:val="clear"/>
        <w:spacing w:after="160" w:before="0" w:line="240"/>
        <w:ind w:left="220" w:right="220"/>
      </w:pPr>
      <w:r>
        <w:rPr>
          <w:rFonts w:ascii="Consolas" w:cs="Consolas" w:eastAsia="Consolas" w:hAnsi="Consolas"/>
          <w:color w:val="0F172A"/>
          <w:sz w:val="17"/>
          <w:szCs w:val="17"/>
        </w:rPr>
        <w:t xml:space="preserve">COUNTD([Agent Name])                                     -- returns 0</w:t>
      </w:r>
    </w:p>
    <w:p>
      <w:pPr>
        <w:spacing w:after="140" w:line="276"/>
      </w:pPr>
      <w:r>
        <w:rPr>
          <w:rFonts w:ascii="Calibri" w:cs="Calibri" w:eastAsia="Calibri" w:hAnsi="Calibri"/>
          <w:color w:val="1E293B"/>
          <w:sz w:val="21"/>
          <w:szCs w:val="21"/>
        </w:rPr>
        <w:t xml:space="preserve">Agent IDs 1067, 1073, 1075, and 1085 carry 1,100 calls between them and have no name of record anywhere upstream. </w:t>
      </w:r>
      <w:r>
        <w:rPr>
          <w:rFonts w:ascii="Consolas" w:cs="Consolas" w:eastAsia="Consolas" w:hAnsi="Consolas"/>
          <w:color w:val="1F3864"/>
          <w:sz w:val="20"/>
          <w:szCs w:val="20"/>
        </w:rPr>
        <w:t xml:space="preserve">COUNTD</w:t>
      </w:r>
      <w:r>
        <w:rPr>
          <w:rFonts w:ascii="Calibri" w:cs="Calibri" w:eastAsia="Calibri" w:hAnsi="Calibri"/>
          <w:color w:val="1E293B"/>
          <w:sz w:val="21"/>
          <w:szCs w:val="21"/>
        </w:rPr>
        <w:t xml:space="preserve"> ignores nulls, so Tableau returns zero. Tableau is correctly implementing its own definition. The definition is wrong.</w:t>
      </w:r>
    </w:p>
    <w:p>
      <w:pPr>
        <w:pStyle w:val="Heading3"/>
        <w:spacing w:after="100" w:before="200"/>
      </w:pPr>
      <w:r>
        <w:rPr>
          <w:rFonts w:ascii="Calibri" w:cs="Calibri" w:eastAsia="Calibri" w:hAnsi="Calibri"/>
          <w:b/>
          <w:bCs/>
          <w:color w:val="2E75B6"/>
          <w:sz w:val="21"/>
          <w:szCs w:val="21"/>
        </w:rPr>
        <w:t xml:space="preserve">Why this is more than a null-handling bug</w:t>
      </w:r>
    </w:p>
    <w:p>
      <w:pPr>
        <w:spacing w:after="140" w:line="276"/>
      </w:pPr>
      <w:r>
        <w:rPr>
          <w:rFonts w:ascii="Consolas" w:cs="Consolas" w:eastAsia="Consolas" w:hAnsi="Consolas"/>
          <w:color w:val="1F3864"/>
          <w:sz w:val="20"/>
          <w:szCs w:val="20"/>
        </w:rPr>
        <w:t xml:space="preserve">agent_num</w:t>
      </w:r>
      <w:r>
        <w:rPr>
          <w:rFonts w:ascii="Calibri" w:cs="Calibri" w:eastAsia="Calibri" w:hAnsi="Calibri"/>
          <w:color w:val="1E293B"/>
          <w:sz w:val="21"/>
          <w:szCs w:val="21"/>
        </w:rPr>
        <w:t xml:space="preserve"> is </w:t>
      </w:r>
      <w:r>
        <w:rPr>
          <w:rFonts w:ascii="Consolas" w:cs="Consolas" w:eastAsia="Consolas" w:hAnsi="Consolas"/>
          <w:color w:val="1F3864"/>
          <w:sz w:val="20"/>
          <w:szCs w:val="20"/>
        </w:rPr>
        <w:t xml:space="preserve">NOT NULL</w:t>
      </w:r>
      <w:r>
        <w:rPr>
          <w:rFonts w:ascii="Calibri" w:cs="Calibri" w:eastAsia="Calibri" w:hAnsi="Calibri"/>
          <w:color w:val="1E293B"/>
          <w:sz w:val="21"/>
          <w:szCs w:val="21"/>
        </w:rPr>
        <w:t xml:space="preserve">, is the primary key of </w:t>
      </w:r>
      <w:r>
        <w:rPr>
          <w:rFonts w:ascii="Consolas" w:cs="Consolas" w:eastAsia="Consolas" w:hAnsi="Consolas"/>
          <w:color w:val="1F3864"/>
          <w:sz w:val="20"/>
          <w:szCs w:val="20"/>
        </w:rPr>
        <w:t xml:space="preserve">dim_agent</w:t>
      </w:r>
      <w:r>
        <w:rPr>
          <w:rFonts w:ascii="Calibri" w:cs="Calibri" w:eastAsia="Calibri" w:hAnsi="Calibri"/>
          <w:color w:val="1E293B"/>
          <w:sz w:val="21"/>
          <w:szCs w:val="21"/>
        </w:rPr>
        <w:t xml:space="preserve">, and is normalized to a canonical format during extraction. </w:t>
      </w:r>
      <w:r>
        <w:rPr>
          <w:rFonts w:ascii="Consolas" w:cs="Consolas" w:eastAsia="Consolas" w:hAnsi="Consolas"/>
          <w:color w:val="1F3864"/>
          <w:sz w:val="20"/>
          <w:szCs w:val="20"/>
        </w:rPr>
        <w:t xml:space="preserve">agent_name</w:t>
      </w:r>
      <w:r>
        <w:rPr>
          <w:rFonts w:ascii="Calibri" w:cs="Calibri" w:eastAsia="Calibri" w:hAnsi="Calibri"/>
          <w:color w:val="1E293B"/>
          <w:sz w:val="21"/>
          <w:szCs w:val="21"/>
        </w:rPr>
        <w:t xml:space="preserve"> is nullable by design, because </w:t>
      </w:r>
      <w:r>
        <w:rPr>
          <w:rFonts w:ascii="Consolas" w:cs="Consolas" w:eastAsia="Consolas" w:hAnsi="Consolas"/>
          <w:color w:val="1F3864"/>
          <w:sz w:val="20"/>
          <w:szCs w:val="20"/>
        </w:rPr>
        <w:t xml:space="preserve">dim_agent</w:t>
      </w:r>
      <w:r>
        <w:rPr>
          <w:rFonts w:ascii="Calibri" w:cs="Calibri" w:eastAsia="Calibri" w:hAnsi="Calibri"/>
          <w:color w:val="1E293B"/>
          <w:sz w:val="21"/>
          <w:szCs w:val="21"/>
        </w:rPr>
        <w:t xml:space="preserve"> deliberately admits agents the org-chart export never described. That admission is the entire reason the org-chart gap is visible instead of silently dropped.</w:t>
      </w:r>
    </w:p>
    <w:p>
      <w:pPr>
        <w:pBdr>
          <w:left w:val="single" w:color="B91C1C" w:sz="18" w:space="10"/>
        </w:pBdr>
        <w:shd w:fill="F1F5F9" w:val="clear"/>
        <w:spacing w:after="180" w:before="140" w:line="276"/>
        <w:ind w:left="180" w:right="180"/>
      </w:pPr>
      <w:r>
        <w:rPr>
          <w:rFonts w:ascii="Calibri" w:cs="Calibri" w:eastAsia="Calibri" w:hAnsi="Calibri"/>
          <w:color w:val="1E293B"/>
          <w:sz w:val="21"/>
          <w:szCs w:val="21"/>
        </w:rPr>
        <w:t xml:space="preserve">So a metric counting agents was implemented against a nullable display attribute. It returns zero exactly when the data quality problem it exists to measure is present. A data quality tile that reads zero during a data quality incident is worse than having no tile, because it actively reassures.</w:t>
      </w:r>
    </w:p>
    <w:p>
      <w:pPr>
        <w:pStyle w:val="Heading3"/>
        <w:spacing w:after="100" w:before="200"/>
      </w:pPr>
      <w:r>
        <w:rPr>
          <w:rFonts w:ascii="Calibri" w:cs="Calibri" w:eastAsia="Calibri" w:hAnsi="Calibri"/>
          <w:b/>
          <w:bCs/>
          <w:color w:val="2E75B6"/>
          <w:sz w:val="21"/>
          <w:szCs w:val="21"/>
        </w:rPr>
        <w:t xml:space="preserve">Resolution</w:t>
      </w:r>
    </w:p>
    <w:p>
      <w:pPr>
        <w:spacing w:after="140" w:line="276"/>
      </w:pPr>
      <w:r>
        <w:rPr>
          <w:rFonts w:ascii="Calibri" w:cs="Calibri" w:eastAsia="Calibri" w:hAnsi="Calibri"/>
          <w:color w:val="1E293B"/>
          <w:sz w:val="21"/>
          <w:szCs w:val="21"/>
        </w:rPr>
        <w:t xml:space="preserve">Count on the key. </w:t>
      </w:r>
      <w:r>
        <w:rPr>
          <w:rFonts w:ascii="Consolas" w:cs="Consolas" w:eastAsia="Consolas" w:hAnsi="Consolas"/>
          <w:color w:val="1F3864"/>
          <w:sz w:val="20"/>
          <w:szCs w:val="20"/>
        </w:rPr>
        <w:t xml:space="preserve">COUNTD([Agent Num])</w:t>
      </w:r>
      <w:r>
        <w:rPr>
          <w:rFonts w:ascii="Calibri" w:cs="Calibri" w:eastAsia="Calibri" w:hAnsi="Calibri"/>
          <w:color w:val="1E293B"/>
          <w:sz w:val="21"/>
          <w:szCs w:val="21"/>
        </w:rPr>
        <w:t xml:space="preserve"> in Tableau, matching the SQL view and the DAX measure, both of which already return 4. The missing names remain a genuine source-system defect and are now reported as their own metric rather than surfacing as an accidental zero in a different one.</w:t>
      </w:r>
    </w:p>
    <w:p>
      <w:pPr>
        <w:spacing w:after="140" w:line="276"/>
      </w:pPr>
      <w:r>
        <w:rPr>
          <w:rFonts w:ascii="Calibri" w:cs="Calibri" w:eastAsia="Calibri" w:hAnsi="Calibri"/>
          <w:b/>
          <w:bCs/>
          <w:color w:val="1E293B"/>
          <w:sz w:val="21"/>
          <w:szCs w:val="21"/>
        </w:rPr>
        <w:t xml:space="preserve">The rule this produced,</w:t>
      </w:r>
      <w:r>
        <w:rPr>
          <w:rFonts w:ascii="Calibri" w:cs="Calibri" w:eastAsia="Calibri" w:hAnsi="Calibri"/>
          <w:color w:val="1E293B"/>
          <w:sz w:val="21"/>
          <w:szCs w:val="21"/>
        </w:rPr>
        <w:t xml:space="preserve"> now recorded in the measure dictionary: count entities on their key, describe them with their label, never count on something nullable.</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What Reconciled Cleanly</w:t>
      </w:r>
    </w:p>
    <w:p>
      <w:pPr>
        <w:spacing w:after="140" w:line="276"/>
      </w:pPr>
      <w:r>
        <w:rPr>
          <w:rFonts w:ascii="Calibri" w:cs="Calibri" w:eastAsia="Calibri" w:hAnsi="Calibri"/>
          <w:color w:val="1E293B"/>
          <w:sz w:val="21"/>
          <w:szCs w:val="21"/>
        </w:rPr>
        <w:t xml:space="preserve">Everything else agreed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Metric</w:t>
            </w:r>
          </w:p>
        </w:tc>
        <w:tc>
          <w:tcPr>
            <w:tcW w:type="dxa" w:w="33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SQL source</w:t>
            </w:r>
          </w:p>
        </w:tc>
        <w:tc>
          <w:tcPr>
            <w:tcW w:type="dxa" w:w="33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r>
      <w:tr>
        <w:tc>
          <w:tcPr>
            <w:tcW w:type="dxa" w:w="27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Clean fact row count</w:t>
            </w:r>
          </w:p>
        </w:tc>
        <w:tc>
          <w:tcPr>
            <w:tcW w:type="dxa" w:w="330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fact_call_clean</w:t>
            </w:r>
          </w:p>
        </w:tc>
        <w:tc>
          <w:tcPr>
            <w:tcW w:type="dxa" w:w="33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28,864, matches the ETL log</w:t>
            </w:r>
          </w:p>
        </w:tc>
      </w:tr>
      <w:tr>
        <w:tc>
          <w:tcPr>
            <w:tcW w:type="dxa" w:w="27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Distinct call_ref</w:t>
            </w:r>
          </w:p>
        </w:tc>
        <w:tc>
          <w:tcPr>
            <w:tcW w:type="dxa" w:w="330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fact_call_clean</w:t>
            </w:r>
          </w:p>
        </w:tc>
        <w:tc>
          <w:tcPr>
            <w:tcW w:type="dxa" w:w="33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equals row count, dedup guarantee holds</w:t>
            </w:r>
          </w:p>
        </w:tc>
      </w:tr>
      <w:tr>
        <w:tc>
          <w:tcPr>
            <w:tcW w:type="dxa" w:w="27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Calls handled</w:t>
            </w:r>
          </w:p>
        </w:tc>
        <w:tc>
          <w:tcPr>
            <w:tcW w:type="dxa" w:w="330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vw_daily_agent_scorecard</w:t>
            </w:r>
          </w:p>
        </w:tc>
        <w:tc>
          <w:tcPr>
            <w:tcW w:type="dxa" w:w="33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agrees</w:t>
            </w:r>
          </w:p>
        </w:tc>
      </w:tr>
      <w:tr>
        <w:tc>
          <w:tcPr>
            <w:tcW w:type="dxa" w:w="27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Resolution rate</w:t>
            </w:r>
          </w:p>
        </w:tc>
        <w:tc>
          <w:tcPr>
            <w:tcW w:type="dxa" w:w="330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vw_daily_agent_scorecard</w:t>
            </w:r>
          </w:p>
        </w:tc>
        <w:tc>
          <w:tcPr>
            <w:tcW w:type="dxa" w:w="33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agrees</w:t>
            </w:r>
          </w:p>
        </w:tc>
      </w:tr>
      <w:tr>
        <w:tc>
          <w:tcPr>
            <w:tcW w:type="dxa" w:w="27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Active agents</w:t>
            </w:r>
          </w:p>
        </w:tc>
        <w:tc>
          <w:tcPr>
            <w:tcW w:type="dxa" w:w="330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vw_manager_daily_rollup</w:t>
            </w:r>
          </w:p>
        </w:tc>
        <w:tc>
          <w:tcPr>
            <w:tcW w:type="dxa" w:w="33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agrees</w:t>
            </w:r>
          </w:p>
        </w:tc>
      </w:tr>
      <w:tr>
        <w:tc>
          <w:tcPr>
            <w:tcW w:type="dxa" w:w="27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Unmapped call count</w:t>
            </w:r>
          </w:p>
        </w:tc>
        <w:tc>
          <w:tcPr>
            <w:tcW w:type="dxa" w:w="330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vw_data_quality_unmapped</w:t>
            </w:r>
          </w:p>
        </w:tc>
        <w:tc>
          <w:tcPr>
            <w:tcW w:type="dxa" w:w="33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agrees, 1,100</w:t>
            </w:r>
          </w:p>
        </w:tc>
      </w:tr>
      <w:tr>
        <w:tc>
          <w:tcPr>
            <w:tcW w:type="dxa" w:w="27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Grand-total handle time</w:t>
            </w:r>
          </w:p>
        </w:tc>
        <w:tc>
          <w:tcPr>
            <w:tcW w:type="dxa" w:w="330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vw_daily_agent_scorecard</w:t>
            </w:r>
          </w:p>
        </w:tc>
        <w:tc>
          <w:tcPr>
            <w:tcW w:type="dxa" w:w="33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agrees, 306.4224 sec</w:t>
            </w:r>
          </w:p>
        </w:tc>
      </w:tr>
      <w:tr>
        <w:tc>
          <w:tcPr>
            <w:tcW w:type="dxa" w:w="27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Grand-total resolution rate</w:t>
            </w:r>
          </w:p>
        </w:tc>
        <w:tc>
          <w:tcPr>
            <w:tcW w:type="dxa" w:w="330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vw_daily_agent_scorecard</w:t>
            </w:r>
          </w:p>
        </w:tc>
        <w:tc>
          <w:tcPr>
            <w:tcW w:type="dxa" w:w="33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agrees, 92.64%</w:t>
            </w:r>
          </w:p>
        </w:tc>
      </w:tr>
    </w:tbl>
    <w:p>
      <w:pPr>
        <w:spacing w:after="60" w:line="276"/>
      </w:pPr>
      <w:r>
        <w:rPr>
          <w:rFonts w:ascii="Calibri" w:cs="Calibri" w:eastAsia="Calibri" w:hAnsi="Calibri"/>
          <w:color w:val="1E293B"/>
          <w:sz w:val="21"/>
          <w:szCs w:val="21"/>
        </w:rPr>
        <w:t xml:space="preserve">The deduplication logic, the part that was validated when it was built, reconciled perfectly. That is not a coincidence. It is the argument.</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What Changed</w:t>
      </w:r>
    </w:p>
    <w:p>
      <w:pPr>
        <w:pStyle w:val="ListParagraph"/>
        <w:numPr>
          <w:ilvl w:val="0"/>
          <w:numId w:val="1"/>
        </w:numPr>
        <w:spacing w:after="80" w:line="276"/>
      </w:pPr>
      <w:r>
        <w:rPr>
          <w:rFonts w:ascii="Consolas" w:cs="Consolas" w:eastAsia="Consolas" w:hAnsi="Consolas"/>
          <w:color w:val="1F3864"/>
          <w:sz w:val="20"/>
          <w:szCs w:val="20"/>
        </w:rPr>
        <w:t xml:space="preserve">02_dedup_and_aggregation.sql</w:t>
      </w:r>
      <w:r>
        <w:rPr>
          <w:rFonts w:ascii="Calibri" w:cs="Calibri" w:eastAsia="Calibri" w:hAnsi="Calibri"/>
          <w:color w:val="1E293B"/>
          <w:sz w:val="21"/>
          <w:szCs w:val="21"/>
        </w:rPr>
        <w:t xml:space="preserve">: FLOAT cast applied in B1 and B3, including inside the ranking ORDER BY</w:t>
      </w:r>
    </w:p>
    <w:p>
      <w:pPr>
        <w:pStyle w:val="ListParagraph"/>
        <w:numPr>
          <w:ilvl w:val="0"/>
          <w:numId w:val="1"/>
        </w:numPr>
        <w:spacing w:after="80" w:line="276"/>
      </w:pPr>
      <w:r>
        <w:rPr>
          <w:rFonts w:ascii="Consolas" w:cs="Consolas" w:eastAsia="Consolas" w:hAnsi="Consolas"/>
          <w:color w:val="1F3864"/>
          <w:sz w:val="20"/>
          <w:szCs w:val="20"/>
        </w:rPr>
        <w:t xml:space="preserve">02_dedup_and_aggregation.sql</w:t>
      </w:r>
      <w:r>
        <w:rPr>
          <w:rFonts w:ascii="Calibri" w:cs="Calibri" w:eastAsia="Calibri" w:hAnsi="Calibri"/>
          <w:color w:val="1E293B"/>
          <w:sz w:val="21"/>
          <w:szCs w:val="21"/>
        </w:rPr>
        <w:t xml:space="preserve">: B2 reframed to a calendar window</w:t>
      </w:r>
    </w:p>
    <w:p>
      <w:pPr>
        <w:pStyle w:val="ListParagraph"/>
        <w:numPr>
          <w:ilvl w:val="0"/>
          <w:numId w:val="1"/>
        </w:numPr>
        <w:spacing w:after="80" w:line="276"/>
      </w:pPr>
      <w:r>
        <w:rPr>
          <w:rFonts w:ascii="Calibri" w:cs="Calibri" w:eastAsia="Calibri" w:hAnsi="Calibri"/>
          <w:color w:val="1E293B"/>
          <w:sz w:val="21"/>
          <w:szCs w:val="21"/>
        </w:rPr>
        <w:t xml:space="preserve">Tableau: </w:t>
      </w:r>
      <w:r>
        <w:rPr>
          <w:rFonts w:ascii="Consolas" w:cs="Consolas" w:eastAsia="Consolas" w:hAnsi="Consolas"/>
          <w:color w:val="1F3864"/>
          <w:sz w:val="20"/>
          <w:szCs w:val="20"/>
        </w:rPr>
        <w:t xml:space="preserve">RANK_DENSE</w:t>
      </w:r>
      <w:r>
        <w:rPr>
          <w:rFonts w:ascii="Calibri" w:cs="Calibri" w:eastAsia="Calibri" w:hAnsi="Calibri"/>
          <w:color w:val="1E293B"/>
          <w:sz w:val="21"/>
          <w:szCs w:val="21"/>
        </w:rPr>
        <w:t xml:space="preserve"> changed to </w:t>
      </w:r>
      <w:r>
        <w:rPr>
          <w:rFonts w:ascii="Consolas" w:cs="Consolas" w:eastAsia="Consolas" w:hAnsi="Consolas"/>
          <w:color w:val="1F3864"/>
          <w:sz w:val="20"/>
          <w:szCs w:val="20"/>
        </w:rPr>
        <w:t xml:space="preserve">RANK</w:t>
      </w:r>
      <w:r>
        <w:rPr>
          <w:rFonts w:ascii="Calibri" w:cs="Calibri" w:eastAsia="Calibri" w:hAnsi="Calibri"/>
          <w:color w:val="1E293B"/>
          <w:sz w:val="21"/>
          <w:szCs w:val="21"/>
        </w:rPr>
        <w:t xml:space="preserve">; </w:t>
      </w:r>
      <w:r>
        <w:rPr>
          <w:rFonts w:ascii="Consolas" w:cs="Consolas" w:eastAsia="Consolas" w:hAnsi="Consolas"/>
          <w:color w:val="1F3864"/>
          <w:sz w:val="20"/>
          <w:szCs w:val="20"/>
        </w:rPr>
        <w:t xml:space="preserve">COUNTD([Agent Name])</w:t>
      </w:r>
      <w:r>
        <w:rPr>
          <w:rFonts w:ascii="Calibri" w:cs="Calibri" w:eastAsia="Calibri" w:hAnsi="Calibri"/>
          <w:color w:val="1E293B"/>
          <w:sz w:val="21"/>
          <w:szCs w:val="21"/>
        </w:rPr>
        <w:t xml:space="preserve"> changed to </w:t>
      </w:r>
      <w:r>
        <w:rPr>
          <w:rFonts w:ascii="Consolas" w:cs="Consolas" w:eastAsia="Consolas" w:hAnsi="Consolas"/>
          <w:color w:val="1F3864"/>
          <w:sz w:val="20"/>
          <w:szCs w:val="20"/>
        </w:rPr>
        <w:t xml:space="preserve">COUNTD([Agent Num])</w:t>
      </w:r>
    </w:p>
    <w:p>
      <w:pPr>
        <w:pStyle w:val="ListParagraph"/>
        <w:numPr>
          <w:ilvl w:val="0"/>
          <w:numId w:val="1"/>
        </w:numPr>
        <w:spacing w:after="80" w:line="276"/>
      </w:pPr>
      <w:r>
        <w:rPr>
          <w:rFonts w:ascii="Calibri" w:cs="Calibri" w:eastAsia="Calibri" w:hAnsi="Calibri"/>
          <w:color w:val="1E293B"/>
          <w:sz w:val="21"/>
          <w:szCs w:val="21"/>
        </w:rPr>
        <w:t xml:space="preserve">Added </w:t>
      </w:r>
      <w:r>
        <w:rPr>
          <w:rFonts w:ascii="Consolas" w:cs="Consolas" w:eastAsia="Consolas" w:hAnsi="Consolas"/>
          <w:color w:val="1F3864"/>
          <w:sz w:val="20"/>
          <w:szCs w:val="20"/>
        </w:rPr>
        <w:t xml:space="preserve">04_dim_date.sql</w:t>
      </w:r>
      <w:r>
        <w:rPr>
          <w:rFonts w:ascii="Calibri" w:cs="Calibri" w:eastAsia="Calibri" w:hAnsi="Calibri"/>
          <w:color w:val="1E293B"/>
          <w:sz w:val="21"/>
          <w:szCs w:val="21"/>
        </w:rPr>
        <w:t xml:space="preserve">, a contiguous date dimension required by the tabular model</w:t>
      </w:r>
    </w:p>
    <w:p>
      <w:pPr>
        <w:pStyle w:val="ListParagraph"/>
        <w:numPr>
          <w:ilvl w:val="0"/>
          <w:numId w:val="1"/>
        </w:numPr>
        <w:spacing w:after="80" w:line="276"/>
      </w:pPr>
      <w:r>
        <w:rPr>
          <w:rFonts w:ascii="Calibri" w:cs="Calibri" w:eastAsia="Calibri" w:hAnsi="Calibri"/>
          <w:color w:val="1E293B"/>
          <w:sz w:val="21"/>
          <w:szCs w:val="21"/>
        </w:rPr>
        <w:t xml:space="preserve">Added </w:t>
      </w:r>
      <w:r>
        <w:rPr>
          <w:rFonts w:ascii="Consolas" w:cs="Consolas" w:eastAsia="Consolas" w:hAnsi="Consolas"/>
          <w:color w:val="1F3864"/>
          <w:sz w:val="20"/>
          <w:szCs w:val="20"/>
        </w:rPr>
        <w:t xml:space="preserve">05_reconciliation.sql</w:t>
      </w:r>
      <w:r>
        <w:rPr>
          <w:rFonts w:ascii="Calibri" w:cs="Calibri" w:eastAsia="Calibri" w:hAnsi="Calibri"/>
          <w:color w:val="1E293B"/>
          <w:sz w:val="21"/>
          <w:szCs w:val="21"/>
        </w:rPr>
        <w:t xml:space="preserve">, the query harness that produces the SQL side of every comparison above</w:t>
      </w:r>
    </w:p>
    <w:p>
      <w:pPr>
        <w:pStyle w:val="ListParagraph"/>
        <w:numPr>
          <w:ilvl w:val="0"/>
          <w:numId w:val="1"/>
        </w:numPr>
        <w:spacing w:after="80" w:line="276"/>
      </w:pPr>
      <w:r>
        <w:rPr>
          <w:rFonts w:ascii="Calibri" w:cs="Calibri" w:eastAsia="Calibri" w:hAnsi="Calibri"/>
          <w:color w:val="1E293B"/>
          <w:sz w:val="21"/>
          <w:szCs w:val="21"/>
        </w:rPr>
        <w:t xml:space="preserve">Added </w:t>
      </w:r>
      <w:r>
        <w:rPr>
          <w:rFonts w:ascii="Consolas" w:cs="Consolas" w:eastAsia="Consolas" w:hAnsi="Consolas"/>
          <w:color w:val="1F3864"/>
          <w:sz w:val="20"/>
          <w:szCs w:val="20"/>
        </w:rPr>
        <w:t xml:space="preserve">powerbi/measures.dax</w:t>
      </w:r>
      <w:r>
        <w:rPr>
          <w:rFonts w:ascii="Calibri" w:cs="Calibri" w:eastAsia="Calibri" w:hAnsi="Calibri"/>
          <w:color w:val="1E293B"/>
          <w:sz w:val="21"/>
          <w:szCs w:val="21"/>
        </w:rPr>
        <w:t xml:space="preserve">, each measure annotated with the SQL object it reconciles against</w:t>
      </w:r>
    </w:p>
    <w:p>
      <w:pPr>
        <w:pStyle w:val="ListParagraph"/>
        <w:numPr>
          <w:ilvl w:val="0"/>
          <w:numId w:val="1"/>
        </w:numPr>
        <w:spacing w:after="80" w:line="276"/>
      </w:pPr>
      <w:r>
        <w:rPr>
          <w:rFonts w:ascii="Calibri" w:cs="Calibri" w:eastAsia="Calibri" w:hAnsi="Calibri"/>
          <w:color w:val="1E293B"/>
          <w:sz w:val="21"/>
          <w:szCs w:val="21"/>
        </w:rPr>
        <w:t xml:space="preserve">Added </w:t>
      </w:r>
      <w:r>
        <w:rPr>
          <w:rFonts w:ascii="Consolas" w:cs="Consolas" w:eastAsia="Consolas" w:hAnsi="Consolas"/>
          <w:color w:val="1F3864"/>
          <w:sz w:val="20"/>
          <w:szCs w:val="20"/>
        </w:rPr>
        <w:t xml:space="preserve">docs/measure-dictionary.md</w:t>
      </w:r>
      <w:r>
        <w:rPr>
          <w:rFonts w:ascii="Calibri" w:cs="Calibri" w:eastAsia="Calibri" w:hAnsi="Calibri"/>
          <w:color w:val="1E293B"/>
          <w:sz w:val="21"/>
          <w:szCs w:val="21"/>
        </w:rPr>
        <w:t xml:space="preserve">, one definition per metric with grain, filters, and exclusions stated</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The Lesson</w:t>
      </w:r>
    </w:p>
    <w:p>
      <w:pPr>
        <w:spacing w:after="140" w:line="276"/>
      </w:pPr>
      <w:r>
        <w:rPr>
          <w:rFonts w:ascii="Calibri" w:cs="Calibri" w:eastAsia="Calibri" w:hAnsi="Calibri"/>
          <w:color w:val="1E293B"/>
          <w:sz w:val="21"/>
          <w:szCs w:val="21"/>
        </w:rPr>
        <w:t xml:space="preserve">Every one of these defects lived in the reporting layer. The pipeline was fine, because the pipeline was validated by implementing it twice and comparing. The metrics were never validated, because there was only one implementation and nothing to compare it to.</w:t>
      </w:r>
    </w:p>
    <w:p>
      <w:pPr>
        <w:pBdr>
          <w:left w:val="single" w:color="2E75B6" w:sz="18" w:space="10"/>
        </w:pBdr>
        <w:shd w:fill="F1F5F9" w:val="clear"/>
        <w:spacing w:after="180" w:before="140" w:line="276"/>
        <w:ind w:left="180" w:right="180"/>
      </w:pPr>
      <w:r>
        <w:rPr>
          <w:rFonts w:ascii="Calibri" w:cs="Calibri" w:eastAsia="Calibri" w:hAnsi="Calibri"/>
          <w:color w:val="1E293B"/>
          <w:sz w:val="21"/>
          <w:szCs w:val="21"/>
        </w:rPr>
        <w:t xml:space="preserve">A metric definition that exists in exactly one place is not governed. It is just unchallenged. It looks identical to a correct one right up until someone builds a second view and the two numbers do not match, which in practice is a meeting rather than a repository.</w:t>
      </w:r>
    </w:p>
    <w:p>
      <w:pPr>
        <w:spacing w:after="140" w:line="276"/>
      </w:pPr>
      <w:r>
        <w:rPr>
          <w:rFonts w:ascii="Calibri" w:cs="Calibri" w:eastAsia="Calibri" w:hAnsi="Calibri"/>
          <w:color w:val="1E293B"/>
          <w:sz w:val="21"/>
          <w:szCs w:val="21"/>
        </w:rPr>
        <w:t xml:space="preserve">Building the second consumption layer was not about adding Power BI. It was about creating something for the first layer to be wrong against.</w:t>
      </w:r>
    </w:p>
    <w:sectPr>
      <w:footerReference w:type="default" r:id="rId7"/>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Metric Reconciliation  |  Call Center Reporting Consolidation    |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2026-08-13T17:54:20.997Z</dcterms:created>
  <dcterms:modified xsi:type="dcterms:W3CDTF">2026-08-13T17:54:20.999Z</dcterms:modified>
</cp:coreProperties>
</file>

<file path=docProps/custom.xml><?xml version="1.0" encoding="utf-8"?>
<Properties xmlns="http://schemas.openxmlformats.org/officeDocument/2006/custom-properties" xmlns:vt="http://schemas.openxmlformats.org/officeDocument/2006/docPropsVTypes"/>
</file>