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Especificação do Sistema Mediare</w:t>
      </w:r>
    </w:p>
    <w:p>
      <w:pPr>
        <w:pStyle w:val="Subtitle"/>
      </w:pPr>
      <w:r>
        <w:t>Versão 1.0 • 29 de setembro de 2026 • Proposta para validação de produto e engenharia</w:t>
      </w:r>
    </w:p>
    <w:p>
      <w:pPr>
        <w:pStyle w:val="Heading1"/>
      </w:pPr>
      <w:r>
        <w:t>1 Objetivo e orientação técnica</w:t>
      </w:r>
    </w:p>
    <w:p>
      <w:r>
        <w:t>A Mediare será uma plataforma de mediação extrajudicial online que integra identificação das partes, recebimento de provas, pagamento, análise por comitê de IAs da GenLayer, revisão humana, agendamento e assinatura do acordo. Este documento estabelece o comportamento esperado e a infraestrutura necessária para implementar o ciclo completo.</w:t>
      </w:r>
    </w:p>
    <w:p>
      <w:r>
        <w:t>Recomenda-se um backend Python com Django e Django REST Framework, organizado como monólito modular, PostgreSQL como fonte de verdade, S3 privado para documentos e filas SQS consumidas por workers Python. O frontend preservará a identidade visual existente. OpenRouter atenderá às chamadas de IA feitas pelo backend; a execução do comitê on-chain continuará sob a infraestrutura da GenLayer, por um adaptador independente.</w:t>
      </w:r>
    </w:p>
    <w:p>
      <w:r>
        <w:t>O projeto do website deve evoluir em repositório próprio, separado dos experimentos do IC e do dataset. O contrato entre os dois projetos será um esquema de entrada e saída versionado, com fixtures sintéticas e hashes dos artefatos. A implantação do website não deve promover automaticamente uma versão experimental do IC.</w:t>
      </w:r>
    </w:p>
    <w:p>
      <w:r>
        <w:t>As regras identificadas como RF são requisitos funcionais. RN são regras de negócio; RT, requisitos técnicos; CA, critérios de aceite; D, decisões pendentes. Uma recomendação indicada como “proposta” não é uma decisão comercial já aprovada. Os parâmetros de capacidade, retenção e operação apresentados são valores iniciais para validação.</w:t>
      </w:r>
    </w:p>
    <w:p>
      <w:pPr>
        <w:pStyle w:val="Heading1"/>
      </w:pPr>
      <w:r>
        <w:t>2 Escopo e análise do material existente</w:t>
      </w:r>
    </w:p>
    <w:p>
      <w:r>
        <w:t>A primeira versão usa pagamentos simulados por PIX e cartão de crédito, conforme decisão de produto. Não há cobrança real, coleta de dados bancários ou de cartão, QR Code PIX pagável nem integração com PSP nesta entrega. O fluxo de pagamento permanece implementado para validar regras e jornadas. Pagamentos reais ficam para a segunda etapa.</w:t>
      </w:r>
    </w:p>
    <w:p>
      <w:r>
        <w:t>O escopo completo abrange portal público, área das partes, área dos mediadores, administração, processamento documental, integrações de pagamento e comunicação, comitê GenLayer, sessão de mediação e assinatura. Não inclui execução judicial do acordo, custódia do valor em disputa ou repasse automático das obrigações negociadas entre as partes. Os honorários da plataforma e o pagamento previsto no acordo são operações diferentes.</w:t>
      </w:r>
    </w:p>
    <w:p>
      <w:r>
        <w:t xml:space="preserve">O site </w:t>
      </w:r>
      <w:hyperlink r:id="rId10">
        <w:r>
          <w:rPr>
            <w:color w:val="244A66"/>
          </w:rPr>
          <w:t>https://mediarev1.netlify.app/</w:t>
        </w:r>
      </w:hyperlink>
      <w:r>
        <w:t xml:space="preserve"> foi consultado em 29/09/2026, juntamente com o arquivo local index.html. Há uma landing page responsiva, navegação institucional, versões PT/EN/ES, explicação do procedimento, honorários e FAQ. Os botões operacionais mostram um aviso de demonstração. No arquivo examinado não há formulários operacionais nem chamadas fetch ao backend. O layout público pode ser reaproveitado; as telas autenticadas ainda precisam ser implementadas, salvo se existirem em outros arquivos.</w:t>
      </w:r>
    </w:p>
    <w:p>
      <w:r>
        <w:t>O conteúdo do site serve como referência de produto. Havendo divergência, esta proposta segue o rascunho de requisitos mais recente e registra a diferença abaixo.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773"/>
        <w:gridCol w:w="40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Site atual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Base desta especificação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Honorários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2% com mínimo de R$500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R$500 somados a 2% do valor em disputa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Cobrança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Após o aceite do convite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Após a entrega do requerido e o congelamento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Frontend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Apresentação e botões demonstrativos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Áreas autenticadas e integrações ainda necessárias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Identidade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Cita CPF/RG e comprovante de residência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CNH, identidade ou passaporte; endereço informado obrigatório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IA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Fala em julgar e em decisão final humana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Parecer de apoio; acordo depende das partes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Privacidade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Promete sigilo e anonimização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Publicação de JSON requer avaliação específica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Público atendido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Pessoas e empresas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Fluxo detalhado cobre pessoas físicas; PJ exige representação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Análise adicional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Site permite pedir informações e voltar ao comitê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Nova rodada controlada, sem alterar o snapshot anterior</w:t>
            </w:r>
          </w:p>
        </w:tc>
      </w:tr>
    </w:tbl>
    <w:p>
      <w:pPr>
        <w:spacing w:after="0"/>
      </w:pPr>
    </w:p>
    <w:p>
      <w:r>
        <w:t>Também existem no repositório scripts para produzir Termos de Opção e Termo Final. São componentes candidatos a reaproveitamento após revisão e adaptação; não equivalem a um serviço web pronto.</w:t>
      </w:r>
    </w:p>
    <w:p>
      <w:pPr>
        <w:pStyle w:val="Heading1"/>
      </w:pPr>
      <w:r>
        <w:t>3 Papéis e autorização</w:t>
      </w:r>
    </w:p>
    <w:p>
      <w:r>
        <w:t>Uma pessoa pode ter mais de um papel, mas as permissões devem ser avaliadas por caso e por ação. KYC aprovado não concede papel administrativo ou de mediador. Convites, credenciais e vínculos com casos são entidades distintas.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773"/>
        <w:gridCol w:w="40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Acesso permitido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Restrições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Visitante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Site, início do cadastro e convite válido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Sem documentos ou dados privados do caso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Usuário em cadastro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Próprio cadastro e KYC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Não abre nem instrui casos enquanto não habilitado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Requerente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Próprio pedido e casos vinculados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Edita sua manifestação apenas na fase permitida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Requerido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Convite vinculado, defesa e casos próprios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Aceite autenticado e KYC antes da entrega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Mediador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Casos atribuídos, originais e termos após liberação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Não acessa casos de outros mediadores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Convites, operação, parâmetros e incidentes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Documentos pessoais exigem permissão específica e auditoria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Worker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Recursos exigidos por sua tarefa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Credencial de serviço sem privilégios de usuário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Público externo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JSON expressamente liberado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Sem documentos originais ou mapa de identidades</w:t>
            </w:r>
          </w:p>
        </w:tc>
      </w:tr>
    </w:tbl>
    <w:p>
      <w:pPr>
        <w:spacing w:after="0"/>
      </w:pPr>
    </w:p>
    <w:p>
      <w:r>
        <w:rPr>
          <w:b/>
        </w:rPr>
        <w:t>RT-01.</w:t>
      </w:r>
      <w:r>
        <w:t xml:space="preserve"> </w:t>
      </w:r>
      <w:r>
        <w:t>Toda API verifica sessão, segundo fator quando exigido, papel, vínculo ao recurso e estado do fluxo. Um UUID conhecido nunca substitui autorização. Testes devem impedir que uma parte leia o KYC da outra ou modifique objetos de outro caso.</w:t>
      </w:r>
    </w:p>
    <w:p>
      <w:r>
        <w:t>Proposta de visibilidade: cada parte vê sua identidade completa, suas provas e os documentos do procedimento compartilhados. Provas da outra parte poderão ser compartilhadas após adesão, conforme política de contraditório a aprovar. Documentos de KYC não integram automaticamente esse conjunto. O mediador recebe acesso amplo aos originais do caso atribuído na revisão humana; toda abertura ou download é auditado.</w:t>
      </w:r>
    </w:p>
    <w:p>
      <w:pPr>
        <w:pStyle w:val="Heading1"/>
      </w:pPr>
      <w:r>
        <w:t>4 Cadastro autenticação e recuperação</w:t>
      </w:r>
    </w:p>
    <w:p>
      <w:r>
        <w:rPr>
          <w:b/>
        </w:rPr>
        <w:t>RF-01.</w:t>
      </w:r>
      <w:r>
        <w:t xml:space="preserve"> </w:t>
      </w:r>
      <w:r>
        <w:t>O cadastro por e-mail exige e-mail, senha e confirmação de senha. A confirmação é validada e descartada. O sistema armazena hash adaptativo da senha, preferencialmente Argon2id, nunca senha legível ou reversivelmente cifrada. O e-mail deve ser verificado antes de habilitar a conta. Respostas de recuperação não revelam se uma conta existe.</w:t>
      </w:r>
    </w:p>
    <w:p>
      <w:r>
        <w:rPr>
          <w:b/>
        </w:rPr>
        <w:t>RF-02.</w:t>
      </w:r>
      <w:r>
        <w:t xml:space="preserve"> </w:t>
      </w:r>
      <w:r>
        <w:t>O cadastro e login Google usam OpenID Connect. Além do e-mail solicitado, é tecnicamente necessário persistir o identificador estável do provedor, composto por issuer e subject, para vinculação segura. Nenhuma senha Google é armazenada. Validar assinatura, emissor, audiência, validade, nonce e fluxo de autorização. Não unir automaticamente contas apenas porque compartilham um e-mail; vinculação exige autenticação da conta existente.</w:t>
      </w:r>
    </w:p>
    <w:p>
      <w:r>
        <w:rPr>
          <w:b/>
        </w:rPr>
        <w:t>RF-03.</w:t>
      </w:r>
      <w:r>
        <w:t xml:space="preserve"> </w:t>
      </w:r>
      <w:r>
        <w:t>Esqueci a senha envia um link de uso único e expiração curta. Após a troca, revogar sessões anteriores e notificar o titular. Conta exclusivamente Google deve ser orientada ao provedor; criar senha local é um fluxo separado, com reautenticação. Recuperação de acesso não altera identidade civil nem dispensa o segundo fator.</w:t>
      </w:r>
    </w:p>
    <w:p>
      <w:r>
        <w:rPr>
          <w:b/>
        </w:rPr>
        <w:t>RF-04.</w:t>
      </w:r>
      <w:r>
        <w:t xml:space="preserve"> </w:t>
      </w:r>
      <w:r>
        <w:t>Após KYC completo, todo novo login, inclusive via Google, deve passar pelo desafio adicional escolhido entre e-mail, SMS ou WhatsApp. Antes de concluí-lo, a sessão permite apenas verificar o código, sair e recuperar acesso. Renovar uma sessão válida não deve ser tratado como login novo; expiração, inatividade e duração máxima serão configuradas.</w:t>
      </w:r>
    </w:p>
    <w:p>
      <w:r>
        <w:rPr>
          <w:b/>
        </w:rPr>
        <w:t>RT-02.</w:t>
      </w:r>
      <w:r>
        <w:t xml:space="preserve"> </w:t>
      </w:r>
      <w:r>
        <w:t>Proposta inicial para códigos: seis dígitos, validade de cinco minutos, uso único, até cinco tentativas, intervalo mínimo de sessenta segundos para reenvio e limites por conta, destino e IP. Armazenar digest protegido por segredo do servidor, não o código em claro. Invalidar desafios anteriores ao reenviar. Logs nunca registram códigos, links de recuperação ou tokens.</w:t>
      </w:r>
    </w:p>
    <w:p>
      <w:r>
        <w:rPr>
          <w:b/>
        </w:rPr>
        <w:t>RT-03.</w:t>
      </w:r>
      <w:r>
        <w:t xml:space="preserve"> </w:t>
      </w:r>
      <w:r>
        <w:t>Sessões do navegador usam cookies Secure e HttpOnly, proteção CSRF e lista explícita de origens confiáveis. Segredos não ficam no localStorage. O segundo fator por e-mail é uma opção comercial solicitada, mas sua independência é limitada quando o login Google e a caixa de e-mail são a mesma conta. Recomenda-se TOTP ou passkey para administradores e mediadores, como reforço sujeito a aprovação.</w:t>
      </w:r>
    </w:p>
    <w:p>
      <w:pPr>
        <w:pStyle w:val="Heading1"/>
      </w:pPr>
      <w:r>
        <w:t>5 Identificação e manutenção do perfil</w:t>
      </w:r>
    </w:p>
    <w:p>
      <w:r>
        <w:rPr>
          <w:b/>
        </w:rPr>
        <w:t>RF-05.</w:t>
      </w:r>
      <w:r>
        <w:t xml:space="preserve"> </w:t>
      </w:r>
      <w:r>
        <w:t>O KYC possui três etapas: documento, perfil e verificação do telefone. Aceitar CNH, carteira de identidade, incluindo RG/CIN conforme o documento apresentado, ou passaporte. Solicitar frente e verso quando aplicável. Guardar tipo, país/emissor, número extraído, nome completo, arquivo de origem, data, versão do extrator e resultado da conferência. Um número isolado não é chave global confiável.</w:t>
      </w:r>
    </w:p>
    <w:p>
      <w:r>
        <w:rPr>
          <w:b/>
        </w:rPr>
        <w:t>RF-06.</w:t>
      </w:r>
      <w:r>
        <w:t xml:space="preserve"> </w:t>
      </w:r>
      <w:r>
        <w:t>A IA pode extrair nome e número do documento, mas não aprova identidade por si só. Primeiro executar validações locais de arquivo, legibilidade e extração; em seguida usar a chamada autorizada via backend/OpenRouter para a etapa de IA prevista. Qualquer envio de documento pessoal a fornecedor externo exige configuração de privacidade e finalidade próprias, separadas da análise do mérito. Saídas incertas, inconsistentes ou não legíveis seguem para revisão humana e reenvio.</w:t>
      </w:r>
    </w:p>
    <w:p>
      <w:r>
        <w:t>Extrair texto de um documento não comprova autenticidade nem que o portador é seu titular. Decidir o nível de garantia exigido: conferência documental manual, fornecedor especializado, prova de vida ou outra evidência. A foto opcional do perfil não deve ser tratada como biometria verificada. A ativação comercial depende dessa decisão; o sistema não deve apresentar “identidade verificada” quando apenas houve OCR.</w:t>
      </w:r>
    </w:p>
    <w:p>
      <w:r>
        <w:rPr>
          <w:b/>
        </w:rPr>
        <w:t>RF-07.</w:t>
      </w:r>
      <w:r>
        <w:t xml:space="preserve"> </w:t>
      </w:r>
      <w:r>
        <w:t>O perfil exige endereço no Brasil com CEP, logradouro, número ou indicação sem número, complemento quando houver, bairro, município e UF. Foto é opcional; telefone é obrigatório porque sua confirmação conclui o KYC. Validar estrutura do endereço sem confundir consulta de CEP com comprovação de residência. Comprovante de residência não é obrigatório no rascunho e depende de decisão adicional.</w:t>
      </w:r>
    </w:p>
    <w:p>
      <w:r>
        <w:rPr>
          <w:b/>
        </w:rPr>
        <w:t>RF-08.</w:t>
      </w:r>
      <w:r>
        <w:t xml:space="preserve"> </w:t>
      </w:r>
      <w:r>
        <w:t>A GREEN-API envia o código WhatsApp gerado e validado pela Mediare. O status entregue da mensagem não comprova posse: somente a digitação correta do código conclui a verificação. Na indisponibilidade, manter a etapa pendente e permitir reenvio controlado; substituição desse canal para o KYC depende de regra aprovada.</w:t>
      </w:r>
    </w:p>
    <w:p>
      <w:r>
        <w:rPr>
          <w:b/>
        </w:rPr>
        <w:t>RF-09.</w:t>
      </w:r>
      <w:r>
        <w:t xml:space="preserve"> </w:t>
      </w:r>
      <w:r>
        <w:t>Nome completo, e-mail e identificação são imutáveis pelo autosserviço após a confirmação. Foto, endereço e telefone podem ser alterados. A troca de telefone exige reautenticação, registra o novo número como pendente e só o ativa após verificação; o número pendente nunca pode receber códigos de login. Perda do número anterior usa recuperação por canal já confiável ou revisão de identidade.</w:t>
      </w:r>
    </w:p>
    <w:p>
      <w:r>
        <w:rPr>
          <w:b/>
        </w:rPr>
        <w:t>RT-04.</w:t>
      </w:r>
      <w:r>
        <w:t xml:space="preserve"> </w:t>
      </w:r>
      <w:r>
        <w:t>Deve existir processo administrativo auditado para erro de OCR, mudança legal de nome e exercício de direitos de correção, com nova verificação e histórico. Isso não libera edição irrestrita. Alterar o perfil não reescreve a qualificação preservada em um snapshot ou acordo assinado. Caso sejam necessários CPF, CNPJ ou poderes de representação para assinatura, coletá-los em fluxo próprio; não inventá-los a partir de outro documento.</w:t>
      </w:r>
    </w:p>
    <w:p>
      <w:r>
        <w:t>Estados de KYC: não iniciado, documento recebido, em processamento, revisão necessária, perfil pendente, telefone pendente, aprovado, recusado e suspenso. Cada transição guarda motivo e responsável. KYC recusado deve admitir correção ou contestação por suporte.</w:t>
      </w:r>
    </w:p>
    <w:p>
      <w:pPr>
        <w:pStyle w:val="Heading1"/>
      </w:pPr>
      <w:r>
        <w:t>6 Upload e preservação dos originais</w:t>
      </w:r>
    </w:p>
    <w:p>
      <w:r>
        <w:rPr>
          <w:b/>
        </w:rPr>
        <w:t>RF-10.</w:t>
      </w:r>
      <w:r>
        <w:t xml:space="preserve"> </w:t>
      </w:r>
      <w:r>
        <w:t>A tela permite selecionar arquivos, selecionar pasta quando suportado pelo navegador e arrastar arquivos. Expandir pastas em arquivos individuais. Cada arquivo ganha uma linha com nome, tamanho, progresso, estado, mensagem de erro e lixeira. “Enviar todos” inicia os itens pendentes; falha em um item não perde os demais. Oferecer seleção múltipla como alternativa em navegadores sem suporte a pastas.</w:t>
      </w:r>
    </w:p>
    <w:p>
      <w:r>
        <w:rPr>
          <w:b/>
        </w:rPr>
        <w:t>RF-11.</w:t>
      </w:r>
      <w:r>
        <w:t xml:space="preserve"> </w:t>
      </w:r>
      <w:r>
        <w:t>Proposta inicial de formatos: PDF, TXT, JPEG e PNG; 25 MB por arquivo, 100 arquivos e 500 MB por caso. Limites são configuráveis e devem ser validados com amostras de uso. Áudio, vídeo, DOCX, arquivos compactados e PDFs protegidos por senha ficam fora do primeiro piloto ou exigem fluxo específico. Não executar macros ou conteúdo ativo. Validar assinatura real do arquivo, tamanho e conteúdo, não somente extensão.</w:t>
      </w:r>
    </w:p>
    <w:p>
      <w:r>
        <w:rPr>
          <w:b/>
        </w:rPr>
        <w:t>RF-12.</w:t>
      </w:r>
      <w:r>
        <w:t xml:space="preserve"> </w:t>
      </w:r>
      <w:r>
        <w:t>Os originais devem ser preservados de forma íntegra e cifrada desde o recebimento. A recomendação altera a ordem literal do rascunho: receber primeiro em uma área privada de quarentena e depois resumir e anonimizar. Isso permite processamento assíncrono confiável e mantém os originais necessários ao mediador. Anonimizar o único exemplar destruiria a fonte probatória; manter dados em memória até a IA terminar arriscaria perda e atrasaria o usuário.</w:t>
      </w:r>
    </w:p>
    <w:p>
      <w:r>
        <w:t>Fluxo proposto: criar intenção de upload na API; receber o arquivo em S3 de quarentena com SSE-KMS e TLS; conferir tamanho, checksum e versão do objeto; verificar malware; registrar o original aprovado em área privada definitiva; enfileirar extração e saneamento. Arquivos infectados ou inválidos não avançam e ficam sujeitos à política de descarte. O banco armazena metadados, vínculos e derivados JSON; os binários ficam no S3.</w:t>
      </w:r>
    </w:p>
    <w:p>
      <w:r>
        <w:rPr>
          <w:b/>
        </w:rPr>
        <w:t>RT-05.</w:t>
      </w:r>
      <w:r>
        <w:t xml:space="preserve"> </w:t>
      </w:r>
      <w:r>
        <w:t>Uma URL pré-assinada é uma permissão temporária de acesso a um objeto, não um modo de criptografia. Buckets terão bloqueio de acesso público, políticas IAM mínimas e chaves de objetos sem nomes pessoais. Uploads podem usar autorização temporária restrita a uma chave de quarentena, tamanho e prazo. Para cumprir estritamente “somente a plataforma acessa os originais”, downloads serão transmitidos pela API após autorização. Download direto por URL assinada curta é uma alternativa explícita, pois quem possui o link consegue usá-lo enquanto válido. [F3]</w:t>
      </w:r>
    </w:p>
    <w:p>
      <w:r>
        <w:rPr>
          <w:b/>
        </w:rPr>
        <w:t>RT-06.</w:t>
      </w:r>
      <w:r>
        <w:t xml:space="preserve"> </w:t>
      </w:r>
      <w:r>
        <w:t>Uma URL de upload pode ser reutilizada durante sua validade. Não permitir que uma escrita posterior altere um original já conferido: registrar versionId e hash, consumir somente essa versão e promover para chave definitiva não disponível ao navegador. O processamento nunca busca “a versão mais recente” de uma chave mutável.</w:t>
      </w:r>
    </w:p>
    <w:p>
      <w:r>
        <w:rPr>
          <w:b/>
        </w:rPr>
        <w:t>RF-13.</w:t>
      </w:r>
      <w:r>
        <w:t xml:space="preserve"> </w:t>
      </w:r>
      <w:r>
        <w:t>Remover antes do envio apenas retira o item da tela; remover após o envio e antes do congelamento desvincula a prova da versão corrente, cancela trabalhos pendentes e agenda descarte conforme retenção. Após o congelamento, a operação é negada. Soft delete não equivale a eliminação física: expiração de versões S3 e backups deve obedecer política documentada.</w:t>
      </w:r>
    </w:p>
    <w:p>
      <w:pPr>
        <w:pStyle w:val="Heading1"/>
      </w:pPr>
      <w:r>
        <w:t>7 Extração resumo e anonimização</w:t>
      </w:r>
    </w:p>
    <w:p>
      <w:r>
        <w:rPr>
          <w:b/>
        </w:rPr>
        <w:t>RT-07.</w:t>
      </w:r>
      <w:r>
        <w:t xml:space="preserve"> </w:t>
      </w:r>
      <w:r>
        <w:t>Todo processamento documental será assíncrono, inclusive o realizado localmente. A resposta do upload retorna um ID de trabalho e o frontend acompanha seus estados. Filas separam documentos, notificações e blockchain, evitando que OCR demorado impeça envio de códigos de autenticação.</w:t>
      </w:r>
    </w:p>
    <w:p>
      <w:r>
        <w:t>É possível executar em Python local a extração de texto de PDFs, OCR por ferramenta local, normalização e detecção de padrões como e-mails, telefones e identificadores. Reconhecimento de nomes, endereços e organizações pode combinar modelo de linguagem local e regras brasileiras. Esses métodos precisam de validação em português e não asseguram anonimização completa. Resumo extrativo local é uma primeira opção; resumo semântico de narrativas complexas exige benchmark antes de decidir entre modelo local e OpenRouter.</w:t>
      </w:r>
    </w:p>
    <w:p>
      <w:r>
        <w:t>Pipeline proposto: conferir original → extrair texto/OCR → localizar entidades e referências indiretas → substituir por marcadores consistentes dentro do caso → gerar resumo → validar JSON, fatos, números e referências → executar nova detecção de dados identificáveis → revisar exceções → liberar versão. Tabelas de valores, datas relevantes, obrigações, pedidos e contradições devem sobreviver ao resumo. Informação incerta recebe marcação explícita, sem preenchimento por adivinhação.</w:t>
      </w:r>
    </w:p>
    <w:p>
      <w:r>
        <w:rPr>
          <w:b/>
        </w:rPr>
        <w:t>RF-14.</w:t>
      </w:r>
      <w:r>
        <w:t xml:space="preserve"> </w:t>
      </w:r>
      <w:r>
        <w:t>Usar pseudônimos consistentes para requerente, requerido e terceiros, sem reutilizar o mesmo pseudônimo entre casos. Separar o mapa de correspondência em armazenamento privado cifrado, acessível apenas aos serviços autorizados. Documento saneado e documento resumido são artefatos diferentes: a análise jurídica não deve depender exclusivamente de um resumo que possa omitir uma ressalva importante.</w:t>
      </w:r>
    </w:p>
    <w:p>
      <w:r>
        <w:rPr>
          <w:b/>
        </w:rPr>
        <w:t>RF-15.</w:t>
      </w:r>
      <w:r>
        <w:t xml:space="preserve"> </w:t>
      </w:r>
      <w:r>
        <w:t>Cada derivado recebe UUIDv7, versão de esquema, idioma, referências às fontes, páginas, limitações, versão do pipeline, modelo/provedor quando usados e hash. Guardar o JSON validado em JSONB; preservar a representação canônica exata publicada como artefato imutável. Um novo processamento cria nova versão; não sobrescreve o conteúdo já analisado.</w:t>
      </w:r>
    </w:p>
    <w:p>
      <w:r>
        <w:rPr>
          <w:b/>
        </w:rPr>
        <w:t>RT-08.</w:t>
      </w:r>
      <w:r>
        <w:t xml:space="preserve"> </w:t>
      </w:r>
      <w:r>
        <w:t>Enviar ao OpenRouter preferencialmente texto já saneado. Documento KYC ou prova não saneada constitui uma exceção controlada, com finalidade e fornecedor autorizados, nunca fallback silencioso. Restringir provedores/modelos, desabilitar coleta para treinamento e exigir retenção zero onde contratualmente disponível. Se não houver rota compatível, a tarefa deve parar para revisão. Esses controles não impedem que o fornecedor processe os dados durante a inferência. [F4]</w:t>
      </w:r>
    </w:p>
    <w:p>
      <w:r>
        <w:rPr>
          <w:b/>
        </w:rPr>
        <w:t>RT-09.</w:t>
      </w:r>
      <w:r>
        <w:t xml:space="preserve"> </w:t>
      </w:r>
      <w:r>
        <w:t>Conteúdo dos arquivos é entrada não confiável. Instruções dentro de documentos não podem mudar o comportamento do worker, executar ferramentas, definir URLs de saída ou obter segredos. O extrator usa ambiente isolado, limites de memória/tempo e rede restrita. A LLM devolve esquema validado; nenhum HTML, comando ou decisão de autorização produzido por ela é executado diretamente.</w:t>
      </w:r>
    </w:p>
    <w:p>
      <w:r>
        <w:rPr>
          <w:b/>
        </w:rPr>
        <w:t>CA-01.</w:t>
      </w:r>
      <w:r>
        <w:t xml:space="preserve"> </w:t>
      </w:r>
      <w:r>
        <w:t>Construir corpus autorizado com documentos digitais, scans, tabelas, homônimos e referências indiretas. Medir extração de valores/datas, omissões factuais e identificação de dados pessoais. O conjunto de liberação não pode conter vazamento detectado; isso é um teste, não garantia universal. Durante o piloto, toda publicação pública terá revisão humana registrada.</w:t>
      </w:r>
    </w:p>
    <w:p>
      <w:pPr>
        <w:pStyle w:val="Heading1"/>
      </w:pPr>
      <w:r>
        <w:t>8 Publicação dos dados e acesso do contrato</w:t>
      </w:r>
    </w:p>
    <w:p>
      <w:r>
        <w:rPr>
          <w:b/>
        </w:rPr>
        <w:t>RF-16.</w:t>
      </w:r>
      <w:r>
        <w:t xml:space="preserve"> </w:t>
      </w:r>
      <w:r>
        <w:t>O sistema disponibilizará JSON aprovado em GET /public/v1/cases/{snapshot_uuid}.json. Cada documento saneado terá identidade própria; o snapshot do processo reunirá manifestações e provas aprovadas. A API não publicará os originais, arquivos KYC, nomes de arquivo originais, contatos, endereços, mapa de identidades ou identificadores internos de usuários.</w:t>
      </w:r>
    </w:p>
    <w:p>
      <w:r>
        <w:t>UUIDv7 tem 128 bits e inclui componente temporal. Sua finalidade é identificação e ordenação, não sigilo nem autorização. A URL pública pode ser copiada, indexada ou correlacionada. Desabilitar listagens e solicitar não indexação reduz descoberta casual, mas não torna o acesso privado. [F5]</w:t>
      </w:r>
    </w:p>
    <w:p>
      <w:r>
        <w:rPr>
          <w:b/>
        </w:rPr>
        <w:t>RN-01.</w:t>
      </w:r>
      <w:r>
        <w:t xml:space="preserve"> </w:t>
      </w:r>
      <w:r>
        <w:t>Publicação requer dois controles independentes: avaliação do risco de reidentificação e validação do uso externo de informações da mediação. A LGPD distingue dados efetivamente anonimizados de dados reversíveis ou associáveis por meios razoáveis; nomes mascarados não resolvem todos os casos. A confidencialidade da mediação também deve ser analisada, mesmo quando não restam identificadores diretos. [F1, F2]</w:t>
      </w:r>
    </w:p>
    <w:p>
      <w:r>
        <w:t>Proposta de estados: privado, saneado, aguardando revisão, aprovado para publicação, publicado e retirado. Somente o estado publicado atende requisições públicas. Caso não seja possível liberar o conteúdo com segurança e finalidade válida, bloquear a análise pública e encaminhar para solução privada a ser avaliada com a GenLayer. Não supor que uma URL secreta ou pré-assinada entregue ao contrato permanecerá confidencial.</w:t>
      </w:r>
    </w:p>
    <w:p>
      <w:r>
        <w:rPr>
          <w:b/>
        </w:rPr>
        <w:t>RN-02.</w:t>
      </w:r>
      <w:r>
        <w:t xml:space="preserve"> </w:t>
      </w:r>
      <w:r>
        <w:t>O JSON publicado será imutável e terá hash SHA-256. Para manter a chamada do IC com um único UUID, esse UUID deve identificar o snapshot de análise, distinto do ID estável da mediação. O endpoint retorna sempre os mesmos bytes. Publicar nova versão exige novo UUID. A serialização e a verificação do hash precisam ser iguais no backend e no adaptador do contrato.</w:t>
      </w:r>
    </w:p>
    <w:p>
      <w:r>
        <w:t>A retirada bloqueia futuros acessos e invalida caches controlados, mas não apaga cópias já obtidas nem registros on-chain. Incidentes de publicação interrompem novas análises, retiram o conteúdo e iniciam o processo de resposta. A escolha de conteúdo on-chain deve considerar essa irreversibilidade antes do primeiro envio.</w:t>
      </w:r>
    </w:p>
    <w:p>
      <w:pPr>
        <w:pStyle w:val="Heading1"/>
      </w:pPr>
      <w:r>
        <w:t>9 Pedido convite e adesão</w:t>
      </w:r>
    </w:p>
    <w:p>
      <w:r>
        <w:rPr>
          <w:b/>
        </w:rPr>
        <w:t>RF-17.</w:t>
      </w:r>
      <w:r>
        <w:t xml:space="preserve"> </w:t>
      </w:r>
      <w:r>
        <w:t>Somente usuário habilitado pelo KYC abre um pedido. Criar um rascunho com UUIDv7, requerente, valor em disputa em BRL, provas e carta com pedidos. O editor oferece títulos, listas, negrito, itálico e parágrafos; armazena estrutura de documento validada e renderiza HTML saneado. Colagem ou importação não admite scripts ou recursos remotos ativos.</w:t>
      </w:r>
    </w:p>
    <w:p>
      <w:r>
        <w:rPr>
          <w:b/>
        </w:rPr>
        <w:t>RF-18.</w:t>
      </w:r>
      <w:r>
        <w:t xml:space="preserve"> </w:t>
      </w:r>
      <w:r>
        <w:t>A carta pode ser importada de PDF ou TXT. PDF digital passa por extração e PDF digitalizado por OCR. A importação gera conteúdo para revisão do usuário e preserva o arquivo de origem como anexo; não promete conservar a diagramação original. O usuário confirma o texto antes de enviar.</w:t>
      </w:r>
    </w:p>
    <w:p>
      <w:r>
        <w:rPr>
          <w:b/>
        </w:rPr>
        <w:t>RF-19.</w:t>
      </w:r>
      <w:r>
        <w:t xml:space="preserve"> </w:t>
      </w:r>
      <w:r>
        <w:t>O requerente informa e-mail e/ou telefone do requerido, com pelo menos um canal válido, e propõe o rateio. A tela mostra valor em disputa, honorários totais e valor devido por cada parte antes de enviar o convite. O ID interno pode ser criado no primeiro rascunho para vincular anexos; o protocolo formal é apresentado no envio.</w:t>
      </w:r>
    </w:p>
    <w:p>
      <w:r>
        <w:rPr>
          <w:b/>
        </w:rPr>
        <w:t>RF-20.</w:t>
      </w:r>
      <w:r>
        <w:t xml:space="preserve"> </w:t>
      </w:r>
      <w:r>
        <w:t>O convite envia mensagem pelo canal disponível, explicando a finalidade, o rateio e os próximos passos sem anexar provas ou revelar detalhes sensíveis. O link inclui ID da mediação e token aleatório próprio, de uso controlado, revogável e com prazo. Persistir digest do token. O simples conhecimento do ID não autoriza ingresso no caso.</w:t>
      </w:r>
    </w:p>
    <w:p>
      <w:r>
        <w:rPr>
          <w:b/>
        </w:rPr>
        <w:t>RF-21.</w:t>
      </w:r>
      <w:r>
        <w:t xml:space="preserve"> </w:t>
      </w:r>
      <w:r>
        <w:t>O requerido pode indicar interesse ou recusa na página do convite. A adesão definitiva deve ser vinculada a uma conta autenticada e à versão exata do pedido e do rateio exibidos. Em seguida conclui KYC, apresenta provas e redige contra-argumentos. Quem já tem KYC válido não repete toda a identificação, salvo regra de revisão.</w:t>
      </w:r>
    </w:p>
    <w:p>
      <w:r>
        <w:rPr>
          <w:b/>
        </w:rPr>
        <w:t>RF-22.</w:t>
      </w:r>
      <w:r>
        <w:t xml:space="preserve"> </w:t>
      </w:r>
      <w:r>
        <w:t>Antes do congelamento, cada parte edita apenas seus documentos e sua manifestação. O requerente pode corrigir contatos do destinatário. Depois que o convite estiver vinculado a uma pessoa, alterar o contato não troca silenciosamente a parte: exige cancelamento ou reemissão controlada. Links antigos são revogados quando necessário.</w:t>
      </w:r>
    </w:p>
    <w:p>
      <w:r>
        <w:rPr>
          <w:b/>
        </w:rPr>
        <w:t>RN-03.</w:t>
      </w:r>
      <w:r>
        <w:t xml:space="preserve"> </w:t>
      </w:r>
      <w:r>
        <w:t>Toda alteração material do pedido, valor em disputa ou rateio após aceite invalida esse aceite e exige reconfirmação. Alterações documentais geram novas revisões e aviso à contraparte. O requerido vê a revisão atual antes de “Iniciar mediação”. A API compara a revisão esperada e retorna conflito se houver edição concorrente.</w:t>
      </w:r>
    </w:p>
    <w:p>
      <w:r>
        <w:rPr>
          <w:b/>
        </w:rPr>
        <w:t>RF-23.</w:t>
      </w:r>
      <w:r>
        <w:t xml:space="preserve"> </w:t>
      </w:r>
      <w:r>
        <w:t>“Iniciar mediação” exige ambos os KYC habilitados, adesão e rateio atuais, manifestações presentes e todos os anexos em estado válido. Em uma transação, o backend bloqueia o caso, congela as revisões das duas partes, valores, condições comerciais e versões de termos aceitos, gera o snapshot e cria as obrigações de pagamento. Provas e manifestações não podem ser alteradas por endpoints alternativos.</w:t>
      </w:r>
    </w:p>
    <w:p>
      <w:r>
        <w:t>O rótulo do botão representa o início do processamento operacional. O momento jurídico de instituição da mediação tem regra própria e deve ser refletido nos termos da plataforma. [F1]</w:t>
      </w:r>
    </w:p>
    <w:p>
      <w:pPr>
        <w:pStyle w:val="Heading1"/>
      </w:pPr>
      <w:r>
        <w:t>10 Honorários pagamento e exceções</w:t>
      </w:r>
    </w:p>
    <w:p>
      <w:r>
        <w:rPr>
          <w:b/>
        </w:rPr>
        <w:t>RN-04.</w:t>
      </w:r>
      <w:r>
        <w:t xml:space="preserve"> </w:t>
      </w:r>
      <w:r>
        <w:t>Honorários = R$500,00 + 2% do valor total em disputa. Guardar a tabela de preços e a versão usada em cada caso. Usar centavos inteiros ou Decimal; nunca float binário para cálculos financeiros. Arredondar para centavos com regra única documentada.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9"/>
        <w:gridCol w:w="2016"/>
        <w:gridCol w:w="2592"/>
        <w:gridCol w:w="2448"/>
      </w:tblGrid>
      <w:tr>
        <w:trPr>
          <w:cantSplit/>
          <w:tblHeader/>
        </w:trPr>
        <w:tc>
          <w:tcPr>
            <w:tcW w:type="dxa" w:w="27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Valor em disputa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Parcela fixa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Parcela percentual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Honorários</w:t>
            </w:r>
          </w:p>
        </w:tc>
      </w:tr>
      <w:tr>
        <w:trPr>
          <w:cantSplit/>
        </w:trPr>
        <w:tc>
          <w:tcPr>
            <w:tcW w:type="dxa" w:w="27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R$10.000,00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R$500,00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R$200,00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R$700,00</w:t>
            </w:r>
          </w:p>
        </w:tc>
      </w:tr>
      <w:tr>
        <w:trPr>
          <w:cantSplit/>
        </w:trPr>
        <w:tc>
          <w:tcPr>
            <w:tcW w:type="dxa" w:w="27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R$50.000,00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R$500,00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R$1.000,00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R$1.500,00</w:t>
            </w:r>
          </w:p>
        </w:tc>
      </w:tr>
      <w:tr>
        <w:trPr>
          <w:cantSplit/>
        </w:trPr>
        <w:tc>
          <w:tcPr>
            <w:tcW w:type="dxa" w:w="27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R$100.000,00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R$500,00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R$2.000,00</w:t>
            </w:r>
          </w:p>
        </w:tc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R$2.500,00</w:t>
            </w:r>
          </w:p>
        </w:tc>
      </w:tr>
    </w:tbl>
    <w:p>
      <w:pPr>
        <w:spacing w:after="0"/>
      </w:pPr>
    </w:p>
    <w:p>
      <w:r>
        <w:rPr>
          <w:b/>
        </w:rPr>
        <w:t>RN-05.</w:t>
      </w:r>
      <w:r>
        <w:t xml:space="preserve"> </w:t>
      </w:r>
      <w:r>
        <w:t>O requerente escolhe pagar 0%, 10%, 20%, até 100%, com complemento para o requerido. Calcular uma cota arredondada e a outra como diferença do total para não perder centavos. Cota zero é “não devida” e nunca gera cobrança. “Ambos pagaram” significa que todas as cotas positivas foram liquidadas.</w:t>
      </w:r>
    </w:p>
    <w:p>
      <w:r>
        <w:rPr>
          <w:b/>
        </w:rPr>
        <w:t>RF-24.</w:t>
      </w:r>
      <w:r>
        <w:t xml:space="preserve"> </w:t>
      </w:r>
      <w:r>
        <w:t>Após congelamento, enviar a ambos aviso de pagamento pendente por e-mail e WhatsApp, conforme canais verificados. Cada parte acessa apenas sua obrigação. Na V1, o checkout será um simulador com opções PIX e cartão de crédito, identificação permanente “Simulação — nenhum valor será cobrado” e comandos de teste para aprovar, recusar ou expirar a operação. Não solicitar número de cartão, CVV, chave PIX ou transferência. O PIX terá apenas representação visual não pagável. Na etapa 2, substituir o adaptador por PSP com checkout hospedado, tokenização, webhooks, consulta e estorno. Fornecedor, parcelamento, tarifas e responsabilidade fiscal permanecem pendentes.</w:t>
      </w:r>
    </w:p>
    <w:p>
      <w:r>
        <w:rPr>
          <w:b/>
        </w:rPr>
        <w:t>RT-10.</w:t>
      </w:r>
      <w:r>
        <w:t xml:space="preserve"> </w:t>
      </w:r>
      <w:r>
        <w:t>O retorno do navegador não confirma pagamento. Na V1, o simulador executa a confirmação no backend por comandos autenticados restritos ao modo simulado; ele também permite testar eventos duplicados e fora de ordem. Na etapa 2, webhook autenticado e consulta de reconciliação atualizam a obrigação. Deduplicar eventos, tolerar eventos fora de ordem e impedir cobrança duplicada por clique ou retry. A soma líquida confirmada deve satisfazer cada obrigação antes de liberar análise. Eventos com valor, moeda ou referência divergentes vão para revisão.</w:t>
      </w:r>
    </w:p>
    <w:p>
      <w:r>
        <w:rPr>
          <w:b/>
        </w:rPr>
        <w:t>RF-25.</w:t>
      </w:r>
      <w:r>
        <w:t xml:space="preserve"> </w:t>
      </w:r>
      <w:r>
        <w:t>Quando todas as cotas positivas estiverem liquidadas (simuladas na V1) e o snapshot liberado para análise, registrar evento de caso pronto. Em falha entre commit e publicação na fila, a outbox garante reenvio. Uma única chave de execução por snapshot impede iniciar duas análises pela repetição do webhook.</w:t>
      </w:r>
    </w:p>
    <w:p>
      <w:r>
        <w:rPr>
          <w:b/>
        </w:rPr>
        <w:t>RT-10A.</w:t>
      </w:r>
      <w:r>
        <w:t xml:space="preserve"> </w:t>
      </w:r>
      <w:r>
        <w:t>Registrar payment_mode = simulated ou live em orçamento, obrigação, tentativa e evento. A simulação não gera receita, comprovante fiscal ou crédito financeiro. Estados simulados devem ser identificados na tela e nos avisos. Sua liberação do fluxo de análise só vale para casos explicitamente configurados no modo simulado; nunca satisfaz cotas live. Na migração, casos existentes conservam seu modo e não são cobrados retroativamente. Restringir a ativação do modo simulado no servidor e auditar comandos de teste. Chamadas reais a IA, mensagens, assinatura ou blockchain podem gerar custos mesmo com cobrança simulada; usar sandboxes/adaptadores falsos por padrão no desenvolvimento e liberar integrações reais por configuração controlada.</w:t>
      </w:r>
    </w:p>
    <w:p>
      <w:r>
        <w:rPr>
          <w:b/>
        </w:rPr>
        <w:t>RF-26.</w:t>
      </w:r>
      <w:r>
        <w:t xml:space="preserve"> </w:t>
      </w:r>
      <w:r>
        <w:t>Prever convite recusado/expirado, abandono de KYC, pagamento parcial, cobrança expirada, falha de provedor, desistência, estorno e chargeback. Antes do pagamento completo não há análise. Estorno ou disputa após análise gera revisão operacional e financeira, preservando o histórico. Nenhum status apaga um resultado já produzido.</w:t>
      </w:r>
    </w:p>
    <w:p>
      <w:r>
        <w:t>A política de reembolso depende de etapa, custos incorridos e validação jurídica. A afirmação atual do site sobre impossibilidade de reembolso após análise não deve virar bloqueio técnico absoluto. Não cobrar o requerido que não aderiu; lembretes de dívida não podem ser enviados a mero convidado.</w:t>
      </w:r>
    </w:p>
    <w:p>
      <w:pPr>
        <w:pStyle w:val="Heading1"/>
      </w:pPr>
      <w:r>
        <w:t>11 Estados e consistência do processo</w:t>
      </w:r>
    </w:p>
    <w:p>
      <w:r>
        <w:t>O estado principal da mediação representa a etapa do serviço. KYC, documentos, pagamentos, processamento e assinatura têm estados próprios. Isso permite mostrar, por exemplo, “pagamento pendente” com um anexo em revisão sem criar dezenas de estados combinados.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773"/>
        <w:gridCol w:w="40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Estado principal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Condição para avançar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Próximo estado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Rascunho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Pedido válido e convite emitido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Aguardando adesão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Aguardando adesão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Aceite autenticado e atual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Em instrução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Em instrução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KYC, documentos e revisões válidos; ação do requerido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Aguardando pagamento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Aguardando pagamento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Cotas positivas liquidadas e snapshot liberado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Pronto para análise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Pronto para análise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Execução registrada pelo worker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Em análise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Em análise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Resultado validado e finalizado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Revisão humana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Revisão humana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Mediador salva termo e propõe cinco horários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Em agendamento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Em agendamento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Interseção confirmada e horário reservado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Agendado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Agendado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Sessão iniciada pelo mediador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Em sessão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Em sessão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Versão final concordada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Em assinatura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Em assinatura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Três assinaturas válidas da mesma versão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Concluído com acordo</w:t>
            </w:r>
          </w:p>
        </w:tc>
      </w:tr>
    </w:tbl>
    <w:p>
      <w:pPr>
        <w:spacing w:after="0"/>
      </w:pPr>
    </w:p>
    <w:p>
      <w:r>
        <w:t>Estados alternativos: convite recusado, convite expirado, cancelado, suspenso, falha técnica recuperável e encerrado sem acordo. Toda transição tem autor, data, motivo e condições verificadas no servidor. Termo final de encerramento deve existir também quando não houver acordo, conforme modelo a aprovar.</w:t>
      </w:r>
    </w:p>
    <w:p>
      <w:r>
        <w:rPr>
          <w:b/>
        </w:rPr>
        <w:t>RT-11.</w:t>
      </w:r>
      <w:r>
        <w:t xml:space="preserve"> </w:t>
      </w:r>
      <w:r>
        <w:t>Usar transações PostgreSQL e controle de concorrência por revisão. Congelamento, cálculo de cotas, emissão do evento e registro do snapshot devem formar uma operação consistente. Integrações externas não permanecem dentro de transações longas; usar estados intermediários, outbox e reconciliação.</w:t>
      </w:r>
    </w:p>
    <w:p>
      <w:r>
        <w:rPr>
          <w:b/>
        </w:rPr>
        <w:t>RT-12.</w:t>
      </w:r>
      <w:r>
        <w:t xml:space="preserve"> </w:t>
      </w:r>
      <w:r>
        <w:t>Comandos relevantes recebem chave de idempotência: convite, cobrança, congelamento, análise, remarcação e assinatura. Repetir a mesma chave e conteúdo retorna a operação existente; reutilizar a chave com conteúdo diferente resulta em conflito. Webhooks têm restrição única por provedor e ID do evento.</w:t>
      </w:r>
    </w:p>
    <w:p>
      <w:pPr>
        <w:pStyle w:val="Heading1"/>
      </w:pPr>
      <w:r>
        <w:t>12 Integração com o comitê GenLayer</w:t>
      </w:r>
    </w:p>
    <w:p>
      <w:r>
        <w:rPr>
          <w:b/>
        </w:rPr>
        <w:t>RF-27.</w:t>
      </w:r>
      <w:r>
        <w:t xml:space="preserve"> </w:t>
      </w:r>
      <w:r>
        <w:t>Um worker consome processos prontos e submete transação ao Intelligent Contract. Persistir rede, endereço do contrato, versão e hash do código, UUID e hash do snapshot, ID da operação, remetente, hash da transação e tentativas. A carteira é da plataforma, com segredo protegido; usuários não precisam de carteira blockchain para mediar.</w:t>
      </w:r>
    </w:p>
    <w:p>
      <w:r>
        <w:t>A interface proposta é analyze_case(snapshot_uuid). O contrato deriva a URL de um domínio fixo autorizado, carrega o snapshot imutável e valida seu esquema. É recomendável também fixar ou verificar o hash de entrada; isso pode exigir registro anterior ou extensão da interface. Não aceitar URLs arbitrárias fornecidas pelo usuário.</w:t>
      </w:r>
    </w:p>
    <w:p>
      <w:r>
        <w:rPr>
          <w:b/>
        </w:rPr>
        <w:t>RF-28.</w:t>
      </w:r>
      <w:r>
        <w:t xml:space="preserve"> </w:t>
      </w:r>
      <w:r>
        <w:t>Acompanhar submissão, execução, eventual decisão provisória e finalização conforme a rede contratada. Não tratar recibo inicial ou resultado provisório como consenso final. Salvar o retorno bruto e a representação normalizada; verificar UUID, esquema e versão esperados antes de liberar o mediador. A infraestrutura GenLayer possui processo próprio de consenso e finalização. [F7]</w:t>
      </w:r>
    </w:p>
    <w:p>
      <w:r>
        <w:rPr>
          <w:b/>
        </w:rPr>
        <w:t>RT-13.</w:t>
      </w:r>
      <w:r>
        <w:t xml:space="preserve"> </w:t>
      </w:r>
      <w:r>
        <w:t>Se houver timeout após envio, procurar a transação existente antes de reenviar. Persistir a transação assinada ou informações suficientes para recuperar seu hash antes da transmissão. Serializar nonces por carteira. Falta de saldo, RPC indisponível, resultado inválido ou ausência de consenso suspendem a operação com motivo e limite de tentativas. Nunca transformar falha em parecer aprovado.</w:t>
      </w:r>
    </w:p>
    <w:p>
      <w:r>
        <w:t>O código ic_v30.py examinado em 29/09/2026 valida IDs numéricos de quatro dígitos, monta URL de dataset e armazena case_id, painel e termo_opcao em um único conjunto de campos. Portanto, não suporta diretamente UUIDv7 e histórico concorrente de várias mediações. A interface pública de análise examinada também precisa de política de autorização e proteção contra reexecução para uso em produção.</w:t>
      </w:r>
    </w:p>
    <w:p>
      <w:r>
        <w:t>Proposta de adaptação: contrato com registros por snapshot UUID, controle do chamador, entrada imutável, resultado recuperável por UUID e execução idempotente. Alternativa a medir: uma instância por processo. Escolher após avaliar armazenamento, taxas e limitações da rede; não reutilizar a instância experimental como se fosse um banco multiusuário. O adaptador Python ficará isolado das dependências da API web.</w:t>
      </w:r>
    </w:p>
    <w:p>
      <w:r>
        <w:rPr>
          <w:b/>
        </w:rPr>
        <w:t>RF-29.</w:t>
      </w:r>
      <w:r>
        <w:t xml:space="preserve"> </w:t>
      </w:r>
      <w:r>
        <w:t>OpenRouter no backend e consenso on-chain são integrações diferentes. O primeiro prepara documentos e executa tarefas auxiliares. O segundo decide a validade do parecer sob o protocolo GenLayer. O runner local de múltiplas LLMs não será apresentado como consenso on-chain. A configuração de provedores OpenRouter não controla automaticamente os modelos dos validadores.</w:t>
      </w:r>
    </w:p>
    <w:p>
      <w:r>
        <w:rPr>
          <w:b/>
        </w:rPr>
        <w:t>CA-02.</w:t>
      </w:r>
      <w:r>
        <w:t xml:space="preserve"> </w:t>
      </w:r>
      <w:r>
        <w:t>Validar em ambiente de teste dois processos concorrentes, recuperação após reinício do worker, indisponibilidade do endpoint público, resultado provisório, finalização, ausência de consenso e tentativa duplicada. Cada resultado deve permanecer associado ao snapshot correto. A versão do IC promovida será escolhida pelo processo de validação do projeto, não por ser a de maior número.</w:t>
      </w:r>
    </w:p>
    <w:p>
      <w:pPr>
        <w:pStyle w:val="Heading1"/>
      </w:pPr>
      <w:r>
        <w:t>13 Administração e mediadores</w:t>
      </w:r>
    </w:p>
    <w:p>
      <w:r>
        <w:rPr>
          <w:b/>
        </w:rPr>
        <w:t>RF-30.</w:t>
      </w:r>
      <w:r>
        <w:t xml:space="preserve"> </w:t>
      </w:r>
      <w:r>
        <w:t>O primeiro administrador é criado por procedimento de bootstrap de uso único, vinculado a identidade previamente autorizada. Deve completar o mesmo KYC e autenticação adicional antes de acessar operações administrativas. Desabilitar o bootstrap após uso. Administradores ativos podem convidar outros administradores; o convite não contorna o KYC.</w:t>
      </w:r>
    </w:p>
    <w:p>
      <w:r>
        <w:rPr>
          <w:b/>
        </w:rPr>
        <w:t>RF-31.</w:t>
      </w:r>
      <w:r>
        <w:t xml:space="preserve"> </w:t>
      </w:r>
      <w:r>
        <w:t>Mediadores somente entram por convite administrativo e completam cadastro, KYC e verificação de capacitação pela operação. Registrar situação ativa/inativa, disponibilidade, conflitos de interesse, atribuições e aceite das regras. KYC verifica identidade; não comprova qualificação profissional.</w:t>
      </w:r>
    </w:p>
    <w:p>
      <w:r>
        <w:rPr>
          <w:b/>
        </w:rPr>
        <w:t>RF-32.</w:t>
      </w:r>
      <w:r>
        <w:t xml:space="preserve"> </w:t>
      </w:r>
      <w:r>
        <w:t>Na criação formal do caso, sortear um mediador elegível, registrando candidatos elegíveis, resultado, data e regra utilizada. A atribuição inicialmente fica oculta às partes. Caso não haja mediador elegível, manter em fila de atribuição e alertar a operação; não perder o processo. Limites de carga podem filtrar os elegíveis antes do sorteio, como política proposta.</w:t>
      </w:r>
    </w:p>
    <w:p>
      <w:r>
        <w:rPr>
          <w:b/>
        </w:rPr>
        <w:t>RF-33.</w:t>
      </w:r>
      <w:r>
        <w:t xml:space="preserve"> </w:t>
      </w:r>
      <w:r>
        <w:t>Após consenso final e liberação para revisão, o mediador é notificado e acessa documentos originais de identificação, provas, cartas, valor em disputa e parecer de IA do caso atribuído. Impedimento, suspeição ou indisponibilidade levam a reassociação auditada. Proposta: revelar o mediador às partes antes do agendamento, com possibilidade de objeção; a seleção interna não substitui sua aceitação pelas partes. [F1]</w:t>
      </w:r>
    </w:p>
    <w:p>
      <w:r>
        <w:rPr>
          <w:b/>
        </w:rPr>
        <w:t>RF-34.</w:t>
      </w:r>
      <w:r>
        <w:t xml:space="preserve"> </w:t>
      </w:r>
      <w:r>
        <w:t>O painel administrativo gerencia convites, habilitação de mediadores, exceções KYC, filas com falha, pagamentos em reconciliação, casos suspensos e políticas versionadas. Ações críticas exigem motivo e reautenticação. Não permitir editar diretamente snapshots, transações pagas, pareceres originais ou acordos assinados, mesmo pelo administrador.</w:t>
      </w:r>
    </w:p>
    <w:p>
      <w:pPr>
        <w:pStyle w:val="Heading1"/>
      </w:pPr>
      <w:r>
        <w:t>14 Revisão humana e versões do termo</w:t>
      </w:r>
    </w:p>
    <w:p>
      <w:r>
        <w:rPr>
          <w:b/>
        </w:rPr>
        <w:t>RF-35.</w:t>
      </w:r>
      <w:r>
        <w:t xml:space="preserve"> </w:t>
      </w:r>
      <w:r>
        <w:t>O resultado estruturado do comitê será preservado integralmente. A primeira minuta de termo derivada dele recebe v1 e referência ao resultado. Se o IC fornecer alternativas ou Termos de Opção, mostrá-los como propostas de negociação; a plataforma não deve selecionar um acordo em nome das partes.</w:t>
      </w:r>
    </w:p>
    <w:p>
      <w:r>
        <w:rPr>
          <w:b/>
        </w:rPr>
        <w:t>RF-36.</w:t>
      </w:r>
      <w:r>
        <w:t xml:space="preserve"> </w:t>
      </w:r>
      <w:r>
        <w:t>O mediador edita livremente a minuta em editor com formatação. Cada clique em Salvar cria nova versão imutável com autor, horário, motivo opcional e referência à versão anterior. Autosave pode preservar um rascunho de recuperação, mas não substitui as versões explícitas. Usar controle de concorrência para que duas abas não sobrescrevam silenciosamente o trabalho.</w:t>
      </w:r>
    </w:p>
    <w:p>
      <w:r>
        <w:rPr>
          <w:b/>
        </w:rPr>
        <w:t>RF-37.</w:t>
      </w:r>
      <w:r>
        <w:t xml:space="preserve"> </w:t>
      </w:r>
      <w:r>
        <w:t>O mediador pode aprovar para discussão, rejeitar o parecer com justificativa ou solicitar complementação. Complementação não desbloqueia o snapshot original: abre uma rodada adicional, com novos anexos, ciência das partes, nova versão de entrada e eventual análise separada. Custos e necessidade de novo aceite dessa rodada são decisões pendentes.</w:t>
      </w:r>
    </w:p>
    <w:p>
      <w:r>
        <w:rPr>
          <w:b/>
        </w:rPr>
        <w:t>RF-38.</w:t>
      </w:r>
      <w:r>
        <w:t xml:space="preserve"> </w:t>
      </w:r>
      <w:r>
        <w:t>“Notificar as partes para agendamento” exige termo salvo e cinco horários válidos. A notificação diz que a minuta está pronta para discussão, sem afirmar que já existe acordo. Registar qual versão foi apresentada e disponibilizada em cada etapa.</w:t>
      </w:r>
    </w:p>
    <w:p>
      <w:r>
        <w:t>O gerador termo_mediador.py poderá apoiar a apresentação das opções; termo_acordo.py poderá apoiar a minuta final. Sua adaptação deve preservar valores definidos pelas partes, não cumulatividade, pendências e proveniência, com revisão das regras já existentes em docs/TERMO_ACORDO_FORMAL.md.</w:t>
      </w:r>
    </w:p>
    <w:p>
      <w:pPr>
        <w:pStyle w:val="Heading1"/>
      </w:pPr>
      <w:r>
        <w:t>15 Agendamento remarcação e sessão</w:t>
      </w:r>
    </w:p>
    <w:p>
      <w:r>
        <w:rPr>
          <w:b/>
        </w:rPr>
        <w:t>RF-39.</w:t>
      </w:r>
      <w:r>
        <w:t xml:space="preserve"> </w:t>
      </w:r>
      <w:r>
        <w:t>O mediador propõe exatamente cinco opções futuras, distintas e reserváveis em sua agenda. Guardar início, término, fuso IANA e rodada. Persistir instantes em UTC e mostrar America/Sao_Paulo por padrão, com fuso explícito para participantes em outras localidades. Proposta inicial: sessões de sessenta minutos, duração ajustável pela operação.</w:t>
      </w:r>
    </w:p>
    <w:p>
      <w:r>
        <w:rPr>
          <w:b/>
        </w:rPr>
        <w:t>RF-40.</w:t>
      </w:r>
      <w:r>
        <w:t xml:space="preserve"> </w:t>
      </w:r>
      <w:r>
        <w:t>Cada parte escolhe exatamente três das mesmas cinco opções. Como 3 + 3 é maior que 5, existe ao menos uma interseção se ambas responderem validamente à mesma rodada. A garantia não vale se alguém recusar todas, não responder ou usar opções de rodadas diferentes. A API rejeita seleção de rodada expirada.</w:t>
      </w:r>
    </w:p>
    <w:p>
      <w:r>
        <w:rPr>
          <w:b/>
        </w:rPr>
        <w:t>RF-41.</w:t>
      </w:r>
      <w:r>
        <w:t xml:space="preserve"> </w:t>
      </w:r>
      <w:r>
        <w:t>Uma única interseção confirma o horário se a reserva ainda estiver válida. Com mais de uma, o mediador escolhe uma delas. Antes de confirmar, verificar conflitos de agenda e reservar atomicamente; liberar as demais opções. Enviar confirmação, instruções e lembretes. Prazos de resposta e de validade das opções são parâmetros pendentes.</w:t>
      </w:r>
    </w:p>
    <w:p>
      <w:r>
        <w:rPr>
          <w:b/>
        </w:rPr>
        <w:t>RF-42.</w:t>
      </w:r>
      <w:r>
        <w:t xml:space="preserve"> </w:t>
      </w:r>
      <w:r>
        <w:t>A parte indisponível nas cinco opções pode solicitar remarcação com justificativa e pagamento. Na V1 a taxa também é simulada. A taxa proposta é R$99 × 2^(n−1), em que n é a remarcação paga solicitada por aquela parte naquele caso: R$99, R$198, R$396 e assim por diante. Contador é individual; solicitação abandonada ou pagamento falho não o incrementa.</w:t>
      </w:r>
    </w:p>
    <w:p>
      <w:r>
        <w:rPr>
          <w:b/>
        </w:rPr>
        <w:t>RF-43.</w:t>
      </w:r>
      <w:r>
        <w:t xml:space="preserve"> </w:t>
      </w:r>
      <w:r>
        <w:t>Após confirmação do pagamento, o mediador abre nova rodada com cinco opções, considerando a justificativa. Invalidar escolhas anteriores e pedir nova seleção a ambos. Para solicitações simultâneas, vincular à mesma rodada de substituição e bloquear cobrança duplicada para a mesma necessidade; regra de quem paga quando ambos pedem deve ser definida antes da produção.</w:t>
      </w:r>
    </w:p>
    <w:p>
      <w:r>
        <w:t>Proposta: remarcação por erro da plataforma ou indisponibilidade do mediador é gratuita e não incrementa o contador. Teto, isenções, contestação, ausência na sessão e desistência precisam de política aprovada. A taxa nunca elimina a possibilidade de encerrar voluntariamente a mediação.</w:t>
      </w:r>
    </w:p>
    <w:p>
      <w:r>
        <w:rPr>
          <w:b/>
        </w:rPr>
        <w:t>RF-44.</w:t>
      </w:r>
      <w:r>
        <w:t xml:space="preserve"> </w:t>
      </w:r>
      <w:r>
        <w:t>Na data marcada, disponibilizar uma sala privada de videoconferência para partes e mediador, com controle de entrada, link protegido e compartilhamento da minuta. Recomenda-se integração com fornecedor de vídeo, em vez de construir infraestrutura WebRTC própria. No piloto, link externo seguro pode atender o fluxo; videoconferência embutida exige escolha de fornecedor. Não gravar a sessão por padrão.</w:t>
      </w:r>
    </w:p>
    <w:p>
      <w:pPr>
        <w:pStyle w:val="Heading1"/>
      </w:pPr>
      <w:r>
        <w:t>16 Acordo assinatura e encerramento</w:t>
      </w:r>
    </w:p>
    <w:p>
      <w:r>
        <w:rPr>
          <w:b/>
        </w:rPr>
        <w:t>RF-45.</w:t>
      </w:r>
      <w:r>
        <w:t xml:space="preserve"> </w:t>
      </w:r>
      <w:r>
        <w:t>Durante a sessão, o mediador apresenta e ajusta o termo com as partes. Antes de solicitar assinaturas, todas as obrigações devem estar fechadas: partes, objeto, valores ou fórmulas plenamente determinadas, prazos, forma de cumprimento e escopo da quitação. O aceite da sugestão de IA não substitui concordância sobre a redação final.</w:t>
      </w:r>
    </w:p>
    <w:p>
      <w:r>
        <w:rPr>
          <w:b/>
        </w:rPr>
        <w:t>RF-46.</w:t>
      </w:r>
      <w:r>
        <w:t xml:space="preserve"> </w:t>
      </w:r>
      <w:r>
        <w:t>Congelar a versão final e gerar PDF para assinatura. Criar envelope de assinatura com requerente, requerido e mediador, vinculando versão, hash do conteúdo e identidades verificadas. Cada signatário acessa sua conta, realiza autenticação adicional quando exigida e manifesta intenção de assinar a versão exibida. Imagem de assinatura colada no PDF não atende, por si, a esse requisito.</w:t>
      </w:r>
    </w:p>
    <w:p>
      <w:r>
        <w:rPr>
          <w:b/>
        </w:rPr>
        <w:t>RF-47.</w:t>
      </w:r>
      <w:r>
        <w:t xml:space="preserve"> </w:t>
      </w:r>
      <w:r>
        <w:t>Usar fornecedor de assinatura eletrônica/digital com trilha de evidências, integridade verificável, API, webhooks e exportação do documento e comprovante. Escolher se o produto exige certificado ICP-Brasil ou outro mecanismo adequado ao ato. Modalidade, fornecedor e requisitos de testemunhas/representação devem ser validados para os casos atendidos; não prometer validade automática de qualquer clique.</w:t>
      </w:r>
    </w:p>
    <w:p>
      <w:r>
        <w:rPr>
          <w:b/>
        </w:rPr>
        <w:t>RF-48.</w:t>
      </w:r>
      <w:r>
        <w:t xml:space="preserve"> </w:t>
      </w:r>
      <w:r>
        <w:t>As três assinaturas precisam corresponder à mesma revisão do conteúdo. Se o texto mudar durante a coleta, cancelar o envelope, preservar seu histórico e solicitar novas assinaturas. PDFs podem receber revisões incrementais do provedor ao incorporar assinaturas; manter o hash da minuta e o hash final, além da evidência de integridade de cada etapa.</w:t>
      </w:r>
    </w:p>
    <w:p>
      <w:r>
        <w:rPr>
          <w:b/>
        </w:rPr>
        <w:t>RF-49.</w:t>
      </w:r>
      <w:r>
        <w:t xml:space="preserve"> </w:t>
      </w:r>
      <w:r>
        <w:t>Após confirmação verificada de todas as assinaturas, arquivar PDF final e evidências em S3 privado, registrar conclusão e notificar os participantes. Permitir download autenticado pelas partes e mediador conforme retenção. O acordo final contém dados pessoais e não integra o endpoint público nem o blockchain.</w:t>
      </w:r>
    </w:p>
    <w:p>
      <w:r>
        <w:rPr>
          <w:b/>
        </w:rPr>
        <w:t>RF-50.</w:t>
      </w:r>
      <w:r>
        <w:t xml:space="preserve"> </w:t>
      </w:r>
      <w:r>
        <w:t>Se não houver consenso, assinatura for recusada ou o procedimento for encerrado, registrar termo de encerramento sem acordo e motivo adequado. O fundamento do termo final com acordo inclui o art. 20 da Lei de Mediação; requisitos de exigibilidade e assinatura devem ser conferidos no modelo aplicável. [F1, F8]</w:t>
      </w:r>
    </w:p>
    <w:p>
      <w:pPr>
        <w:pStyle w:val="Heading1"/>
      </w:pPr>
      <w:r>
        <w:t>17 Arquitetura lógica e tecnologias</w:t>
      </w:r>
    </w:p>
    <w:p>
      <w:r>
        <w:rPr>
          <w:b/>
        </w:rPr>
        <w:t>RT-14.</w:t>
      </w:r>
      <w:r>
        <w:t xml:space="preserve"> </w:t>
      </w:r>
      <w:r>
        <w:t>Adotar um monólito modular para manter transações e regras de negócio em uma base coerente. API e workers podem compartilhar código de domínio e ser implantados separadamente. A divisão em microsserviços só se justifica posteriormente por escala ou isolamento mensurado.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773"/>
        <w:gridCol w:w="40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Proposta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Site público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HTML/CSS existente em hospedagem estática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Apresentação, conteúdo e aquisição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Aplicação web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React e TypeScript, preservando componentes visuais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Fluxos autenticados, uploads, editor e painéis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Python, Django e Django REST Framework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Autenticação, autorização e regras transacionais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Banco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PostgreSQL gerenciado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Cadastros, casos, versões, pagamentos e auditoria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Arquivos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S3 privado com SSE-KMS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Quarentena, originais e documentos assinados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Filas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SQS e filas de falhas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Documentos, notificações e operações externas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Workers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Serviços Python em containers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OCR, saneamento, IA, pagamentos e GenLayer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IA auxiliar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OpenRouter por adaptador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Extração KYC e tarefas semânticas autorizadas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Comitê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Adaptador Python para GenLayer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Submissão, acompanhamento e resultado on-chain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Comunicação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E-mail transacional, GREEN-API e SMS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Convites, códigos e avisos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Pagamento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Simulador PIX/cartão na V1; PSP na etapa 2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Obrigações, eventos e liberação do fluxo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Assinatura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Adaptador para fornecedor escolhido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Assinatura verificável e evidências</w:t>
            </w:r>
          </w:p>
        </w:tc>
      </w:tr>
    </w:tbl>
    <w:p>
      <w:pPr>
        <w:spacing w:after="0"/>
      </w:pPr>
    </w:p>
    <w:p>
      <w:r>
        <w:t>A escolha de Django considera a quantidade de cadastros, permissões e operações administrativas. Django REST Framework atende a exposição de APIs. FastAPI é uma alternativa válida se a equipe já o dominar, mas exigirá compor autenticação, administração e outras peças; não há benefício demonstrado em usar os dois frameworks simultaneamente nesta fase. [F9]</w:t>
      </w:r>
    </w:p>
    <w:p>
      <w:r>
        <w:t>Fluxo principal de dados: navegador → API → PostgreSQL; navegador → quarentena S3 mediante autorização; outbox → SQS → worker → derivados privados; liberação → snapshot público → GenLayer; resultado final → PostgreSQL → mediador; termo final → provedor de assinatura → arquivo privado. Somente a projeção aprovada para publicação atravessa a fronteira pública.</w:t>
      </w:r>
    </w:p>
    <w:p>
      <w:r>
        <w:t>Módulos sugeridos: accounts, identity, cases, documents, billing, notifications, committee, mediation, scheduling, agreements e audit. Adaptadores externos devem oferecer operações pequenas e testáveis, sem espalhar formatos de fornecedores pelo domínio.</w:t>
      </w:r>
    </w:p>
    <w:p>
      <w:pPr>
        <w:pStyle w:val="Heading1"/>
      </w:pPr>
      <w:r>
        <w:t>18 Infraestrutura implantação e operação</w:t>
      </w:r>
    </w:p>
    <w:p>
      <w:r>
        <w:rPr>
          <w:b/>
        </w:rPr>
        <w:t>RT-15.</w:t>
      </w:r>
      <w:r>
        <w:t xml:space="preserve"> </w:t>
      </w:r>
      <w:r>
        <w:t>Manter desenvolvimento local, homologação e produção isolados, com bancos, buckets, filas, chaves, carteiras e credenciais próprios. Dados reais de KYC não são copiados para homologação. Usar Docker Compose local e infraestrutura como código na nuvem. Fixar versões compatíveis em lockfiles; atualizar patches com testes de regressão.</w:t>
      </w:r>
    </w:p>
    <w:p>
      <w:r>
        <w:t>Proposta de produção AWS: containers API e workers em ECS Fargate; balanceador HTTPS; RDS PostgreSQL em rede privada; S3, KMS, SQS, Secrets Manager e observabilidade central. Avaliar São Paulo para a camada de dados, conforme disponibilidade e orçamento. Essa escolha não garante residência brasileira de OpenRouter, Google, WhatsApp ou GenLayer; suas transferências devem ser mapeadas separadamente.</w:t>
      </w:r>
    </w:p>
    <w:p>
      <w:r>
        <w:t>O frontend pode continuar na Netlify, usando domínio próprio para a aplicação e subdomínio de API. Se a origem permanecer em netlify.app e o backend em domínio distinto, configurar explicitamente CORS, CSRF e cookies entre sites; preferir proxy de API sob a mesma origem quando viável. API e painel privado nunca usam cache público de respostas autenticadas.</w:t>
      </w:r>
    </w:p>
    <w:p>
      <w:r>
        <w:rPr>
          <w:b/>
        </w:rPr>
        <w:t>RT-16.</w:t>
      </w:r>
      <w:r>
        <w:t xml:space="preserve"> </w:t>
      </w:r>
      <w:r>
        <w:t>PostgreSQL não terá endpoint aberto à internet. API e workers usam identidades IAM diferentes e acesso mínimo ao S3/KMS. Saída dos workers limita-se aos serviços necessários. Contemplar custos de balanceador, NAT ou endpoints privados e transferência de dados no orçamento. Segredos serão rotacionáveis e não entrarão em repositório, frontend ou logs.</w:t>
      </w:r>
    </w:p>
    <w:p>
      <w:r>
        <w:rPr>
          <w:b/>
        </w:rPr>
        <w:t>RT-17.</w:t>
      </w:r>
      <w:r>
        <w:t xml:space="preserve"> </w:t>
      </w:r>
      <w:r>
        <w:t>Cada fila tem política de retry com atraso crescente, limite e fila de falhas. Processamento é idempotente porque mensagens podem chegar mais de uma vez. Ajustar tempo de invisibilidade à tarefa e renovar quando necessário. Uma rotina reconcilia tarefas presas e eventos não publicados; a fila não é a única fonte de estado. [F6]</w:t>
      </w:r>
    </w:p>
    <w:p>
      <w:r>
        <w:rPr>
          <w:b/>
        </w:rPr>
        <w:t>RT-18.</w:t>
      </w:r>
      <w:r>
        <w:t xml:space="preserve"> </w:t>
      </w:r>
      <w:r>
        <w:t>CI executa análise estática, testes de domínio, integração com PostgreSQL e testes de contrato. Deploy publica imagem imutável, aplica migrações compatíveis, valida saúde e permite rollback de aplicação. Mudanças destrutivas de esquema precisam de migração em etapas. Chaves de produção não ficam disponíveis em previews de pull requests.</w:t>
      </w:r>
    </w:p>
    <w:p>
      <w:r>
        <w:rPr>
          <w:b/>
        </w:rPr>
        <w:t>RT-19.</w:t>
      </w:r>
      <w:r>
        <w:t xml:space="preserve"> </w:t>
      </w:r>
      <w:r>
        <w:t>Registrar métricas de idade da fila, tempo por etapa, erro de OCR/IA, tokens e custo, entrega de mensagens, liquidação, falha de assinatura e tempo de consenso. Logs estruturados usam IDs técnicos sem conteúdo de documentos, credenciais ou PII desnecessária. Alertas precisam de responsável e procedimento de resposta, incluindo indisponibilidade da GREEN-API e falta de saldo da carteira.</w:t>
      </w:r>
    </w:p>
    <w:p>
      <w:pPr>
        <w:pStyle w:val="Heading1"/>
      </w:pPr>
      <w:r>
        <w:t>19 Modelo conceitual de dados</w:t>
      </w:r>
    </w:p>
    <w:p>
      <w:r>
        <w:t>IDs principais serão UUIDv7 gerados no backend. Campos monetários usam centavos; datas operacionais usam UTC. Dados pessoais que exigem busca exata poderão usar índice HMAC separado do valor cifrado. Hash simples de identificador de baixa entropia não é proteção adequada contra enumeração.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773"/>
        <w:gridCol w:w="40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Conteúdo principal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Relação ou invariável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User e AuthIdentity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E-mail, hash local, vínculo Google, situação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Um usuário pode ter credenciais vinculadas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Profile e KYCVerification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Nome, documento, endereço, telefone e revisões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Histórico preservado; acesso restrito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Session e OTPChallenge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Sessões, fator, expiração e tentativas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Código de uso único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RoleInvitation e RoleGrant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Convite, papel, emissor e aceite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Concessão somente após habilitação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MediationCase e CaseParty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ID, papéis, etapa e revisão corrente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Duas partes na primeira versão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CaseInvitation e Acceptance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Destinatário, token, versão e aceite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Aceite vinculado às condições exibidas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SubmissionRevision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Carta estruturada e vínculo às provas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Imutável depois de congelada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Document e DocumentVersion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Tipo, objeto S3, versionId, hash e dono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Original não sobrescrito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ProcessingJob e DocumentDerivative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Pipeline, estado, JSON e referências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Derivado ligado à origem e à versão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AnalysisSnapshot e PublicationReview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Manifesto, hash, UUID público e liberação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Bytes públicos imutáveis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FeeQuote e PaymentObligation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Tabela, rateio, cota e moeda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Soma das cotas igual ao total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PaymentAttempt e ProviderEvent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Checkout, eventos e estornos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ID do evento único por provedor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CommitteeRun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Snapshot, contrato, transação e resultado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Uma execução lógica por chave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MediatorAssignment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Elegíveis, sorteio e substituições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Apenas atribuição ativa dá acesso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AgreementVersion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Conteúdo, autor, v1 e revisões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Versões nunca sobrescritas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SchedulingRound e SlotSelection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Cinco opções e três escolhas por parte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Seleções da mesma rodada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RescheduleRequest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Parte, contador, justificativa e cobrança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Incremento após pagamento confirmado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SignatureEnvelope e Signature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Revisão final, signatários e evidências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Mesmo conteúdo aceito por todos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Notification e DeliveryAttempt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Canal, destinatário e status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Envio separado de confirmação de entrega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AuditEvent e OutboxEvent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Ação, recurso e evento a publicar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Auditoria protegida e entrega recuperável</w:t>
            </w:r>
          </w:p>
        </w:tc>
      </w:tr>
    </w:tbl>
    <w:p>
      <w:pPr>
        <w:spacing w:after="0"/>
      </w:pPr>
    </w:p>
    <w:p>
      <w:r>
        <w:t>A aplicação exige chaves estrangeiras, unicidade por caso/parte e versão, restrições de percentuais e valores não negativos. O acesso a objetos S3 depende do vínculo no banco. O nome do arquivo nunca é usado para decidir dono ou autorização.</w:t>
      </w:r>
    </w:p>
    <w:p>
      <w:pPr>
        <w:pStyle w:val="Heading1"/>
      </w:pPr>
      <w:r>
        <w:t>20 Contratos de API propostos</w:t>
      </w:r>
    </w:p>
    <w:p>
      <w:r>
        <w:t>Prefixo privado /api/v1. Endpoints abaixo são um contrato inicial de escopo, a detalhar em OpenAPI antes da implementação. Retornos assíncronos usam 202 com job_id; criação usa 201; conflitos de revisão usam 409; acesso negado usa 403 ou 404 conforme política contra enumeração. Erros incluem código estável, mensagem e correlation_id.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773"/>
        <w:gridCol w:w="40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Operações principais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Controle específico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Auth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/auth/register, /login, /google, /logout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Rate limit e validação do provedor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Recuperação e fator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/auth/password-reset, /auth/mfa/challenges, /auth/mfa/verify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Uso único e sessão limitada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Perfil e KYC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GET/PATCH /me; POST /kyc/documents, /kyc/submit, /me/phone/verify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Bloqueio de campos imutáveis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Casos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/cases; GET /cases/{id}; PATCH /cases/{id}/draft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Papel, vínculo e revisão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Convites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/cases/{id}/invitations; POST /invitations/{token}/accept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Token não é acesso aos documentos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Manifestações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/cases/{id}/submissions e /imports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Autoria e sanitização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Documentos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/uploads/intents, /uploads/{id}/complete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Checksum e versão do objeto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Provas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DELETE /cases/{id}/documents/{doc}; GET /documents/{id}/content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Editabilidade e streaming privado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Congelamento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/cases/{id}/freeze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Revisão esperada e transação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Pagamentos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GET /cases/{id}/payments; POST /payments/{id}/checkout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Somente a cota do pagador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Progresso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GET /jobs/{id}; GET /cases/{id}/timeline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Somente dados visíveis ao papel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Mediador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GET /mediator/cases; POST /cases/{id}/agreement-versions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Atribuição e liberação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Agenda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/cases/{id}/rounds, /rounds/{id}/selections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Cinco opções, três escolhas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Remarcação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/cases/{id}/reschedules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Rodada, contador e pagamento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Assinatura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/cases/{id}/signature-envelopes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Versão final congelada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Administração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/admin/invitations; POST /admin/cases/{id}/reassign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Papel, motivo e auditoria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Webhooks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POST /webhooks/{provider}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Autenticação e deduplicação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Público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GET /public/v1/cases/{snapshot_uuid}.json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Apenas projeção publicada</w:t>
            </w:r>
          </w:p>
        </w:tc>
      </w:tr>
    </w:tbl>
    <w:p>
      <w:pPr>
        <w:spacing w:after="0"/>
      </w:pPr>
    </w:p>
    <w:p>
      <w:r>
        <w:t>Webhooks não dependem da sessão de navegador. Verificar assinatura criptográfica quando o fornecedor a oferecer, timestamp e replay; caso contrário, combinar credencial de callback e reconciliação autenticada conforme capacidade real do serviço. Nunca aceitar um evento financeiro ou de assinatura apenas por conter o ID correto.</w:t>
      </w:r>
    </w:p>
    <w:p>
      <w:pPr>
        <w:pStyle w:val="Heading1"/>
      </w:pPr>
      <w:r>
        <w:t>21 Segurança privacidade e requisitos operacionais</w:t>
      </w:r>
    </w:p>
    <w:p>
      <w:r>
        <w:rPr>
          <w:b/>
        </w:rPr>
        <w:t>RT-20.</w:t>
      </w:r>
      <w:r>
        <w:t xml:space="preserve"> </w:t>
      </w:r>
      <w:r>
        <w:t>Inventariar dados e finalidades: cadastro, KYC, provas, comunicação, cobrança, análise e assinatura. Definir controlador, operadores, bases legais, avisos de privacidade, contratos e transferências internacionais. Consentimentos e ciência de termos, quando aplicáveis, guardam versão, data e contexto. Não usar autorização genérica como substituto da análise de finalidade.</w:t>
      </w:r>
    </w:p>
    <w:p>
      <w:r>
        <w:rPr>
          <w:b/>
        </w:rPr>
        <w:t>RT-21.</w:t>
      </w:r>
      <w:r>
        <w:t xml:space="preserve"> </w:t>
      </w:r>
      <w:r>
        <w:t>Retenção será definida por categoria e etapa: cadastros incompletos, KYC, convites, provas, acordos, auditoria e backups. Prever bloqueio de exclusão por obrigação de preservação, correção, exportação e eliminação verificável quando cabível. Proposta operacional: uploads órfãos expiram em 24 horas; prazos de documentos de casos exigem decisão jurídica e comercial. Não definir retenção ilimitada por padrão.</w:t>
      </w:r>
    </w:p>
    <w:p>
      <w:r>
        <w:rPr>
          <w:b/>
        </w:rPr>
        <w:t>RT-22.</w:t>
      </w:r>
      <w:r>
        <w:t xml:space="preserve"> </w:t>
      </w:r>
      <w:r>
        <w:t>Implementar TLS, criptografia em repouso, prevenção de XSS/CSRF, limites de upload e requisições, defesa contra enumeração e autorização por objeto. Scanner e renderizador de documentos executam com recursos limitados. O frontend exibe estados de erro sem expor detalhes internos ou dados de terceiros.</w:t>
      </w:r>
    </w:p>
    <w:p>
      <w:r>
        <w:rPr>
          <w:b/>
        </w:rPr>
        <w:t>RT-23.</w:t>
      </w:r>
      <w:r>
        <w:t xml:space="preserve"> </w:t>
      </w:r>
      <w:r>
        <w:t>Auditoria registra acesso a originais, alterações de papel, correções de identidade, publicação, alteração de preço, transições e operações de assinatura. Separar os eventos de domínio do log técnico. Evitar copiar conteúdo sigiloso para a trilha. Proteger o destino de auditoria contra alterações pela credencial ordinária da aplicação.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773"/>
        <w:gridCol w:w="40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Meta proposta para piloto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Como verificar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Disponibilidade da API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99,5% mensal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Monitoramento externo de operações essenciais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Latência da API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p95 menor que 500 ms sem tarefas externas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Teste com carga definida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Carga inicial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50 usuários simultâneos e 100 casos por mês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Ensaio e observação do piloto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Recuperação do banco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RPO até 24 h; RTO até 8 h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Restauração real em ambiente isolado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Processamento assíncrono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Progresso consultável e falhas explicadas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Testes de interrupção e retomada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Acessibilidade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Teclado, leitor de tela e contraste; referência WCAG AA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Auditoria dos fluxos principais</w:t>
            </w:r>
          </w:p>
        </w:tc>
      </w:tr>
    </w:tbl>
    <w:p>
      <w:pPr>
        <w:spacing w:after="0"/>
      </w:pPr>
    </w:p>
    <w:p>
      <w:r>
        <w:t>As metas são hipóteses de dimensionamento. Para operação comercial com maior exigência, propor 99,9%, RPO de quinze minutos e RTO de quatro horas, com PITR, redundância e ensaio de recuperação antes de assumir o compromisso. Tempo de OCR, IA e consenso será medido; não prometer conclusão em minutos para todo caso.</w:t>
      </w:r>
    </w:p>
    <w:p>
      <w:pPr>
        <w:pStyle w:val="Heading1"/>
      </w:pPr>
      <w:r>
        <w:t>22 Validações jurídicas que afetam o produto</w:t>
      </w:r>
    </w:p>
    <w:p>
      <w:r>
        <w:t>O sistema deve apresentar IA e mediador como apoio à composição consensual, sem atribuir a eles poder de impor um acordo. A Lei de Mediação preserva voluntariedade e confidencialidade; a escolha/aceitação do mediador, impedimentos e assistência por advogado afetam o fluxo. Se uma parte comparecer assistida, a situação da outra deve ser tratada conforme a regra legal aplicável. [F1]</w:t>
      </w:r>
    </w:p>
    <w:p>
      <w:r>
        <w:t>O convite do produto precisa ser compatibilizado com os elementos e prazos dos arts. 21 e 22, incluindo escopo, primeira reunião e efeitos da ausência de resposta. O convite preliminar digital e o convite formal podem ser etapas distintas, mas essa distinção exige definição jurídica. Não anunciar que o fluxo atual já satisfaz esses dispositivos. [F1]</w:t>
      </w:r>
    </w:p>
    <w:p>
      <w:r>
        <w:t>Apoiar somente pessoas físicas capazes na primeira entrega é uma proposta de recorte. Empresas exigem CNPJ, representante, documentos de representação e poderes para transigir e assinar. Menores, incapazes, matérias especiais e direitos que exigem homologação precisam de triagem e encaminhamento próprios. A elegibilidade não deve ser decidida autonomamente por uma LLM.</w:t>
      </w:r>
    </w:p>
    <w:p>
      <w:r>
        <w:t>Antes de produção, validar o regulamento de mediação, tratamento das provas compartilhadas, publicação/transferência a terceiros, retenção, honorários, remarcações, reembolsos e assinatura. Essas são dependências da definição do serviço, não afirmações de que qualquer configuração técnica assegura conformidade.</w:t>
      </w:r>
    </w:p>
    <w:p>
      <w:pPr>
        <w:pStyle w:val="Heading1"/>
      </w:pPr>
      <w:r>
        <w:t>23 Critérios de aceite de ponta a ponta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3931"/>
        <w:gridCol w:w="4896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CA-03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Cadastro local e Google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Contas vinculadas corretamente; nenhum segredo em claro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CA-04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KYC incompleto ou código errado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Abertura/instrução bloqueada; erro recuperável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CA-05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Login de conta habilitada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APIs privadas bloqueadas até segundo fator válido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CA-06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Troca de telefone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Novo número só usado após verificação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CA-07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Upload múltiplo com uma falha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Itens válidos preservados e retry individual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CA-08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PDF malicioso ou URL de upload reutilizada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Sem execução; original conferido não é substituído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CA-09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Dado identificável em resumo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Publicação bloqueada e revisão solicitada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CA-10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Convite aberto por pessoa errada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Sem acesso a provas e sem vínculo automático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CA-11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Pedido alterado após aceite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Nova revisão exige reconfirmação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CA-12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Edição concorrente ao congelamento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Uma revisão consistente; conflito explícito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CA-13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Disputa de R$50 mil e rateio 70/30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Total R$1.500; cotas R$1.050 e R$450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CA-14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Rateio 100/0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Uma obrigação simulada na V1; análise liberada após confirmação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CA-15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Webhook duplicado ou fora de ordem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Sem crédito duplicado nem análise repetida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CA-16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Reinício após envio on-chain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Recupera a transação e o snapshot corretos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CA-17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Falta de consenso ou retorno inválido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Suspensão explicada; sem termo aprovado fictício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CA-18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Mediador salva duas edições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v1 preservada e versões posteriores recuperáveis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CA-19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Três escolhas de cada parte entre cinco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Interseção correta para a mesma rodada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CA-20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Segunda remarcação da mesma parte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R$198; contador da outra parte não muda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CA-21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Alteração durante assinaturas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Envelope anterior invalidado; novos aceites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CA-22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Três assinaturas completas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PDF final privado e evidências disponíveis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CA-23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Acesso cruzado entre casos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API, arquivo e listagens recusam a exposição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CA-24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Perda simulada do banco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Restore recupera vínculos, versões e pagamentos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CA-25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PIX/cartão na V1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Aviso de simulação e ausência de dados financeiros reais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CA-26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Aprovação, recusa e expiração simuladas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Backend preserva estados e idempotência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CA-27</w:t>
            </w:r>
          </w:p>
        </w:tc>
        <w:tc>
          <w:tcPr>
            <w:tcW w:type="dxa" w:w="39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Evento simulado em caso live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Nenhuma liquidação nem liberação do caso</w:t>
            </w:r>
          </w:p>
        </w:tc>
      </w:tr>
    </w:tbl>
    <w:p>
      <w:pPr>
        <w:spacing w:after="0"/>
      </w:pPr>
    </w:p>
    <w:p>
      <w:r>
        <w:t>A homologação combina testes automatizados de domínio, contrato e integração com testes manuais de identidade, documentos, acessibilidade, assinatura e revisão por mediador. Usar casos sintéticos nas integrações de teste e verificar que a análise local não seja rotulada como consenso GenLayer.</w:t>
      </w:r>
    </w:p>
    <w:p>
      <w:pPr>
        <w:pStyle w:val="Heading1"/>
      </w:pPr>
      <w:r>
        <w:t>24 Plano de implementação e custos</w:t>
      </w:r>
    </w:p>
    <w:p>
      <w:r>
        <w:t>Recomenda-se implementar uma fatia completa com dados sintéticos antes de ampliar volume. Cada fase abaixo produz uma entrega verificável, e não apenas componentes isolados.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773"/>
        <w:gridCol w:w="40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Condição de conclusão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0 Decisões e contratos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Escopo do piloto, políticas e prova de integração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Resolver publicação, KYC, assinatura e interface do IC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1 Fundação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Repositório, CI, ambientes, API, cadastro e KYC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Usuário habilitado com isolamento e recuperação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2 Instrução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Upload, pipeline, carta, convite e revisões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Caso das duas partes congelado de forma consistente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3 Simulação e comitê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Cotas, simulador PIX/cartão, snapshot e worker GenLayer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Confirmação simulada libera resultado recuperável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4 Mediação humana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Convites de mediadores, termo, agenda e vídeo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Sessão agendada com versões e remarcação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5 Formalização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Assinaturas, PDF, encerramento e auditoria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Três signatários e recuperação dos artefatos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6 Piloto assistido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V1 com revisão humana e sem cobrança real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Métricas, restore e incidentes validados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Etapa 2 Cobrança real</w:t>
            </w:r>
          </w:p>
        </w:tc>
        <w:tc>
          <w:tcPr>
            <w:tcW w:type="dxa" w:w="37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PSP, webhooks, reconciliação e estornos reais</w:t>
            </w:r>
          </w:p>
        </w:tc>
        <w:tc>
          <w:tcPr>
            <w:tcW w:type="dxa" w:w="40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Homologação financeira e políticas aprovadas</w:t>
            </w:r>
          </w:p>
        </w:tc>
      </w:tr>
    </w:tbl>
    <w:p>
      <w:pPr>
        <w:spacing w:after="0"/>
      </w:pPr>
    </w:p>
    <w:p>
      <w:r>
        <w:t>O backend e o frontend podem avançar em paralelo com base em OpenAPI e simuladores, sem acoplar o cronograma à otimização contínua do IC. A integração real e os testes de contrato continuam obrigatórios antes do piloto.</w:t>
      </w:r>
    </w:p>
    <w:p>
      <w:r>
        <w:t>Mesmo sem cobrar as partes na V1, a plataforma pode ter custos reais de infraestrutura e fornecedores. O custo mensal deve ser calculado por: infraestrutura fixa + armazenamento e transferência + OCR/LLM + execução GenLayer + mensagens + pagamento + assinaturas + vídeo + trabalho operacional. Custo por caso deve separar documentos, tokens por etapa, tentativas, chamadas on-chain, número de mensagens e revisões humanas. Honorários recebidos não são margem líquida.</w:t>
      </w:r>
    </w:p>
    <w:p>
      <w:r>
        <w:t>Não há cotação fechada nesta proposta. Volume, tamanho dos arquivos, retenção, região, fornecedores, nível de disponibilidade e equipe ainda precisam ser definidos. Antes de contratar, medir um lote sintético representativo, consultar preços vigentes e estabelecer teto de gasto por caso e por mês, com alerta e interrupção controlada. Não executar chamadas pagas de benchmark sem orçamento autorizado.</w:t>
      </w:r>
    </w:p>
    <w:p>
      <w:pPr>
        <w:pStyle w:val="Heading1"/>
      </w:pPr>
      <w:r>
        <w:t>25 Registro de decisões pendentes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35"/>
        <w:gridCol w:w="4507"/>
        <w:gridCol w:w="2016"/>
        <w:gridCol w:w="2477"/>
      </w:tblGrid>
      <w:tr>
        <w:trPr>
          <w:cantSplit/>
          <w:tblHeader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Decisão necessária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Responsável sugerido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13D52"/>
          </w:tcPr>
          <w:p>
            <w:pPr>
              <w:keepNext/>
              <w:spacing w:after="0" w:before="0" w:line="250" w:lineRule="auto"/>
            </w:pPr>
            <w:r>
              <w:rPr>
                <w:b/>
                <w:color w:val="FFFFFF"/>
                <w:sz w:val="18"/>
              </w:rPr>
              <w:t>Marco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D-01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Pessoas físicas apenas ou também empresas e representantes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Produto e jurídico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do modelo cadastral final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D-02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Garantia do KYC, revisão e eventual prova de vida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Produto e segurança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de habilitar usuários reais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D-03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Publicação do JSON, confidencialidade e transferências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Produto e jurídico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de enviar casos reais à rede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D-04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PSP, parcelamento, reembolsos e fiscal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Financeiro e produto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Etapa 2 antes da cobrança real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D-05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Provedor/modalidade de assinatura e evidências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Jurídico e engenharia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do acordo final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D-06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Rede, contrato multi-caso, versão e custos GenLayer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Engenharia do IC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da integração de produção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D-07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Compartilhamento de provas e complementações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Produto e jurídico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da instrução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D-08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Retenção, eliminação e recuperação de identidade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Jurídico e segurança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de coletar dados reais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D-09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Remarcação, teto, isenções e ausência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Produto e jurídico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do agendamento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D-10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Fornecedores de e-mail, SMS, vídeo e modalidade GREEN-API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Engenharia e operação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da homologação externa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D-11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Prazos de convite, pagamento, resposta e primeira reunião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Produto e jurídico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dos termos de adesão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D-12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Volume, orçamento, disponibilidade e equipe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Responsável pelo projeto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de contratar infraestrutura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D-13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Idiomas das áreas privadas e das minutas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Produto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5F7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do frontend autenticado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D-14</w:t>
            </w:r>
          </w:p>
        </w:tc>
        <w:tc>
          <w:tcPr>
            <w:tcW w:type="dxa" w:w="45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Formatos de arquivo, limites e validação do pipeline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Engenharia e mediadores</w:t>
            </w:r>
          </w:p>
        </w:tc>
        <w:tc>
          <w:tcPr>
            <w:tcW w:type="dxa" w:w="24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before="0" w:line="250" w:lineRule="auto"/>
            </w:pPr>
            <w:r>
              <w:rPr>
                <w:b w:val="0"/>
                <w:color w:val="000000"/>
                <w:sz w:val="18"/>
              </w:rPr>
              <w:t>Antes do piloto documental</w:t>
            </w:r>
          </w:p>
        </w:tc>
      </w:tr>
    </w:tbl>
    <w:p>
      <w:pPr>
        <w:spacing w:after="0"/>
      </w:pPr>
    </w:p>
    <w:p>
      <w:r>
        <w:t>A decisão confirmada para a V1 é pagamento simulado por PIX ou cartão; cobrança real somente na etapa 2. A regra financeira adotada para a simulação é a do rascunho: R$500 + 2%. A publicação do site deve ser atualizada para refletir essa fórmula e o momento correto da cobrança, junto com linguagem precisa sobre IA, sigilo, mediador e assinatura. A especificação não promove uma nova versão do IC e não altera seus resultados experimentais.</w:t>
      </w:r>
    </w:p>
    <w:p>
      <w:pPr>
        <w:pStyle w:val="Heading1"/>
      </w:pPr>
      <w:r>
        <w:t>26 Referências</w:t>
      </w:r>
    </w:p>
    <w:p>
      <w:r>
        <w:t>Fontes consultadas em 29/09/2026. As referências técnicas apoiam escolhas e limitações; os detalhes específicos do produto são propostas desta especificação.</w:t>
      </w:r>
    </w:p>
    <w:p>
      <w:pPr>
        <w:spacing w:line="252" w:lineRule="auto"/>
      </w:pPr>
      <w:r>
        <w:rPr>
          <w:sz w:val="18"/>
        </w:rPr>
        <w:t xml:space="preserve">F1. Presidência da República. Lei 13.140 de 2015, especialmente arts. 1, 5, 9, 10, 17, 20, 21, 22 e 30. </w:t>
      </w:r>
      <w:hyperlink r:id="rId11">
        <w:r>
          <w:rPr>
            <w:color w:val="244A66"/>
          </w:rPr>
          <w:t>https://www.planalto.gov.br/ccivil_03/_ato2015-2018/2015/lei/l13140.htm</w:t>
        </w:r>
      </w:hyperlink>
      <w:r>
        <w:rPr>
          <w:sz w:val="18"/>
        </w:rPr>
      </w:r>
    </w:p>
    <w:p>
      <w:pPr>
        <w:spacing w:line="252" w:lineRule="auto"/>
      </w:pPr>
      <w:r>
        <w:rPr>
          <w:sz w:val="18"/>
        </w:rPr>
        <w:t xml:space="preserve">F2. Presidência da República. LGPD, especialmente definição de anonimização e art. 12. </w:t>
      </w:r>
      <w:hyperlink r:id="rId12">
        <w:r>
          <w:rPr>
            <w:color w:val="244A66"/>
          </w:rPr>
          <w:t>https://www.planalto.gov.br/ccivil_03/_ato2015-2018/2018/lei/l13709compilado.htm</w:t>
        </w:r>
      </w:hyperlink>
      <w:r>
        <w:rPr>
          <w:sz w:val="18"/>
        </w:rPr>
      </w:r>
    </w:p>
    <w:p>
      <w:pPr>
        <w:spacing w:line="252" w:lineRule="auto"/>
      </w:pPr>
      <w:r>
        <w:rPr>
          <w:sz w:val="18"/>
        </w:rPr>
        <w:t xml:space="preserve">F3. AWS. Download and upload objects with presigned URLs. </w:t>
      </w:r>
      <w:hyperlink r:id="rId13">
        <w:r>
          <w:rPr>
            <w:color w:val="244A66"/>
          </w:rPr>
          <w:t>https://docs.aws.amazon.com/AmazonS3/latest/userguide/using-presigned-url.html</w:t>
        </w:r>
      </w:hyperlink>
      <w:r>
        <w:rPr>
          <w:sz w:val="18"/>
        </w:rPr>
      </w:r>
    </w:p>
    <w:p>
      <w:pPr>
        <w:spacing w:line="252" w:lineRule="auto"/>
      </w:pPr>
      <w:r>
        <w:rPr>
          <w:sz w:val="18"/>
        </w:rPr>
        <w:t xml:space="preserve">F4. OpenRouter. Provider routing e controles de retenção. </w:t>
      </w:r>
      <w:hyperlink r:id="rId14">
        <w:r>
          <w:rPr>
            <w:color w:val="244A66"/>
          </w:rPr>
          <w:t>https://github.com/OpenRouterTeam/docs/blob/main/guides/routing/provider-selection.mdx</w:t>
        </w:r>
      </w:hyperlink>
      <w:r>
        <w:rPr>
          <w:sz w:val="18"/>
        </w:rPr>
        <w:t xml:space="preserve"> e </w:t>
      </w:r>
      <w:hyperlink r:id="rId15">
        <w:r>
          <w:rPr>
            <w:color w:val="244A66"/>
          </w:rPr>
          <w:t>https://openrouter.ai/blog/insights/zero-data-retention/</w:t>
        </w:r>
      </w:hyperlink>
      <w:r>
        <w:rPr>
          <w:sz w:val="18"/>
        </w:rPr>
      </w:r>
    </w:p>
    <w:p>
      <w:pPr>
        <w:spacing w:line="252" w:lineRule="auto"/>
      </w:pPr>
      <w:r>
        <w:rPr>
          <w:sz w:val="18"/>
        </w:rPr>
        <w:t xml:space="preserve">F5. IETF. RFC 9562, UUIDs, seção UUIDv7. </w:t>
      </w:r>
      <w:hyperlink r:id="rId16">
        <w:r>
          <w:rPr>
            <w:color w:val="244A66"/>
          </w:rPr>
          <w:t>https://www.rfc-editor.org/rfc/rfc9562.html</w:t>
        </w:r>
      </w:hyperlink>
      <w:r>
        <w:rPr>
          <w:sz w:val="18"/>
        </w:rPr>
      </w:r>
    </w:p>
    <w:p>
      <w:pPr>
        <w:spacing w:line="252" w:lineRule="auto"/>
      </w:pPr>
      <w:r>
        <w:rPr>
          <w:sz w:val="18"/>
        </w:rPr>
        <w:t xml:space="preserve">F6. AWS. Amazon SQS at least once delivery. </w:t>
      </w:r>
      <w:hyperlink r:id="rId17">
        <w:r>
          <w:rPr>
            <w:color w:val="244A66"/>
          </w:rPr>
          <w:t>https://docs.aws.amazon.com/AWSSimpleQueueService/latest/SQSDeveloperGuide/standard-queues-at-least-once-delivery.html</w:t>
        </w:r>
      </w:hyperlink>
      <w:r>
        <w:rPr>
          <w:sz w:val="18"/>
        </w:rPr>
      </w:r>
    </w:p>
    <w:p>
      <w:pPr>
        <w:spacing w:line="252" w:lineRule="auto"/>
      </w:pPr>
      <w:r>
        <w:rPr>
          <w:sz w:val="18"/>
        </w:rPr>
        <w:t xml:space="preserve">F7. GenLayer. Transactions e protocolo de consenso. </w:t>
      </w:r>
      <w:hyperlink r:id="rId18">
        <w:r>
          <w:rPr>
            <w:color w:val="244A66"/>
          </w:rPr>
          <w:t>https://docs.genlayer.com/understand-genlayer-protocol/core-concepts/transactions</w:t>
        </w:r>
      </w:hyperlink>
      <w:r>
        <w:rPr>
          <w:sz w:val="18"/>
        </w:rPr>
      </w:r>
    </w:p>
    <w:p>
      <w:pPr>
        <w:spacing w:line="252" w:lineRule="auto"/>
      </w:pPr>
      <w:r>
        <w:rPr>
          <w:sz w:val="18"/>
        </w:rPr>
        <w:t xml:space="preserve">F8. Presidência da República. Código de Processo Civil, arts. 783 e 784. </w:t>
      </w:r>
      <w:hyperlink r:id="rId19">
        <w:r>
          <w:rPr>
            <w:color w:val="244A66"/>
          </w:rPr>
          <w:t>https://www.planalto.gov.br/ccivil_03/_ato2015-2018/2015/lei/l13105compilada.htm</w:t>
        </w:r>
      </w:hyperlink>
      <w:r>
        <w:rPr>
          <w:sz w:val="18"/>
        </w:rPr>
      </w:r>
    </w:p>
    <w:p>
      <w:pPr>
        <w:spacing w:line="252" w:lineRule="auto"/>
      </w:pPr>
      <w:r>
        <w:rPr>
          <w:sz w:val="18"/>
        </w:rPr>
        <w:t xml:space="preserve">F9. Django e Django REST Framework. </w:t>
      </w:r>
      <w:hyperlink r:id="rId20">
        <w:r>
          <w:rPr>
            <w:color w:val="244A66"/>
          </w:rPr>
          <w:t>https://www.djangoproject.com/</w:t>
        </w:r>
      </w:hyperlink>
      <w:r>
        <w:rPr>
          <w:sz w:val="18"/>
        </w:rPr>
        <w:t xml:space="preserve"> e </w:t>
      </w:r>
      <w:hyperlink r:id="rId21">
        <w:r>
          <w:rPr>
            <w:color w:val="244A66"/>
          </w:rPr>
          <w:t>https://www.django-rest-framework.org/</w:t>
        </w:r>
      </w:hyperlink>
      <w:r>
        <w:rPr>
          <w:sz w:val="18"/>
        </w:rPr>
      </w:r>
    </w:p>
    <w:p>
      <w:pPr>
        <w:spacing w:line="252" w:lineRule="auto"/>
      </w:pPr>
      <w:r>
        <w:rPr>
          <w:sz w:val="18"/>
        </w:rPr>
        <w:t xml:space="preserve">F10. GREEN-API. SendMessage. </w:t>
      </w:r>
      <w:hyperlink r:id="rId22">
        <w:r>
          <w:rPr>
            <w:color w:val="244A66"/>
          </w:rPr>
          <w:t>https://green-api.com/en/docs/api/sending/SendMessage/</w:t>
        </w:r>
      </w:hyperlink>
      <w:r>
        <w:rPr>
          <w:sz w:val="18"/>
        </w:rPr>
      </w:r>
    </w:p>
    <w:p>
      <w:r>
        <w:t xml:space="preserve">Referências do projeto: site </w:t>
      </w:r>
      <w:hyperlink r:id="rId23">
        <w:r>
          <w:rPr>
            <w:color w:val="244A66"/>
          </w:rPr>
          <w:t>https://mediarev1.netlify.app/;</w:t>
        </w:r>
      </w:hyperlink>
      <w:r>
        <w:t xml:space="preserve"> arquivo index.html fornecido; README.md; ic_v30.py, em especial analyze_case e get_case; studio_cycle.py; docs/TERMO_ACORDO_FORMAL.md. Caminhos relativos de código são relativos ao repositório mediare-dataset. O HTML fornecido está em /Users/cgmello/Documents/Projetos/Mediare/index.html.</w:t>
      </w:r>
    </w:p>
    <w:sectPr w:rsidR="00FC693F" w:rsidRPr="0006063C" w:rsidSect="00034616">
      <w:footerReference w:type="default" r:id="rId9"/>
      <w:pgSz w:w="11909" w:h="16834"/>
      <w:pgMar w:top="979" w:right="1037" w:bottom="950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Mediare  •  Especificação do Sistema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ediarev1.netlify.app/" TargetMode="External"/><Relationship Id="rId11" Type="http://schemas.openxmlformats.org/officeDocument/2006/relationships/hyperlink" Target="https://www.planalto.gov.br/ccivil_03/_ato2015-2018/2015/lei/l13140.htm" TargetMode="External"/><Relationship Id="rId12" Type="http://schemas.openxmlformats.org/officeDocument/2006/relationships/hyperlink" Target="https://www.planalto.gov.br/ccivil_03/_ato2015-2018/2018/lei/l13709compilado.htm" TargetMode="External"/><Relationship Id="rId13" Type="http://schemas.openxmlformats.org/officeDocument/2006/relationships/hyperlink" Target="https://docs.aws.amazon.com/AmazonS3/latest/userguide/using-presigned-url.html" TargetMode="External"/><Relationship Id="rId14" Type="http://schemas.openxmlformats.org/officeDocument/2006/relationships/hyperlink" Target="https://github.com/OpenRouterTeam/docs/blob/main/guides/routing/provider-selection.mdx" TargetMode="External"/><Relationship Id="rId15" Type="http://schemas.openxmlformats.org/officeDocument/2006/relationships/hyperlink" Target="https://openrouter.ai/blog/insights/zero-data-retention/" TargetMode="External"/><Relationship Id="rId16" Type="http://schemas.openxmlformats.org/officeDocument/2006/relationships/hyperlink" Target="https://www.rfc-editor.org/rfc/rfc9562.html" TargetMode="External"/><Relationship Id="rId17" Type="http://schemas.openxmlformats.org/officeDocument/2006/relationships/hyperlink" Target="https://docs.aws.amazon.com/AWSSimpleQueueService/latest/SQSDeveloperGuide/standard-queues-at-least-once-delivery.html" TargetMode="External"/><Relationship Id="rId18" Type="http://schemas.openxmlformats.org/officeDocument/2006/relationships/hyperlink" Target="https://docs.genlayer.com/understand-genlayer-protocol/core-concepts/transactions" TargetMode="External"/><Relationship Id="rId19" Type="http://schemas.openxmlformats.org/officeDocument/2006/relationships/hyperlink" Target="https://www.planalto.gov.br/ccivil_03/_ato2015-2018/2015/lei/l13105compilada.htm" TargetMode="External"/><Relationship Id="rId20" Type="http://schemas.openxmlformats.org/officeDocument/2006/relationships/hyperlink" Target="https://www.djangoproject.com/" TargetMode="External"/><Relationship Id="rId21" Type="http://schemas.openxmlformats.org/officeDocument/2006/relationships/hyperlink" Target="https://www.django-rest-framework.org/" TargetMode="External"/><Relationship Id="rId22" Type="http://schemas.openxmlformats.org/officeDocument/2006/relationships/hyperlink" Target="https://green-api.com/en/docs/api/sending/SendMessage/" TargetMode="External"/><Relationship Id="rId23" Type="http://schemas.openxmlformats.org/officeDocument/2006/relationships/hyperlink" Target="https://mediarev1.netlify.app/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 Sistema Mediare</dc:title>
  <dc:subject>Arquitetura requisitos e integrações da plataforma de mediação</dc:subject>
  <dc:creator>Mediare</dc:creator>
  <cp:keywords>Mediare, especificação, arquitetura, requisitos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