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6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cgmisc:</w:t>
      </w:r>
      <w:r>
        <w:t xml:space="preserve"> </w:t>
      </w:r>
      <w:r>
        <w:t xml:space="preserve">package</w:t>
      </w:r>
      <w:r>
        <w:t xml:space="preserve"> </w:t>
      </w:r>
      <w:r>
        <w:t xml:space="preserve">tutorial</w:t>
      </w:r>
    </w:p>
    <w:p>
      <w:pPr>
        <w:pStyle w:val="Authors"/>
      </w:pPr>
      <w:r>
        <w:t xml:space="preserve">Marcin</w:t>
      </w:r>
      <w:r>
        <w:t xml:space="preserve"> </w:t>
      </w:r>
      <w:r>
        <w:t xml:space="preserve">Kierczak,</w:t>
      </w:r>
      <w:r>
        <w:t xml:space="preserve"> </w:t>
      </w:r>
      <w:r>
        <w:t xml:space="preserve">Jagoda</w:t>
      </w:r>
      <w:r>
        <w:t xml:space="preserve"> </w:t>
      </w:r>
      <w:r>
        <w:t xml:space="preserve">Jablonska,</w:t>
      </w:r>
      <w:r>
        <w:t xml:space="preserve"> </w:t>
      </w:r>
      <w:r>
        <w:t xml:space="preserve">Simon</w:t>
      </w:r>
      <w:r>
        <w:t xml:space="preserve"> </w:t>
      </w:r>
      <w:r>
        <w:t xml:space="preserve">Forsberg,</w:t>
      </w:r>
      <w:r>
        <w:t xml:space="preserve"> </w:t>
      </w:r>
      <w:r>
        <w:t xml:space="preserve">Matteo</w:t>
      </w:r>
      <w:r>
        <w:t xml:space="preserve"> </w:t>
      </w:r>
      <w:r>
        <w:t xml:space="preserve">Bianchi,</w:t>
      </w:r>
      <w:r>
        <w:t xml:space="preserve"> </w:t>
      </w:r>
      <w:r>
        <w:t xml:space="preserve">Katarina</w:t>
      </w:r>
      <w:r>
        <w:t xml:space="preserve"> </w:t>
      </w:r>
      <w:r>
        <w:t xml:space="preserve">Tengvall,</w:t>
      </w:r>
      <w:r>
        <w:t xml:space="preserve"> </w:t>
      </w:r>
      <w:r>
        <w:t xml:space="preserve">Mats</w:t>
      </w:r>
      <w:r>
        <w:t xml:space="preserve"> </w:t>
      </w:r>
      <w:r>
        <w:t xml:space="preserve">Pettersson,</w:t>
      </w:r>
      <w:r>
        <w:t xml:space="preserve"> </w:t>
      </w:r>
      <w:r>
        <w:t xml:space="preserve">Jennifer</w:t>
      </w:r>
      <w:r>
        <w:t xml:space="preserve"> </w:t>
      </w:r>
      <w:r>
        <w:t xml:space="preserve">Meadows,</w:t>
      </w:r>
      <w:r>
        <w:t xml:space="preserve"> </w:t>
      </w:r>
      <w:r>
        <w:t xml:space="preserve">Patric</w:t>
      </w:r>
      <w:r>
        <w:t xml:space="preserve"> </w:t>
      </w:r>
      <w:r>
        <w:t xml:space="preserve">Jern,</w:t>
      </w:r>
      <w:r>
        <w:t xml:space="preserve"> </w:t>
      </w:r>
      <w:r>
        <w:t xml:space="preserve">Orjan</w:t>
      </w:r>
      <w:r>
        <w:t xml:space="preserve"> </w:t>
      </w:r>
      <w:r>
        <w:t xml:space="preserve">Carlborg,</w:t>
      </w:r>
      <w:r>
        <w:t xml:space="preserve"> </w:t>
      </w:r>
      <w:r>
        <w:t xml:space="preserve">Kerstin</w:t>
      </w:r>
      <w:r>
        <w:t xml:space="preserve"> </w:t>
      </w:r>
      <w:r>
        <w:t xml:space="preserve">Lindblad-Toh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Feb</w:t>
      </w:r>
      <w:r>
        <w:t xml:space="preserve"> </w:t>
      </w:r>
      <w:r>
        <w:t xml:space="preserve">2015</w:t>
      </w:r>
    </w:p>
    <w:p>
      <w:r>
        <w:rPr>
          <w:b/>
        </w:rPr>
        <w:t xml:space="preserve">cgmisc</w:t>
      </w:r>
      <w:r>
        <w:t xml:space="preserve"> </w:t>
      </w:r>
      <w:r>
        <w:t xml:space="preserve">is an R package for enhanced genome-wide association studies (GWAS) and visualisation. This document aims at guiding you through the installation process and to demonstrate package capabilities in a series of practical examples based on an example data included in the package.</w:t>
      </w:r>
    </w:p>
    <w:bookmarkStart w:id="21" w:name="package-installation"/>
    <w:p>
      <w:pPr>
        <w:pStyle w:val="Heading1"/>
      </w:pPr>
      <w:r>
        <w:t xml:space="preserve">Package installation</w:t>
      </w:r>
    </w:p>
    <w:bookmarkEnd w:id="21"/>
    <w:p>
      <w:r>
        <w:t xml:space="preserve">The</w:t>
      </w:r>
      <w:r>
        <w:t xml:space="preserve"> </w:t>
      </w:r>
      <w:r>
        <w:rPr>
          <w:b/>
        </w:rPr>
        <w:t xml:space="preserve">cgmisc</w:t>
      </w:r>
      <w:r>
        <w:t xml:space="preserve"> </w:t>
      </w:r>
      <w:r>
        <w:t xml:space="preserve">package can be installed in the same way as any other R package. One way is to issue the following command in R console: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"cgmisc"</w:t>
      </w:r>
      <w:r>
        <w:rPr>
          <w:rStyle w:val="NormalTok"/>
        </w:rPr>
        <w:t xml:space="preserve">)</w:t>
      </w:r>
    </w:p>
    <w:p>
      <w:r>
        <w:t xml:space="preserve">Other possibilities include using graphical user interface (GUI) of, e.g. R console or RStudio.</w:t>
      </w:r>
    </w:p>
    <w:p>
      <w:r>
        <w:t xml:space="preserve">After the package has been installed, to use the package, it is necessary to load it into environment: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"cgmisc"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GenABEL</w:t>
      </w:r>
      <w:r>
        <w:br w:type="textWrapping"/>
      </w: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GenABEL.data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Package cgmisc contains miscellaneous functions, useful for extending</w:t>
      </w:r>
      <w:r>
        <w:br w:type="textWrapping"/>
      </w:r>
      <w:r>
        <w:rPr>
          <w:rStyle w:val="VerbatimChar"/>
        </w:rPr>
        <w:t xml:space="preserve">## genome-wide association study (GWAS) analyses.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Package Name: cgmisc </w:t>
      </w:r>
      <w:r>
        <w:br w:type="textWrapping"/>
      </w:r>
      <w:r>
        <w:rPr>
          <w:rStyle w:val="VerbatimChar"/>
        </w:rPr>
        <w:t xml:space="preserve">##  Version: 2.9.8 </w:t>
      </w:r>
      <w:r>
        <w:br w:type="textWrapping"/>
      </w:r>
      <w:r>
        <w:rPr>
          <w:rStyle w:val="VerbatimChar"/>
        </w:rPr>
        <w:t xml:space="preserve">##  Date: 2015-01-28 </w:t>
      </w:r>
      <w:r>
        <w:br w:type="textWrapping"/>
      </w:r>
      <w:r>
        <w:rPr>
          <w:rStyle w:val="VerbatimChar"/>
        </w:rPr>
        <w:t xml:space="preserve">##  Author: Marcin Kierczak &lt;marcin.kierczak@imbim.uu.se&gt; </w:t>
      </w:r>
      <w:r>
        <w:br w:type="textWrapping"/>
      </w:r>
      <w:r>
        <w:rPr>
          <w:rStyle w:val="VerbatimChar"/>
        </w:rPr>
        <w:t xml:space="preserve">##  License GPL (&gt;=2.10)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Package contains various functions useful in computational</w:t>
      </w:r>
      <w:r>
        <w:br w:type="textWrapping"/>
      </w:r>
      <w:r>
        <w:rPr>
          <w:rStyle w:val="VerbatimChar"/>
        </w:rPr>
        <w:t xml:space="preserve">##     genetics, especially in genome-wide association studies.</w:t>
      </w:r>
    </w:p>
    <w:bookmarkStart w:id="22" w:name="loading-data"/>
    <w:p>
      <w:pPr>
        <w:pStyle w:val="Heading1"/>
      </w:pPr>
      <w:r>
        <w:t xml:space="preserve">Loading data</w:t>
      </w:r>
    </w:p>
    <w:bookmarkEnd w:id="22"/>
    <w:p>
      <w:r>
        <w:t xml:space="preserve">Whenever possible, the</w:t>
      </w:r>
      <w:r>
        <w:t xml:space="preserve"> </w:t>
      </w:r>
      <w:r>
        <w:rPr>
          <w:b/>
        </w:rPr>
        <w:t xml:space="preserve">cgmisc</w:t>
      </w:r>
      <w:r>
        <w:t xml:space="preserve"> </w:t>
      </w:r>
      <w:r>
        <w:t xml:space="preserve">package uses data structures used by the GenABEL (Aulchenko et al., 2007) package. In particular, the</w:t>
      </w:r>
      <w:r>
        <w:t xml:space="preserve"> </w:t>
      </w:r>
      <w:r>
        <w:rPr>
          <w:rStyle w:val="VerbatimChar"/>
        </w:rPr>
        <w:t xml:space="preserve">gwaa.data-class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gwaa.scan-class</w:t>
      </w:r>
      <w:r>
        <w:t xml:space="preserve"> </w:t>
      </w:r>
      <w:r>
        <w:t xml:space="preserve">structures are used. The package is shipped with an example dataset called</w:t>
      </w:r>
      <w:r>
        <w:t xml:space="preserve"> </w:t>
      </w:r>
      <w:r>
        <w:rPr>
          <w:b/>
        </w:rPr>
        <w:t xml:space="preserve">cgmisc_data</w:t>
      </w:r>
      <w:r>
        <w:t xml:space="preserve"> </w:t>
      </w:r>
      <w:r>
        <w:t xml:space="preserve">that contains genotyping data (Illumina, canFam2) for N=207 German shepherds originally collected for the project described in (Tengvall et al., 2012). The phenotypes, though, have been simulated in order to be able to illustrate various features of</w:t>
      </w:r>
      <w:r>
        <w:t xml:space="preserve"> </w:t>
      </w:r>
      <w:r>
        <w:rPr>
          <w:b/>
        </w:rPr>
        <w:t xml:space="preserve">cgmisc</w:t>
      </w:r>
      <w:r>
        <w:t xml:space="preserve">. To load the example dataset, use the following command: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</w:p>
    <w:bookmarkStart w:id="23" w:name="example-analyses"/>
    <w:p>
      <w:pPr>
        <w:pStyle w:val="Heading1"/>
      </w:pPr>
      <w:r>
        <w:t xml:space="preserve">Example analyses</w:t>
      </w:r>
    </w:p>
    <w:bookmarkEnd w:id="23"/>
    <w:p>
      <w:r>
        <w:t xml:space="preserve">In order to illustrate how to use particular functions, we will perform a very much simplified GWAS analysis. We begin by initial quality control where we prune the data with per marker of per individual call rates below 95%. Based on 2000 randomly selected markers, we remove one (with lower call rate) from each pair of too similar (more than 95% similarity) individuals. We also set very low (</w:t>
      </w:r>
      <m:oMath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3</m:t>
            </m:r>
          </m:sup>
        </m:sSup>
      </m:oMath>
      <w:r>
        <w:t xml:space="preserve">) threshold for pruning on minor allele frequency (in practise only the monomorphic markers will be removed) and turn off checks based on the departure form Hardy-Weinberg equilibrium (p.level=10e-18)</w:t>
      </w:r>
    </w:p>
    <w:p>
      <w:pPr>
        <w:pStyle w:val="SourceCode"/>
      </w:pPr>
      <w:r>
        <w:rPr>
          <w:rStyle w:val="NormalTok"/>
        </w:rPr>
        <w:t xml:space="preserve">qc1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check.marker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callrate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perid.call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ibs.threshold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ibs.mrk=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ibs.exclude=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p.level=</w:t>
      </w:r>
      <w:r>
        <w:rPr>
          <w:rStyle w:val="FloatTok"/>
        </w:rPr>
        <w:t xml:space="preserve">10e-18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maf=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Excluding people/markers with extremely low call rate...</w:t>
      </w:r>
      <w:r>
        <w:br w:type="textWrapping"/>
      </w:r>
      <w:r>
        <w:rPr>
          <w:rStyle w:val="VerbatimChar"/>
        </w:rPr>
        <w:t xml:space="preserve">## 174375 markers and 207 people in total</w:t>
      </w:r>
      <w:r>
        <w:br w:type="textWrapping"/>
      </w:r>
      <w:r>
        <w:rPr>
          <w:rStyle w:val="VerbatimChar"/>
        </w:rPr>
        <w:t xml:space="preserve">## 0 people excluded because of call rate &lt; 0.1 </w:t>
      </w:r>
      <w:r>
        <w:br w:type="textWrapping"/>
      </w:r>
      <w:r>
        <w:rPr>
          <w:rStyle w:val="VerbatimChar"/>
        </w:rPr>
        <w:t xml:space="preserve">## 1069 markers excluded because of call rate &lt; 0.1 </w:t>
      </w:r>
      <w:r>
        <w:br w:type="textWrapping"/>
      </w:r>
      <w:r>
        <w:rPr>
          <w:rStyle w:val="VerbatimChar"/>
        </w:rPr>
        <w:t xml:space="preserve">## Passed: 173306 markers and 207 people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RUN 1 </w:t>
      </w:r>
      <w:r>
        <w:br w:type="textWrapping"/>
      </w:r>
      <w:r>
        <w:rPr>
          <w:rStyle w:val="VerbatimChar"/>
        </w:rPr>
        <w:t xml:space="preserve">## 173306 markers and 207 people in total</w:t>
      </w:r>
      <w:r>
        <w:br w:type="textWrapping"/>
      </w:r>
      <w:r>
        <w:rPr>
          <w:rStyle w:val="VerbatimChar"/>
        </w:rPr>
        <w:t xml:space="preserve">## 42743 (24.66331%) markers excluded as having low (&lt;0.1%) minor allele frequency</w:t>
      </w:r>
      <w:r>
        <w:br w:type="textWrapping"/>
      </w:r>
      <w:r>
        <w:rPr>
          <w:rStyle w:val="VerbatimChar"/>
        </w:rPr>
        <w:t xml:space="preserve">## 1468 (0.8470567%) markers excluded because of low (&lt;95%) call rate</w:t>
      </w:r>
      <w:r>
        <w:br w:type="textWrapping"/>
      </w:r>
      <w:r>
        <w:rPr>
          <w:rStyle w:val="VerbatimChar"/>
        </w:rPr>
        <w:t xml:space="preserve">## 650 (0.3750591%) markers excluded because they are out of HWE (P &lt;1e-17)</w:t>
      </w:r>
      <w:r>
        <w:br w:type="textWrapping"/>
      </w:r>
      <w:r>
        <w:rPr>
          <w:rStyle w:val="VerbatimChar"/>
        </w:rPr>
        <w:t xml:space="preserve">## 0 (0%) people excluded because of low (&lt;95%) call rate</w:t>
      </w:r>
      <w:r>
        <w:br w:type="textWrapping"/>
      </w:r>
      <w:r>
        <w:rPr>
          <w:rStyle w:val="VerbatimChar"/>
        </w:rPr>
        <w:t xml:space="preserve">## Mean autosomal HET is 0.2658536 (s.e. 0.01917125)</w:t>
      </w:r>
      <w:r>
        <w:br w:type="textWrapping"/>
      </w:r>
      <w:r>
        <w:rPr>
          <w:rStyle w:val="VerbatimChar"/>
        </w:rPr>
        <w:t xml:space="preserve">## 0 people excluded because too high autosomal heterozygosity (FDR &lt;1%)</w:t>
      </w:r>
      <w:r>
        <w:br w:type="textWrapping"/>
      </w:r>
      <w:r>
        <w:rPr>
          <w:rStyle w:val="VerbatimChar"/>
        </w:rPr>
        <w:t xml:space="preserve">## Mean IBS is 0.7749262 (s.e. 0.01468507), as based on 2000 autosomal markers</w:t>
      </w:r>
      <w:r>
        <w:br w:type="textWrapping"/>
      </w:r>
      <w:r>
        <w:rPr>
          <w:rStyle w:val="VerbatimChar"/>
        </w:rPr>
        <w:t xml:space="preserve">## 2 (0.9661836%) people excluded because of too high IBS (&gt;=0.95)</w:t>
      </w:r>
      <w:r>
        <w:br w:type="textWrapping"/>
      </w:r>
      <w:r>
        <w:rPr>
          <w:rStyle w:val="VerbatimChar"/>
        </w:rPr>
        <w:t xml:space="preserve">## In total, 128942 (74.40135%) markers passed all criteria</w:t>
      </w:r>
      <w:r>
        <w:br w:type="textWrapping"/>
      </w:r>
      <w:r>
        <w:rPr>
          <w:rStyle w:val="VerbatimChar"/>
        </w:rPr>
        <w:t xml:space="preserve">## In total, 205 (99.03382%) people passed all criteria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RUN 2 </w:t>
      </w:r>
      <w:r>
        <w:br w:type="textWrapping"/>
      </w:r>
      <w:r>
        <w:rPr>
          <w:rStyle w:val="VerbatimChar"/>
        </w:rPr>
        <w:t xml:space="preserve">## 128942 markers and 205 people in total</w:t>
      </w:r>
      <w:r>
        <w:br w:type="textWrapping"/>
      </w:r>
      <w:r>
        <w:rPr>
          <w:rStyle w:val="VerbatimChar"/>
        </w:rPr>
        <w:t xml:space="preserve">## 0 (0%) markers excluded as having low (&lt;0.1%) minor allele frequency</w:t>
      </w:r>
      <w:r>
        <w:br w:type="textWrapping"/>
      </w:r>
      <w:r>
        <w:rPr>
          <w:rStyle w:val="VerbatimChar"/>
        </w:rPr>
        <w:t xml:space="preserve">## 0 (0%) markers excluded because of low (&lt;95%) call rate</w:t>
      </w:r>
      <w:r>
        <w:br w:type="textWrapping"/>
      </w:r>
      <w:r>
        <w:rPr>
          <w:rStyle w:val="VerbatimChar"/>
        </w:rPr>
        <w:t xml:space="preserve">## 0 (0%) markers excluded because they are out of HWE (P &lt;1e-17)</w:t>
      </w:r>
      <w:r>
        <w:br w:type="textWrapping"/>
      </w:r>
      <w:r>
        <w:rPr>
          <w:rStyle w:val="VerbatimChar"/>
        </w:rPr>
        <w:t xml:space="preserve">## 0 (0%) people excluded because of low (&lt;95%) call rate</w:t>
      </w:r>
      <w:r>
        <w:br w:type="textWrapping"/>
      </w:r>
      <w:r>
        <w:rPr>
          <w:rStyle w:val="VerbatimChar"/>
        </w:rPr>
        <w:t xml:space="preserve">## Mean autosomal HET is 0.2660211 (s.e. 0.01918304)</w:t>
      </w:r>
      <w:r>
        <w:br w:type="textWrapping"/>
      </w:r>
      <w:r>
        <w:rPr>
          <w:rStyle w:val="VerbatimChar"/>
        </w:rPr>
        <w:t xml:space="preserve">## 0 people excluded because too high autosomal heterozygosity (FDR &lt;1%)</w:t>
      </w:r>
      <w:r>
        <w:br w:type="textWrapping"/>
      </w:r>
      <w:r>
        <w:rPr>
          <w:rStyle w:val="VerbatimChar"/>
        </w:rPr>
        <w:t xml:space="preserve">## Mean IBS is 0.7788386 (s.e. 0.01414693), as based on 2000 autosomal markers</w:t>
      </w:r>
      <w:r>
        <w:br w:type="textWrapping"/>
      </w:r>
      <w:r>
        <w:rPr>
          <w:rStyle w:val="VerbatimChar"/>
        </w:rPr>
        <w:t xml:space="preserve">## 0 (0%) people excluded because of too high IBS (&gt;=0.95)</w:t>
      </w:r>
      <w:r>
        <w:br w:type="textWrapping"/>
      </w:r>
      <w:r>
        <w:rPr>
          <w:rStyle w:val="VerbatimChar"/>
        </w:rPr>
        <w:t xml:space="preserve">## In total, 128942 (100%) markers passed all criteria</w:t>
      </w:r>
      <w:r>
        <w:br w:type="textWrapping"/>
      </w:r>
      <w:r>
        <w:rPr>
          <w:rStyle w:val="VerbatimChar"/>
        </w:rPr>
        <w:t xml:space="preserve">## In total, 205 (100%) people passed all criteria</w:t>
      </w:r>
    </w:p>
    <w:p>
      <w:pPr>
        <w:pStyle w:val="SourceCode"/>
      </w:pPr>
      <w:r>
        <w:rPr>
          <w:rStyle w:val="NormalTok"/>
        </w:rPr>
        <w:t xml:space="preserve">data.qc1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data[qc1$idok, qc1$snpok]</w:t>
      </w:r>
    </w:p>
    <w:p>
      <w:r>
        <w:t xml:space="preserve">Next, we analyse population structure by means of genomic-kinship:</w:t>
      </w:r>
    </w:p>
    <w:p>
      <w:pPr>
        <w:pStyle w:val="SourceCode"/>
      </w:pPr>
      <w:r>
        <w:rPr>
          <w:rStyle w:val="NormalTok"/>
        </w:rPr>
        <w:t xml:space="preserve">autosomal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(data.qc1@gtdata@chromosome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data.qc1.gkin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ibs</w:t>
      </w:r>
      <w:r>
        <w:rPr>
          <w:rStyle w:val="NormalTok"/>
        </w:rPr>
        <w:t xml:space="preserve">(data.qc1, </w:t>
      </w:r>
      <w:r>
        <w:rPr>
          <w:rStyle w:val="DataTypeTok"/>
        </w:rPr>
        <w:t xml:space="preserve">snpsubset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autosomal,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data.qc1.dist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data.qc1.gkin)</w:t>
      </w:r>
      <w:r>
        <w:br w:type="textWrapping"/>
      </w:r>
      <w:r>
        <w:rPr>
          <w:rStyle w:val="NormalTok"/>
        </w:rPr>
        <w:t xml:space="preserve">data.qc1.mds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(data.qc1.dist)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(data.qc1.mds,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"MDS1"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"MDS2"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gnette_files/figure-docx/gk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can see that there is possible population structure here. We should investigate this further, but for our purposes, let's just run simple K-means clustering with the number of clusters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set to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2</m:t>
        </m:r>
      </m:oMath>
    </w:p>
    <w:p>
      <w:pPr>
        <w:pStyle w:val="SourceCode"/>
      </w:pPr>
      <w:r>
        <w:rPr>
          <w:rStyle w:val="NormalTok"/>
        </w:rPr>
        <w:t xml:space="preserve">kclust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(data.qc1.mds,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(data.qc1.mds,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"MDS1"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"MDS2"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kclust$cluster)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gnette_files/figure-docx/kcl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kclust$cluster</w:t>
      </w:r>
    </w:p>
    <w:p>
      <w:r>
        <w:t xml:space="preserve">Having defined subpopulations, we can proceed to association analyses using mixed model with genomic kinship as random effect.</w:t>
      </w:r>
    </w:p>
    <w:p>
      <w:pPr>
        <w:pStyle w:val="SourceCode"/>
      </w:pPr>
      <w:r>
        <w:rPr>
          <w:rStyle w:val="NormalTok"/>
        </w:rPr>
        <w:t xml:space="preserve">h2h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polygenic_hglm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data.qc1.gkin, data.qc1)</w:t>
      </w:r>
    </w:p>
    <w:p>
      <w:pPr>
        <w:pStyle w:val="SourceCode"/>
      </w:pPr>
      <w:r>
        <w:rPr>
          <w:rStyle w:val="VerbatimChar"/>
        </w:rPr>
        <w:t xml:space="preserve">## Loading required package: hglm</w:t>
      </w:r>
      <w:r>
        <w:br w:type="textWrapping"/>
      </w: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Loading required package: hglm.data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hglm: Hierarchical Generalized Linear Models</w:t>
      </w:r>
      <w:r>
        <w:br w:type="textWrapping"/>
      </w:r>
      <w:r>
        <w:rPr>
          <w:rStyle w:val="VerbatimChar"/>
        </w:rPr>
        <w:t xml:space="preserve">## Version 2.0-11 (2014-10-30) installed</w:t>
      </w:r>
      <w:r>
        <w:br w:type="textWrapping"/>
      </w:r>
      <w:r>
        <w:rPr>
          <w:rStyle w:val="VerbatimChar"/>
        </w:rPr>
        <w:t xml:space="preserve">## Authors: Xia Shen, Moudud Alam, Lars Ronnegard</w:t>
      </w:r>
      <w:r>
        <w:br w:type="textWrapping"/>
      </w:r>
      <w:r>
        <w:rPr>
          <w:rStyle w:val="VerbatimChar"/>
        </w:rPr>
        <w:t xml:space="preserve">## Maintainer: Xia Shen &lt;xia.shen@ki.se&gt;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 citation("hglm") to know how to cite our work.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Discussion: https://r-forge.r-project.org/forum/?group_id=558</w:t>
      </w:r>
      <w:r>
        <w:br w:type="textWrapping"/>
      </w:r>
      <w:r>
        <w:rPr>
          <w:rStyle w:val="VerbatimChar"/>
        </w:rPr>
        <w:t xml:space="preserve">## BugReports: https://r-forge.r-project.org/tracker/?group_id=558</w:t>
      </w:r>
      <w:r>
        <w:br w:type="textWrapping"/>
      </w:r>
      <w:r>
        <w:rPr>
          <w:rStyle w:val="VerbatimChar"/>
        </w:rPr>
        <w:t xml:space="preserve">## VideoTutorials: http://www.youtube.com/playlist?list=PLn1OmZECD-n15vnYzvJDy5GxjNpVV5Jr8</w:t>
      </w:r>
    </w:p>
    <w:p>
      <w:pPr>
        <w:pStyle w:val="SourceCode"/>
      </w:pP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mmscore</w:t>
      </w:r>
      <w:r>
        <w:rPr>
          <w:rStyle w:val="NormalTok"/>
        </w:rPr>
        <w:t xml:space="preserve">(h2h, data.qc1,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(mm,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gnette_files/figure-docx/h2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As we can see, there is a very strong association signal on chromosome 2. We can examine it a bit closer using the</w:t>
      </w:r>
      <w:r>
        <w:t xml:space="preserve"> </w:t>
      </w:r>
      <w:r>
        <w:rPr>
          <w:rStyle w:val="VerbatimChar"/>
        </w:rPr>
        <w:t xml:space="preserve">plot.manhattan.ld</w:t>
      </w:r>
      <w:r>
        <w:t xml:space="preserve"> </w:t>
      </w:r>
      <w:r>
        <w:t xml:space="preserve">function.</w:t>
      </w:r>
    </w:p>
    <w:bookmarkStart w:id="27" w:name="visualization-and-analyses-of-linkage-structure"/>
    <w:p>
      <w:pPr>
        <w:pStyle w:val="Heading1"/>
      </w:pPr>
      <w:r>
        <w:t xml:space="preserve">Visualization and analyses of linkage structure</w:t>
      </w:r>
    </w:p>
    <w:bookmarkEnd w:id="27"/>
    <w:p>
      <w:r>
        <w:t xml:space="preserve">Say, we would like to zoom in on chromosome 2 and visualise LD to the top-associated marker. First, we need the name and cooridinates of the marker: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(mm, </w:t>
      </w:r>
      <w:r>
        <w:rPr>
          <w:rStyle w:val="DataTypeTok"/>
        </w:rPr>
        <w:t xml:space="preserve">top=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Summary for top 1 results, sorted by P1df</w:t>
      </w:r>
    </w:p>
    <w:p>
      <w:pPr>
        <w:pStyle w:val="SourceCode"/>
      </w:pPr>
      <w:r>
        <w:rPr>
          <w:rStyle w:val="VerbatimChar"/>
        </w:rPr>
        <w:t xml:space="preserve">##               Chromosome Position Strand A1 A2   N     effB   se_effB</w:t>
      </w:r>
      <w:r>
        <w:br w:type="textWrapping"/>
      </w:r>
      <w:r>
        <w:rPr>
          <w:rStyle w:val="VerbatimChar"/>
        </w:rPr>
        <w:t xml:space="preserve">## BICF2S2365880          2 38256927      u  T  C 205 1.095257 0.1466398</w:t>
      </w:r>
      <w:r>
        <w:br w:type="textWrapping"/>
      </w:r>
      <w:r>
        <w:rPr>
          <w:rStyle w:val="VerbatimChar"/>
        </w:rPr>
        <w:t xml:space="preserve">##               chi2.1df         P1df        Pc1df effAB effBB chi2.2df P2df</w:t>
      </w:r>
      <w:r>
        <w:br w:type="textWrapping"/>
      </w:r>
      <w:r>
        <w:rPr>
          <w:rStyle w:val="VerbatimChar"/>
        </w:rPr>
        <w:t xml:space="preserve">## BICF2S2365880 55.78642 8.078765e-14 3.540639e-13    NA    NA        0   NA</w:t>
      </w:r>
    </w:p>
    <w:p>
      <w:r>
        <w:t xml:space="preserve">We see that the top-associated marker is</w:t>
      </w:r>
      <w:r>
        <w:t xml:space="preserve"> </w:t>
      </w:r>
      <w:r>
        <w:rPr>
          <w:b/>
        </w:rPr>
        <w:t xml:space="preserve">BICF2S2365880</w:t>
      </w:r>
      <w:r>
        <w:t xml:space="preserve"> </w:t>
      </w:r>
      <w:r>
        <w:t xml:space="preserve">and its position is</w:t>
      </w:r>
      <w:r>
        <w:t xml:space="preserve"> </w:t>
      </w:r>
      <w:r>
        <w:rPr>
          <w:b/>
        </w:rPr>
        <w:t xml:space="preserve">38256927bp</w:t>
      </w:r>
      <w:r>
        <w:t xml:space="preserve">. We will zoom in on a 2Mbp region centered on the marker:</w:t>
      </w:r>
    </w:p>
    <w:p>
      <w:pPr>
        <w:pStyle w:val="SourceCode"/>
      </w:pPr>
      <w:r>
        <w:rPr>
          <w:rStyle w:val="KeywordTok"/>
        </w:rPr>
        <w:t xml:space="preserve">plot.manhattan.LD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data.qc1, </w:t>
      </w:r>
      <w:r>
        <w:rPr>
          <w:rStyle w:val="DataTypeTok"/>
        </w:rPr>
        <w:t xml:space="preserve">gwas.result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mm, </w:t>
      </w:r>
      <w:r>
        <w:rPr>
          <w:rStyle w:val="DataTypeTok"/>
        </w:rPr>
        <w:t xml:space="preserve">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37256927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39256927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index.snp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"BICF2S2365880"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38.9e6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bonferroni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mafThreshold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gnette_files/figure-docx/plot.manhattan.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is also possible to identify regions of interest using clumping procedure as described in PLINK documentation [cite]:</w:t>
      </w:r>
    </w:p>
    <w:p>
      <w:pPr>
        <w:pStyle w:val="SourceCode"/>
      </w:pPr>
      <w:r>
        <w:rPr>
          <w:rStyle w:val="NormalTok"/>
        </w:rPr>
        <w:t xml:space="preserve">clumps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clump.markers</w:t>
      </w:r>
      <w:r>
        <w:rPr>
          <w:rStyle w:val="NormalTok"/>
        </w:rPr>
        <w:t xml:space="preserve">(data.qc1, mm,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plot.clumps</w:t>
      </w:r>
      <w:r>
        <w:rPr>
          <w:rStyle w:val="NormalTok"/>
        </w:rPr>
        <w:t xml:space="preserve">(mm, clumps, </w:t>
      </w:r>
      <w:r>
        <w:rPr>
          <w:rStyle w:val="DataTypeTok"/>
        </w:rPr>
        <w:t xml:space="preserve">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37256927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39256927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gnette_files/figure-docx/clump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 visualise LD decay on chromosome 2, one can call the</w:t>
      </w:r>
      <w:r>
        <w:t xml:space="preserve"> </w:t>
      </w:r>
      <w:r>
        <w:rPr>
          <w:rStyle w:val="VerbatimChar"/>
        </w:rPr>
        <w:t xml:space="preserve">plot.ld.decay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#plot.LD.decay(data.qc1[,data.qc1@gtdata@chromosome==2], N=100, dmin = 1e2, dmax = 1e3)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c0d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cgmisc: package tutorial</dc:title>
  <dc:creator>Marcin Kierczak, Jagoda Jablonska, Simon Forsberg, Matteo Bianchi, Katarina Tengvall, Mats Pettersson, Jennifer Meadows, Patric Jern, Orjan Carlborg, Kerstin Lindblad-Toh</dc:creator>
  <dcterms:created xsi:type="dcterms:W3CDTF">2015-02-18</dcterms:created>
  <dcterms:modified xsi:type="dcterms:W3CDTF">2015-02-18</dcterms:modified>
</cp:coreProperties>
</file>