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proofErr w:type="spellStart"/>
      <w:r w:rsidRPr="00DA5371">
        <w:rPr>
          <w:rFonts w:ascii="Times New Roman" w:hAnsi="Times New Roman"/>
          <w:sz w:val="24"/>
          <w:szCs w:val="24"/>
        </w:rPr>
        <w:t>Ihnestr</w:t>
      </w:r>
      <w:r w:rsidR="00AF4AF7" w:rsidRPr="00DA5371">
        <w:rPr>
          <w:rFonts w:ascii="Times New Roman" w:hAnsi="Times New Roman"/>
          <w:sz w:val="24"/>
          <w:szCs w:val="24"/>
        </w:rPr>
        <w:t>aße</w:t>
      </w:r>
      <w:proofErr w:type="spellEnd"/>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5F784CEE"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956888" w:rsidRPr="00DA5371">
        <w:t xml:space="preserve">und </w:t>
      </w:r>
      <w:r w:rsidR="00956888">
        <w:t>Anwendungsbereiche</w:t>
      </w:r>
      <w:r w:rsidR="003011AD" w:rsidRPr="00DA5371">
        <w:t xml:space="preserv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lastRenderedPageBreak/>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46DC2E6A"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F947A6">
        <w:rPr>
          <w:rFonts w:ascii="Times New Roman" w:hAnsi="Times New Roman"/>
          <w:sz w:val="24"/>
          <w:szCs w:val="24"/>
        </w:rPr>
        <w:t>0</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33023C">
        <w:rPr>
          <w:lang w:val="en-US"/>
        </w:rPr>
        <w:t>Sitzung</w:t>
      </w:r>
      <w:proofErr w:type="spellEnd"/>
      <w:r w:rsidRPr="0033023C">
        <w:rPr>
          <w:lang w:val="en-US"/>
        </w:rPr>
        <w:t xml:space="preserve"> 3</w:t>
      </w:r>
      <w:r w:rsidRPr="0033023C">
        <w:rPr>
          <w:lang w:val="en-US"/>
        </w:rPr>
        <w:tab/>
      </w:r>
      <w:proofErr w:type="spellStart"/>
      <w:r w:rsidRPr="0033023C">
        <w:rPr>
          <w:lang w:val="en-US"/>
        </w:rPr>
        <w:t>Persönlichkeit</w:t>
      </w:r>
      <w:proofErr w:type="spellEnd"/>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lastRenderedPageBreak/>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w:t>
      </w:r>
      <w:proofErr w:type="spellStart"/>
      <w:r w:rsidRPr="0033023C">
        <w:rPr>
          <w:color w:val="000000"/>
          <w:lang w:val="en-US"/>
        </w:rPr>
        <w:t>Caprara</w:t>
      </w:r>
      <w:proofErr w:type="spellEnd"/>
      <w:r w:rsidRPr="0033023C">
        <w:rPr>
          <w:color w:val="000000"/>
          <w:lang w:val="en-US"/>
        </w:rPr>
        <w:t xml:space="preserve">, Michele </w:t>
      </w:r>
      <w:proofErr w:type="spellStart"/>
      <w:r w:rsidRPr="0033023C">
        <w:rPr>
          <w:color w:val="000000"/>
          <w:lang w:val="en-US"/>
        </w:rPr>
        <w:t>Vecchione</w:t>
      </w:r>
      <w:proofErr w:type="spellEnd"/>
      <w:r w:rsidRPr="0033023C">
        <w:rPr>
          <w:color w:val="000000"/>
          <w:lang w:val="en-US"/>
        </w:rPr>
        <w:t xml:space="preserve">, Paul Bain, Gabriel Bianchi, Maria Giovanna </w:t>
      </w:r>
      <w:proofErr w:type="spellStart"/>
      <w:r w:rsidRPr="0033023C">
        <w:rPr>
          <w:color w:val="000000"/>
          <w:lang w:val="en-US"/>
        </w:rPr>
        <w:t>Caprara</w:t>
      </w:r>
      <w:proofErr w:type="spellEnd"/>
      <w:r w:rsidRPr="0033023C">
        <w:rPr>
          <w:color w:val="000000"/>
          <w:lang w:val="en-US"/>
        </w:rPr>
        <w:t xml:space="preserve">, Jan </w:t>
      </w:r>
      <w:proofErr w:type="spellStart"/>
      <w:r w:rsidRPr="0033023C">
        <w:rPr>
          <w:color w:val="000000"/>
          <w:lang w:val="en-US"/>
        </w:rPr>
        <w:t>Cieciuch</w:t>
      </w:r>
      <w:proofErr w:type="spellEnd"/>
      <w:r w:rsidRPr="0033023C">
        <w:rPr>
          <w:color w:val="000000"/>
          <w:lang w:val="en-US"/>
        </w:rPr>
        <w:t xml:space="preserve">, et al. “Basic Personal Values Underlie and Give Coherence to Political Values: A Cross National Study in 15 Countries.” </w:t>
      </w:r>
      <w:r w:rsidRPr="00DE535C">
        <w:rPr>
          <w:i/>
          <w:iCs/>
          <w:color w:val="000000"/>
        </w:rPr>
        <w:t xml:space="preserve">Political </w:t>
      </w:r>
      <w:proofErr w:type="spellStart"/>
      <w:r w:rsidRPr="00DE535C">
        <w:rPr>
          <w:i/>
          <w:iCs/>
          <w:color w:val="000000"/>
        </w:rPr>
        <w:t>Behavior</w:t>
      </w:r>
      <w:proofErr w:type="spellEnd"/>
      <w:r w:rsidRPr="00DE535C">
        <w:rPr>
          <w:color w:val="000000"/>
        </w:rPr>
        <w:t xml:space="preserve"> 36, </w:t>
      </w:r>
      <w:proofErr w:type="spellStart"/>
      <w:r w:rsidRPr="00DE535C">
        <w:rPr>
          <w:color w:val="000000"/>
        </w:rPr>
        <w:t>no</w:t>
      </w:r>
      <w:proofErr w:type="spellEnd"/>
      <w:r w:rsidRPr="00DE535C">
        <w:rPr>
          <w:color w:val="000000"/>
        </w:rPr>
        <w:t>. 4 (</w:t>
      </w:r>
      <w:proofErr w:type="spellStart"/>
      <w:r w:rsidRPr="00DE535C">
        <w:rPr>
          <w:color w:val="000000"/>
        </w:rPr>
        <w:t>December</w:t>
      </w:r>
      <w:proofErr w:type="spellEnd"/>
      <w:r w:rsidRPr="00DE535C">
        <w:rPr>
          <w:color w:val="000000"/>
        </w:rPr>
        <w:t xml:space="preserve">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proofErr w:type="spellStart"/>
      <w:r w:rsidRPr="00DA5371">
        <w:rPr>
          <w:color w:val="000000"/>
        </w:rPr>
        <w:t>Davidov</w:t>
      </w:r>
      <w:proofErr w:type="spellEnd"/>
      <w:r w:rsidRPr="00DA5371">
        <w:rPr>
          <w:color w:val="000000"/>
        </w:rPr>
        <w:t xml:space="preserve">, </w:t>
      </w:r>
      <w:proofErr w:type="spellStart"/>
      <w:r w:rsidRPr="00DA5371">
        <w:rPr>
          <w:color w:val="000000"/>
        </w:rPr>
        <w:t>Eldad</w:t>
      </w:r>
      <w:proofErr w:type="spellEnd"/>
      <w:r w:rsidRPr="00DA5371">
        <w:rPr>
          <w:color w:val="000000"/>
        </w:rPr>
        <w:t xml:space="preserve">, Bart </w:t>
      </w:r>
      <w:proofErr w:type="spellStart"/>
      <w:r w:rsidRPr="00DA5371">
        <w:rPr>
          <w:color w:val="000000"/>
        </w:rPr>
        <w:t>Meulemann</w:t>
      </w:r>
      <w:proofErr w:type="spellEnd"/>
      <w:r w:rsidRPr="00DA5371">
        <w:rPr>
          <w:color w:val="000000"/>
        </w:rPr>
        <w:t xml:space="preserve">,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proofErr w:type="spellStart"/>
      <w:r w:rsidRPr="00DA5371">
        <w:rPr>
          <w:i/>
          <w:iCs/>
          <w:color w:val="000000"/>
        </w:rPr>
        <w:t>KZfSS</w:t>
      </w:r>
      <w:proofErr w:type="spellEnd"/>
      <w:r w:rsidRPr="00DA5371">
        <w:rPr>
          <w:i/>
          <w:iCs/>
          <w:color w:val="000000"/>
        </w:rPr>
        <w:t xml:space="preserve"> Kölner Zeitschrift Für Soziologie Und Sozialpsychologie</w:t>
      </w:r>
      <w:r w:rsidRPr="00DA5371">
        <w:rPr>
          <w:color w:val="000000"/>
        </w:rPr>
        <w:t xml:space="preserve"> 66, </w:t>
      </w:r>
      <w:proofErr w:type="spellStart"/>
      <w:r w:rsidRPr="00DA5371">
        <w:rPr>
          <w:color w:val="000000"/>
        </w:rPr>
        <w:t>no</w:t>
      </w:r>
      <w:proofErr w:type="spellEnd"/>
      <w:r w:rsidRPr="00DA5371">
        <w:rPr>
          <w:color w:val="000000"/>
        </w:rPr>
        <w:t>.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C3635F">
        <w:rPr>
          <w:lang w:val="en-US"/>
        </w:rPr>
        <w:t>Sitzung</w:t>
      </w:r>
      <w:proofErr w:type="spellEnd"/>
      <w:r w:rsidRPr="00C3635F">
        <w:rPr>
          <w:lang w:val="en-US"/>
        </w:rPr>
        <w:t xml:space="preserve"> 5</w:t>
      </w:r>
      <w:r w:rsidRPr="00C3635F">
        <w:rPr>
          <w:lang w:val="en-US"/>
        </w:rPr>
        <w:tab/>
      </w:r>
      <w:proofErr w:type="spellStart"/>
      <w:r w:rsidR="000F2BE6" w:rsidRPr="00C3635F">
        <w:rPr>
          <w:lang w:val="en-US"/>
        </w:rPr>
        <w:t>Ideologie</w:t>
      </w:r>
      <w:proofErr w:type="spellEnd"/>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proofErr w:type="spellStart"/>
      <w:r w:rsidRPr="00C3635F">
        <w:rPr>
          <w:i/>
          <w:iCs/>
          <w:lang w:val="en-US"/>
        </w:rPr>
        <w:t>Grundlagen</w:t>
      </w:r>
      <w:proofErr w:type="spellEnd"/>
      <w:r w:rsidRPr="00C3635F">
        <w:rPr>
          <w:i/>
          <w:iCs/>
          <w:lang w:val="en-US"/>
        </w:rPr>
        <w:t xml:space="preserve">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proofErr w:type="spellStart"/>
      <w:r w:rsidRPr="0075310E">
        <w:rPr>
          <w:color w:val="000000"/>
          <w:lang w:val="en-US"/>
        </w:rPr>
        <w:t>Jost</w:t>
      </w:r>
      <w:proofErr w:type="spellEnd"/>
      <w:r w:rsidRPr="0075310E">
        <w:rPr>
          <w:color w:val="000000"/>
          <w:lang w:val="en-US"/>
        </w:rPr>
        <w:t xml:space="preserve">,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proofErr w:type="spellStart"/>
      <w:r w:rsidRPr="00DE535C">
        <w:rPr>
          <w:color w:val="000000"/>
          <w:lang w:val="de-DE"/>
        </w:rPr>
        <w:t>Caprara</w:t>
      </w:r>
      <w:proofErr w:type="spellEnd"/>
      <w:r w:rsidRPr="00DE535C">
        <w:rPr>
          <w:color w:val="000000"/>
          <w:lang w:val="de-DE"/>
        </w:rPr>
        <w:t xml:space="preserve">, Gian Vittorio, Michele </w:t>
      </w:r>
      <w:proofErr w:type="spellStart"/>
      <w:r w:rsidRPr="00DE535C">
        <w:rPr>
          <w:color w:val="000000"/>
          <w:lang w:val="de-DE"/>
        </w:rPr>
        <w:t>Vecchione</w:t>
      </w:r>
      <w:proofErr w:type="spellEnd"/>
      <w:r w:rsidRPr="00DE535C">
        <w:rPr>
          <w:color w:val="000000"/>
          <w:lang w:val="de-DE"/>
        </w:rPr>
        <w:t xml:space="preserve">, and </w:t>
      </w:r>
      <w:proofErr w:type="spellStart"/>
      <w:r w:rsidRPr="00DE535C">
        <w:rPr>
          <w:color w:val="000000"/>
          <w:lang w:val="de-DE"/>
        </w:rPr>
        <w:t>Shalom</w:t>
      </w:r>
      <w:proofErr w:type="spellEnd"/>
      <w:r w:rsidRPr="00DE535C">
        <w:rPr>
          <w:color w:val="000000"/>
          <w:lang w:val="de-DE"/>
        </w:rPr>
        <w:t xml:space="preserve">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proofErr w:type="spellStart"/>
      <w:r w:rsidRPr="00DE535C">
        <w:t>Duckitt</w:t>
      </w:r>
      <w:proofErr w:type="spellEnd"/>
      <w:r w:rsidRPr="00DE535C">
        <w:t xml:space="preserve">, John, and Chris G. Sibley. </w:t>
      </w:r>
      <w:r w:rsidRPr="0033023C">
        <w:rPr>
          <w:lang w:val="en-US"/>
        </w:rPr>
        <w:t xml:space="preserve">“Personality, Ideology, Prejudice, and Politics: A Dual-Process Motivational Model.” </w:t>
      </w:r>
      <w:r w:rsidRPr="00DA5371">
        <w:t xml:space="preserve">Journal of </w:t>
      </w:r>
      <w:proofErr w:type="spellStart"/>
      <w:r w:rsidRPr="00DA5371">
        <w:t>Personality</w:t>
      </w:r>
      <w:proofErr w:type="spellEnd"/>
      <w:r w:rsidRPr="00DA5371">
        <w:t xml:space="preserve"> 78, </w:t>
      </w:r>
      <w:proofErr w:type="spellStart"/>
      <w:r w:rsidRPr="00DA5371">
        <w:t>no</w:t>
      </w:r>
      <w:proofErr w:type="spellEnd"/>
      <w:r w:rsidRPr="00DA5371">
        <w:t>.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w:t>
      </w:r>
      <w:proofErr w:type="spellStart"/>
      <w:r w:rsidR="00445F7E">
        <w:rPr>
          <w:lang w:val="en-US"/>
        </w:rPr>
        <w:t>Tidyverse</w:t>
      </w:r>
      <w:proofErr w:type="spellEnd"/>
      <w:r w:rsidR="00445F7E">
        <w:rPr>
          <w:lang w:val="en-US"/>
        </w:rPr>
        <w:t xml:space="preserv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58A4920"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w:t>
      </w:r>
      <w:proofErr w:type="spellStart"/>
      <w:r w:rsidRPr="00A40BD7">
        <w:t>Visualsierungen</w:t>
      </w:r>
      <w:proofErr w:type="spellEnd"/>
      <w:r w:rsidRPr="00A40BD7">
        <w:t xml:space="preserve">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w:t>
      </w:r>
      <w:proofErr w:type="spellStart"/>
      <w:r w:rsidRPr="0033023C">
        <w:rPr>
          <w:lang w:val="en-US"/>
        </w:rPr>
        <w:t>Tajfellian</w:t>
      </w:r>
      <w:proofErr w:type="spellEnd"/>
      <w:r w:rsidRPr="0033023C">
        <w:rPr>
          <w:lang w:val="en-US"/>
        </w:rPr>
        <w:t xml:space="preserve">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lastRenderedPageBreak/>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4BE21A71"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0181C">
        <w:t>8</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w:t>
      </w:r>
      <w:proofErr w:type="spellStart"/>
      <w:r w:rsidRPr="0033023C">
        <w:rPr>
          <w:color w:val="000000"/>
          <w:lang w:val="en-US"/>
        </w:rPr>
        <w:t>Redlawsk</w:t>
      </w:r>
      <w:proofErr w:type="spellEnd"/>
      <w:r w:rsidRPr="0033023C">
        <w:rPr>
          <w:color w:val="000000"/>
          <w:lang w:val="en-US"/>
        </w:rPr>
        <w:t xml:space="preserve">,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007907A9" w:rsidRPr="007907A9">
        <w:rPr>
          <w:i/>
          <w:iCs/>
          <w:lang w:val="en-US"/>
        </w:rPr>
        <w:t>Politisches</w:t>
      </w:r>
      <w:proofErr w:type="spellEnd"/>
      <w:r w:rsidR="007907A9" w:rsidRPr="007907A9">
        <w:rPr>
          <w:i/>
          <w:iCs/>
          <w:lang w:val="en-US"/>
        </w:rPr>
        <w:t xml:space="preserve"> </w:t>
      </w:r>
      <w:proofErr w:type="spellStart"/>
      <w:r w:rsidR="007907A9" w:rsidRPr="007907A9">
        <w:rPr>
          <w:i/>
          <w:iCs/>
          <w:lang w:val="en-US"/>
        </w:rPr>
        <w:t>Verhalten</w:t>
      </w:r>
      <w:proofErr w:type="spellEnd"/>
      <w:r w:rsidR="007907A9" w:rsidRPr="007907A9">
        <w:rPr>
          <w:i/>
          <w:iCs/>
          <w:lang w:val="en-US"/>
        </w:rPr>
        <w:t xml:space="preserve"> </w:t>
      </w:r>
    </w:p>
    <w:p w14:paraId="78A6D7F0" w14:textId="53B07C3E" w:rsidR="003A59B1" w:rsidRPr="00DE535C" w:rsidRDefault="004502CD" w:rsidP="003A59B1">
      <w:pPr>
        <w:ind w:left="480" w:hanging="480"/>
      </w:pPr>
      <w:proofErr w:type="spellStart"/>
      <w:r w:rsidRPr="00DA5371">
        <w:rPr>
          <w:lang w:val="en-US"/>
        </w:rPr>
        <w:t>Redlawsk</w:t>
      </w:r>
      <w:proofErr w:type="spellEnd"/>
      <w:r w:rsidRPr="00DA5371">
        <w:rPr>
          <w:lang w:val="en-US"/>
        </w:rPr>
        <w:t xml:space="preserve">, David P. (2004): What Voters Do. Information Search During Election Campaigns. </w:t>
      </w:r>
      <w:r w:rsidRPr="00DE535C">
        <w:t xml:space="preserve">In: Political </w:t>
      </w:r>
      <w:proofErr w:type="spellStart"/>
      <w:r w:rsidRPr="00DE535C">
        <w:t>Psychology</w:t>
      </w:r>
      <w:proofErr w:type="spellEnd"/>
      <w:r w:rsidRPr="00DE535C">
        <w:t xml:space="preserve">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05DE2296"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proofErr w:type="spellStart"/>
      <w:r w:rsidR="00E536C8" w:rsidRPr="00A40BD7">
        <w:rPr>
          <w:lang w:val="en-GB"/>
        </w:rPr>
        <w:t>Sitzung</w:t>
      </w:r>
      <w:proofErr w:type="spellEnd"/>
      <w:r w:rsidR="00E536C8" w:rsidRPr="00A40BD7">
        <w:rPr>
          <w:lang w:val="en-GB"/>
        </w:rPr>
        <w:t xml:space="preserve"> </w:t>
      </w:r>
      <w:r w:rsidR="00C0181C">
        <w:rPr>
          <w:lang w:val="en-GB"/>
        </w:rPr>
        <w:t>9</w:t>
      </w:r>
      <w:r w:rsidR="00E536C8" w:rsidRPr="00A40BD7">
        <w:rPr>
          <w:lang w:val="en-GB"/>
        </w:rPr>
        <w:tab/>
      </w:r>
      <w:proofErr w:type="spellStart"/>
      <w:r w:rsidR="00E536C8" w:rsidRPr="00A40BD7">
        <w:rPr>
          <w:lang w:val="en-GB"/>
        </w:rPr>
        <w:t>Emotionen</w:t>
      </w:r>
      <w:proofErr w:type="spellEnd"/>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proofErr w:type="spellStart"/>
      <w:r w:rsidRPr="00A40BD7">
        <w:rPr>
          <w:i/>
          <w:iCs/>
          <w:lang w:val="en-GB"/>
        </w:rPr>
        <w:t>Grundlagen</w:t>
      </w:r>
      <w:proofErr w:type="spellEnd"/>
      <w:r w:rsidRPr="00A40BD7">
        <w:rPr>
          <w:i/>
          <w:iCs/>
          <w:lang w:val="en-GB"/>
        </w:rPr>
        <w:t xml:space="preserve">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proofErr w:type="spellStart"/>
      <w:r w:rsidRPr="00A40BD7">
        <w:rPr>
          <w:i/>
          <w:iCs/>
          <w:lang w:val="en-GB"/>
        </w:rPr>
        <w:t>Anwendung</w:t>
      </w:r>
      <w:proofErr w:type="spellEnd"/>
      <w:r w:rsidRPr="00A40BD7">
        <w:rPr>
          <w:i/>
          <w:iCs/>
          <w:lang w:val="en-GB"/>
        </w:rPr>
        <w:t xml:space="preserve"> – </w:t>
      </w:r>
      <w:proofErr w:type="spellStart"/>
      <w:r w:rsidR="007907A9" w:rsidRPr="00A40BD7">
        <w:rPr>
          <w:i/>
          <w:iCs/>
          <w:lang w:val="en-GB"/>
        </w:rPr>
        <w:t>Politisches</w:t>
      </w:r>
      <w:proofErr w:type="spellEnd"/>
      <w:r w:rsidR="007907A9" w:rsidRPr="00A40BD7">
        <w:rPr>
          <w:i/>
          <w:iCs/>
          <w:lang w:val="en-GB"/>
        </w:rPr>
        <w:t xml:space="preserve"> </w:t>
      </w:r>
      <w:proofErr w:type="spellStart"/>
      <w:r w:rsidR="007907A9" w:rsidRPr="00A40BD7">
        <w:rPr>
          <w:i/>
          <w:iCs/>
          <w:lang w:val="en-GB"/>
        </w:rPr>
        <w:t>Verhalten</w:t>
      </w:r>
      <w:proofErr w:type="spellEnd"/>
      <w:r w:rsidR="007907A9" w:rsidRPr="00A40BD7">
        <w:rPr>
          <w:i/>
          <w:iCs/>
          <w:lang w:val="en-GB"/>
        </w:rPr>
        <w:t xml:space="preserve">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w:t>
      </w:r>
      <w:proofErr w:type="spellStart"/>
      <w:r w:rsidRPr="00DA5371">
        <w:rPr>
          <w:lang w:val="en-US"/>
        </w:rPr>
        <w:t>Fischhoff</w:t>
      </w:r>
      <w:proofErr w:type="spellEnd"/>
      <w:r w:rsidRPr="00DA5371">
        <w:rPr>
          <w:lang w:val="en-US"/>
        </w:rPr>
        <w:t xml:space="preserve">, Baruch (2006): Emotion Priming and Attributions for Terrorism: Americans' Reactions in a National Field Experiment. </w:t>
      </w:r>
      <w:r w:rsidRPr="00DA5371">
        <w:t xml:space="preserve">In: Political </w:t>
      </w:r>
      <w:proofErr w:type="spellStart"/>
      <w:r w:rsidRPr="00DA5371">
        <w:t>Psychology</w:t>
      </w:r>
      <w:proofErr w:type="spellEnd"/>
      <w:r w:rsidRPr="00DA5371">
        <w:t xml:space="preserve"> 27 (2), S. 289–298.</w:t>
      </w:r>
    </w:p>
    <w:p w14:paraId="19729B09" w14:textId="0E6F139A"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w:t>
      </w:r>
      <w:r w:rsidR="00C0181C">
        <w:t>0</w:t>
      </w:r>
      <w:r w:rsidRPr="0070647C">
        <w:tab/>
        <w:t>R Klinik 2: Regression</w:t>
      </w:r>
      <w:r w:rsidR="00EF766E">
        <w:t xml:space="preserve"> (Asynchron)</w:t>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Default="00343E68" w:rsidP="00343E68">
      <w:pPr>
        <w:widowControl/>
        <w:suppressAutoHyphens w:val="0"/>
        <w:ind w:left="475" w:hanging="475"/>
      </w:pPr>
    </w:p>
    <w:p w14:paraId="5CB27705" w14:textId="28745BD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1</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4C7D3AF" w14:textId="78C3D2ED" w:rsidR="00EF766E" w:rsidRPr="009E1FB5" w:rsidRDefault="00EF766E" w:rsidP="00EF766E">
      <w:pPr>
        <w:widowControl/>
        <w:suppressAutoHyphens w:val="0"/>
        <w:ind w:left="475" w:hanging="475"/>
      </w:pPr>
      <w:r>
        <w:rPr>
          <w:b/>
          <w:bCs/>
        </w:rPr>
        <w:t xml:space="preserve">Gemeinsame Übung </w:t>
      </w:r>
      <w:r>
        <w:rPr>
          <w:b/>
          <w:bCs/>
        </w:rPr>
        <w:t>+Daten</w:t>
      </w:r>
      <w:r w:rsidR="00E75C81">
        <w:rPr>
          <w:b/>
          <w:bCs/>
        </w:rPr>
        <w:t xml:space="preserve"> Präsentation</w:t>
      </w:r>
      <w:r>
        <w:rPr>
          <w:b/>
          <w:bCs/>
        </w:rPr>
        <w:t xml:space="preserve">:  </w:t>
      </w:r>
      <w:r>
        <w:t xml:space="preserve">Politikpsychologische Zusammenhänge </w:t>
      </w:r>
    </w:p>
    <w:p w14:paraId="14C86F74" w14:textId="476AC249"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2</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19F6963F" w:rsidR="00BE6C83" w:rsidRPr="00DA5371" w:rsidRDefault="00FF7547" w:rsidP="00FF7547">
      <w:pPr>
        <w:widowControl/>
        <w:suppressAutoHyphens w:val="0"/>
        <w:spacing w:before="100" w:beforeAutospacing="1" w:after="100" w:afterAutospacing="1"/>
        <w:ind w:left="480" w:hanging="480"/>
        <w:jc w:val="center"/>
      </w:pPr>
      <w:r>
        <w:t xml:space="preserve">Bitte </w:t>
      </w:r>
      <w:r w:rsidR="00EF766E">
        <w:t xml:space="preserve">reicht vorher euer Exposee auf Blackboard ein. </w:t>
      </w:r>
      <w:r w:rsidR="00956888">
        <w:t xml:space="preserve"> </w:t>
      </w: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0498" w14:textId="77777777" w:rsidR="00612429" w:rsidRDefault="00612429">
      <w:r>
        <w:separator/>
      </w:r>
    </w:p>
  </w:endnote>
  <w:endnote w:type="continuationSeparator" w:id="0">
    <w:p w14:paraId="45E02A91" w14:textId="77777777" w:rsidR="00612429" w:rsidRDefault="00612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3415" w14:textId="77777777" w:rsidR="00612429" w:rsidRDefault="00612429">
      <w:r>
        <w:separator/>
      </w:r>
    </w:p>
  </w:footnote>
  <w:footnote w:type="continuationSeparator" w:id="0">
    <w:p w14:paraId="7C7E9F7A" w14:textId="77777777" w:rsidR="00612429" w:rsidRDefault="00612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2429"/>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3486"/>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5688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EF766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47A6"/>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1384</Words>
  <Characters>11748</Characters>
  <Application>Microsoft Office Word</Application>
  <DocSecurity>0</DocSecurity>
  <Lines>97</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cp:revision>
  <cp:lastPrinted>2022-05-16T08:16:00Z</cp:lastPrinted>
  <dcterms:created xsi:type="dcterms:W3CDTF">2023-04-04T10:14:00Z</dcterms:created>
  <dcterms:modified xsi:type="dcterms:W3CDTF">2023-06-26T13:30:00Z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