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5.png" ContentType="image/png"/>
  <Override PartName="/word/media/rId68.png" ContentType="image/png"/>
  <Override PartName="/word/media/rId44.png" ContentType="image/png"/>
  <Override PartName="/word/media/rId40.png" ContentType="image/png"/>
  <Override PartName="/word/media/rId72.png" ContentType="image/png"/>
  <Override PartName="/word/media/rId54.png" ContentType="image/png"/>
  <Override PartName="/word/media/rId50.png" ContentType="image/png"/>
  <Override PartName="/word/media/rId47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Analysis</w:t>
      </w:r>
      <w:r>
        <w:t xml:space="preserve"> </w:t>
      </w:r>
      <w:r>
        <w:t xml:space="preserve">of</w:t>
      </w:r>
      <w:r>
        <w:t xml:space="preserve"> </w:t>
      </w:r>
      <w:r>
        <w:t xml:space="preserve">Tick-Bourne</w:t>
      </w:r>
      <w:r>
        <w:t xml:space="preserve"> </w:t>
      </w:r>
      <w:r>
        <w:t xml:space="preserve">Disease</w:t>
      </w:r>
      <w:r>
        <w:t xml:space="preserve"> </w:t>
      </w:r>
      <w:r>
        <w:t xml:space="preserve">Cases</w:t>
      </w:r>
      <w:r>
        <w:t xml:space="preserve"> </w:t>
      </w:r>
      <w:r>
        <w:t xml:space="preserve">Reported</w:t>
      </w:r>
      <w:r>
        <w:t xml:space="preserve"> </w:t>
      </w:r>
      <w:r>
        <w:t xml:space="preserve">to</w:t>
      </w:r>
      <w:r>
        <w:t xml:space="preserve"> </w:t>
      </w:r>
      <w:r>
        <w:t xml:space="preserve">DPH</w:t>
      </w:r>
      <w:r>
        <w:t xml:space="preserve"> </w:t>
      </w:r>
      <w:r>
        <w:t xml:space="preserve">Between</w:t>
      </w:r>
      <w:r>
        <w:t xml:space="preserve"> </w:t>
      </w:r>
      <w:r>
        <w:t xml:space="preserve">2019-2024</w:t>
      </w:r>
    </w:p>
    <w:p>
      <w:pPr>
        <w:pStyle w:val="FirstParagraph"/>
      </w:pPr>
      <w:r>
        <w:t xml:space="preserve">Authors</w:t>
      </w:r>
    </w:p>
    <w:p>
      <w:pPr>
        <w:pStyle w:val="Compact"/>
        <w:numPr>
          <w:ilvl w:val="0"/>
          <w:numId w:val="1001"/>
        </w:numPr>
      </w:pPr>
      <w:r>
        <w:t xml:space="preserve">Hope Grismer</w:t>
      </w:r>
      <w:r>
        <w:t xml:space="preserve"> </w:t>
      </w:r>
      <m:oMath>
        <m:sSup>
          <m:e>
            <m:r>
              <m:t>​</m:t>
            </m:r>
          </m:e>
          <m:sup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*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∧</m:t>
            </m:r>
          </m:sup>
        </m:sSup>
      </m:oMath>
      <w:r>
        <w:t xml:space="preserve"> </w:t>
      </w:r>
      <w:r>
        <w:t xml:space="preserve">(ORCID: 0000-0000-1234-5678)</w:t>
      </w:r>
    </w:p>
    <w:p>
      <w:pPr>
        <w:pStyle w:val="FirstParagraph"/>
      </w:pPr>
      <w:r>
        <w:t xml:space="preserve">Author affiliations</w:t>
      </w:r>
    </w:p>
    <w:p>
      <w:pPr>
        <w:pStyle w:val="Compact"/>
        <w:numPr>
          <w:ilvl w:val="0"/>
          <w:numId w:val="1002"/>
        </w:numPr>
      </w:pPr>
      <w:r>
        <w:t xml:space="preserve">College of Public Health, University of Georgia, Athens, GA, USA.</w:t>
      </w:r>
    </w:p>
    <w:p>
      <w:pPr>
        <w:pStyle w:val="Compact"/>
        <w:numPr>
          <w:ilvl w:val="0"/>
          <w:numId w:val="1002"/>
        </w:numPr>
      </w:pPr>
      <w:r>
        <w:t xml:space="preserve">Southeastern Center of Excellence in Vector-Bourne Diseases</w:t>
      </w:r>
      <w:r>
        <w:t xml:space="preserve"> </w:t>
      </w:r>
      <w:r>
        <w:t xml:space="preserve">(SECVBD), Gainesville, FL 32611.</w:t>
      </w:r>
    </w:p>
    <w:p>
      <w:pPr>
        <w:pStyle w:val="FirstParagraph"/>
      </w:pPr>
      <m:oMath>
        <m:r>
          <m:rPr>
            <m:sty m:val="p"/>
          </m:rPr>
          <m:t>∧</m:t>
        </m:r>
      </m:oMath>
      <w:r>
        <w:t xml:space="preserve"> </w:t>
      </w:r>
      <w:r>
        <w:t xml:space="preserve">Corresponding author: hope.grismer@uga.edu</w:t>
      </w:r>
    </w:p>
    <w:p>
      <w:pPr>
        <w:pStyle w:val="BodyText"/>
      </w:pPr>
      <m:oMath>
        <m:r>
          <m:rPr>
            <m:sty m:val="p"/>
          </m:rPr>
          <m:t>†</m:t>
        </m:r>
      </m:oMath>
      <w:r>
        <w:t xml:space="preserve"> </w:t>
      </w:r>
      <w:r>
        <w:t xml:space="preserve">Disclaimer: The opinions expressed in this article are the</w:t>
      </w:r>
      <w:r>
        <w:t xml:space="preserve"> </w:t>
      </w:r>
      <w:r>
        <w:t xml:space="preserve">author’s own and don’t reflect their employer.</w:t>
      </w:r>
    </w:p>
    <w:p>
      <w:r>
        <w:br w:type="page"/>
      </w:r>
    </w:p>
    <w:bookmarkStart w:id="20" w:name="abstract"/>
    <w:p>
      <w:pPr>
        <w:pStyle w:val="Heading1"/>
      </w:pPr>
      <w:r>
        <w:t xml:space="preserve">1. Abstract</w:t>
      </w:r>
    </w:p>
    <w:p>
      <w:pPr>
        <w:pStyle w:val="FirstParagraph"/>
      </w:pPr>
      <w:r>
        <w:t xml:space="preserve">This project explores patterns in tick-borne disease cases reported to</w:t>
      </w:r>
      <w:r>
        <w:t xml:space="preserve"> </w:t>
      </w:r>
      <w:r>
        <w:t xml:space="preserve">the Georgia Department of Public Health (DPH) between 2019 and 2024. The</w:t>
      </w:r>
      <w:r>
        <w:t xml:space="preserve"> </w:t>
      </w:r>
      <w:r>
        <w:t xml:space="preserve">analysis involved extensive data cleaning to retain only confirmed and</w:t>
      </w:r>
      <w:r>
        <w:t xml:space="preserve"> </w:t>
      </w:r>
      <w:r>
        <w:t xml:space="preserve">positive cases, with additional processing to resolve inconsistencies in</w:t>
      </w:r>
      <w:r>
        <w:t xml:space="preserve"> </w:t>
      </w:r>
      <w:r>
        <w:t xml:space="preserve">timelines and reporting. Exploratory data analysis (EDA) was used to</w:t>
      </w:r>
      <w:r>
        <w:t xml:space="preserve"> </w:t>
      </w:r>
      <w:r>
        <w:t xml:space="preserve">examine disease distribution, demographic patterns, geographic hotspots,</w:t>
      </w:r>
      <w:r>
        <w:t xml:space="preserve"> </w:t>
      </w:r>
      <w:r>
        <w:t xml:space="preserve">and data completeness over time. Building on these insights, predictive</w:t>
      </w:r>
      <w:r>
        <w:t xml:space="preserve"> </w:t>
      </w:r>
      <w:r>
        <w:t xml:space="preserve">models were developed to assess whether patient and case-level</w:t>
      </w:r>
      <w:r>
        <w:t xml:space="preserve"> </w:t>
      </w:r>
      <w:r>
        <w:t xml:space="preserve">factors—such as age, disease type, and county—could help identify cases</w:t>
      </w:r>
      <w:r>
        <w:t xml:space="preserve"> </w:t>
      </w:r>
      <w:r>
        <w:t xml:space="preserve">at risk of delayed follow-up. This work theorectically supports improved</w:t>
      </w:r>
      <w:r>
        <w:t xml:space="preserve"> </w:t>
      </w:r>
      <w:r>
        <w:t xml:space="preserve">understanding of disease surveillance data and highlights areas for</w:t>
      </w:r>
      <w:r>
        <w:t xml:space="preserve"> </w:t>
      </w:r>
      <w:r>
        <w:t xml:space="preserve">strengthening tick-borne disease reporting and case management systems</w:t>
      </w:r>
      <w:r>
        <w:t xml:space="preserve"> </w:t>
      </w:r>
      <w:r>
        <w:t xml:space="preserve">in Georgia.</w:t>
      </w:r>
    </w:p>
    <w:p>
      <w:r>
        <w:br w:type="page"/>
      </w:r>
    </w:p>
    <w:bookmarkEnd w:id="20"/>
    <w:bookmarkStart w:id="26" w:name="introduction"/>
    <w:p>
      <w:pPr>
        <w:pStyle w:val="Heading1"/>
      </w:pPr>
      <w:r>
        <w:t xml:space="preserve">2. Introduction</w:t>
      </w:r>
    </w:p>
    <w:bookmarkStart w:id="21" w:name="background"/>
    <w:p>
      <w:pPr>
        <w:pStyle w:val="Heading3"/>
      </w:pPr>
      <w:r>
        <w:t xml:space="preserve">2.0.1 2.1 Background</w:t>
      </w:r>
    </w:p>
    <w:p>
      <w:pPr>
        <w:pStyle w:val="FirstParagraph"/>
      </w:pPr>
      <w:r>
        <w:t xml:space="preserve">In the past two decades, the study of tick-borne disease has gained</w:t>
      </w:r>
      <w:r>
        <w:t xml:space="preserve"> </w:t>
      </w:r>
      <w:r>
        <w:t xml:space="preserve">increasing attention due to rising incidence rates and expanding</w:t>
      </w:r>
      <w:r>
        <w:t xml:space="preserve"> </w:t>
      </w:r>
      <w:r>
        <w:t xml:space="preserve">geographic ranges of disease-carrying ticks. While early medical and</w:t>
      </w:r>
      <w:r>
        <w:t xml:space="preserve"> </w:t>
      </w:r>
      <w:r>
        <w:t xml:space="preserve">veterinary research in the 20th century identified key tick-borne</w:t>
      </w:r>
      <w:r>
        <w:t xml:space="preserve"> </w:t>
      </w:r>
      <w:r>
        <w:t xml:space="preserve">illnesses such as Rocky Mountain spotted fever and Lyme disease, recent</w:t>
      </w:r>
      <w:r>
        <w:t xml:space="preserve"> </w:t>
      </w:r>
      <w:r>
        <w:t xml:space="preserve">decades have seen an acceleration in the detection of new pathogens,</w:t>
      </w:r>
      <w:r>
        <w:t xml:space="preserve"> </w:t>
      </w:r>
      <w:r>
        <w:t xml:space="preserve">greater public health concern, and expanded surveillance efforts across</w:t>
      </w:r>
      <w:r>
        <w:t xml:space="preserve"> </w:t>
      </w:r>
      <w:r>
        <w:t xml:space="preserve">the globe. Researchers have documented the ecology and behavior of</w:t>
      </w:r>
      <w:r>
        <w:t xml:space="preserve"> </w:t>
      </w:r>
      <w:r>
        <w:t xml:space="preserve">ticks, explored the role of climate and land use in tick habitat</w:t>
      </w:r>
      <w:r>
        <w:t xml:space="preserve"> </w:t>
      </w:r>
      <w:r>
        <w:t xml:space="preserve">expansion, and analyzed patterns of disease incidence in both human and</w:t>
      </w:r>
      <w:r>
        <w:t xml:space="preserve"> </w:t>
      </w:r>
      <w:r>
        <w:t xml:space="preserve">animal populations. Despite the growing body of research, many knowledge</w:t>
      </w:r>
      <w:r>
        <w:t xml:space="preserve"> </w:t>
      </w:r>
      <w:r>
        <w:t xml:space="preserve">gaps remain, particularly in understanding co-infections, long-term</w:t>
      </w:r>
      <w:r>
        <w:t xml:space="preserve"> </w:t>
      </w:r>
      <w:r>
        <w:t xml:space="preserve">health effects, and effective prevention strategies. Tick-borne diseases</w:t>
      </w:r>
      <w:r>
        <w:t xml:space="preserve"> </w:t>
      </w:r>
      <w:r>
        <w:t xml:space="preserve">(TBDs) are primarily transmitted through the bite of infected</w:t>
      </w:r>
      <w:r>
        <w:t xml:space="preserve"> </w:t>
      </w:r>
      <w:r>
        <w:t xml:space="preserve">hard-bodied ticks (family Ixodidae), and include bacterial, viral, and</w:t>
      </w:r>
      <w:r>
        <w:t xml:space="preserve"> </w:t>
      </w:r>
      <w:r>
        <w:t xml:space="preserve">protozoan pathogens. Today, TBDs are recognized as a major public health</w:t>
      </w:r>
      <w:r>
        <w:t xml:space="preserve"> </w:t>
      </w:r>
      <w:r>
        <w:t xml:space="preserve">concern in both rural and suburban settings, with transmission risk</w:t>
      </w:r>
      <w:r>
        <w:t xml:space="preserve"> </w:t>
      </w:r>
      <w:r>
        <w:t xml:space="preserve">influenced by ecological, climatic, and sociocultural factors.</w:t>
      </w:r>
    </w:p>
    <w:bookmarkEnd w:id="21"/>
    <w:bookmarkStart w:id="22" w:name="general-background-information"/>
    <w:p>
      <w:pPr>
        <w:pStyle w:val="Heading3"/>
      </w:pPr>
      <w:r>
        <w:t xml:space="preserve">2.0.2 2.1.1 General Background Information</w:t>
      </w:r>
    </w:p>
    <w:p>
      <w:pPr>
        <w:pStyle w:val="FirstParagraph"/>
      </w:pPr>
      <w:r>
        <w:t xml:space="preserve">Tick-borne illnesses are diseases that humans can contract from the bite</w:t>
      </w:r>
      <w:r>
        <w:t xml:space="preserve"> </w:t>
      </w:r>
      <w:r>
        <w:t xml:space="preserve">of an infected tick. Ticks are small, blood-sucking arachnids that are</w:t>
      </w:r>
      <w:r>
        <w:t xml:space="preserve"> </w:t>
      </w:r>
      <w:r>
        <w:t xml:space="preserve">often found in wooded, grassy, or suburban areas. When a tick feeds on</w:t>
      </w:r>
      <w:r>
        <w:t xml:space="preserve"> </w:t>
      </w:r>
      <w:r>
        <w:t xml:space="preserve">an infected animal, it can acquire pathogens—such as bacteria, viruses,</w:t>
      </w:r>
      <w:r>
        <w:t xml:space="preserve"> </w:t>
      </w:r>
      <w:r>
        <w:t xml:space="preserve">or parasites—that can then be transmitted to humans. Examples of</w:t>
      </w:r>
      <w:r>
        <w:t xml:space="preserve"> </w:t>
      </w:r>
      <w:r>
        <w:t xml:space="preserve">tick-borne diseases include, but are not limited to, Lyme disease,</w:t>
      </w:r>
      <w:r>
        <w:t xml:space="preserve"> </w:t>
      </w:r>
      <w:r>
        <w:t xml:space="preserve">Anaplasmosis, and Babesiosis. These diseases are of increasing public</w:t>
      </w:r>
      <w:r>
        <w:t xml:space="preserve"> </w:t>
      </w:r>
      <w:r>
        <w:t xml:space="preserve">health concern, especially as the geographic range and seasonality of</w:t>
      </w:r>
      <w:r>
        <w:t xml:space="preserve"> </w:t>
      </w:r>
      <w:r>
        <w:t xml:space="preserve">ticks expand due to environmental and ecological changes.</w:t>
      </w:r>
    </w:p>
    <w:bookmarkEnd w:id="22"/>
    <w:bookmarkStart w:id="23" w:name="transmission-and-reservoirs"/>
    <w:p>
      <w:pPr>
        <w:pStyle w:val="Heading3"/>
      </w:pPr>
      <w:r>
        <w:t xml:space="preserve">2.0.3 2.1.2 Transmission and Reservoirs</w:t>
      </w:r>
    </w:p>
    <w:p>
      <w:pPr>
        <w:pStyle w:val="FirstParagraph"/>
      </w:pPr>
      <w:r>
        <w:t xml:space="preserve">Ticks act as both vectors and reservoirs for a variety of pathogens,</w:t>
      </w:r>
      <w:r>
        <w:t xml:space="preserve"> </w:t>
      </w:r>
      <w:r>
        <w:t xml:space="preserve">transmitting disease to humans and animals during blood meals. Most</w:t>
      </w:r>
      <w:r>
        <w:t xml:space="preserve"> </w:t>
      </w:r>
      <w:r>
        <w:t xml:space="preserve">tick-borne diseases are zoonotic, with small mammals, deer, and birds</w:t>
      </w:r>
      <w:r>
        <w:t xml:space="preserve"> </w:t>
      </w:r>
      <w:r>
        <w:t xml:space="preserve">acting as key reservoirs in natural cycles. Transmission to humans</w:t>
      </w:r>
      <w:r>
        <w:t xml:space="preserve"> </w:t>
      </w:r>
      <w:r>
        <w:t xml:space="preserve">typically occurs when a nymph or adult tick feeds for an extended</w:t>
      </w:r>
      <w:r>
        <w:t xml:space="preserve"> </w:t>
      </w:r>
      <w:r>
        <w:t xml:space="preserve">period, allowing the pathogen to transfer from the tick’s salivary</w:t>
      </w:r>
      <w:r>
        <w:t xml:space="preserve"> </w:t>
      </w:r>
      <w:r>
        <w:t xml:space="preserve">glands into the host’s bloodstream. Common tick-borne pathogens include</w:t>
      </w:r>
      <w:r>
        <w:t xml:space="preserve"> </w:t>
      </w:r>
      <w:r>
        <w:t xml:space="preserve">Borrelia burgdorferi (the agent of Lyme disease), Rickettsia rickettsii</w:t>
      </w:r>
      <w:r>
        <w:t xml:space="preserve"> </w:t>
      </w:r>
      <w:r>
        <w:t xml:space="preserve">(Rocky Mountain spotted fever), Anaplasma phagocytophilum, Ehrlichia</w:t>
      </w:r>
      <w:r>
        <w:t xml:space="preserve"> </w:t>
      </w:r>
      <w:r>
        <w:t xml:space="preserve">chaffeensis, and viruses such as Powassan and Heartland virus. Ticks</w:t>
      </w:r>
      <w:r>
        <w:t xml:space="preserve"> </w:t>
      </w:r>
      <w:r>
        <w:t xml:space="preserve">themselves are influenced by multiple environmental factors, including</w:t>
      </w:r>
      <w:r>
        <w:t xml:space="preserve"> </w:t>
      </w:r>
      <w:r>
        <w:t xml:space="preserve">temperature, humidity, vegetation, and host availability. Human exposure</w:t>
      </w:r>
      <w:r>
        <w:t xml:space="preserve"> </w:t>
      </w:r>
      <w:r>
        <w:t xml:space="preserve">risk is increased in areas with high host density, edge habitats between</w:t>
      </w:r>
      <w:r>
        <w:t xml:space="preserve"> </w:t>
      </w:r>
      <w:r>
        <w:t xml:space="preserve">forest and residential zones, and during seasons with peak tick</w:t>
      </w:r>
      <w:r>
        <w:t xml:space="preserve"> </w:t>
      </w:r>
      <w:r>
        <w:t xml:space="preserve">activity. Additionally, land use changes—such as suburban development,</w:t>
      </w:r>
      <w:r>
        <w:t xml:space="preserve"> </w:t>
      </w:r>
      <w:r>
        <w:t xml:space="preserve">deforestation, and agricultural expansion—can modify tick habitats and</w:t>
      </w:r>
      <w:r>
        <w:t xml:space="preserve"> </w:t>
      </w:r>
      <w:r>
        <w:t xml:space="preserve">affect pathogen dynamics.</w:t>
      </w:r>
    </w:p>
    <w:bookmarkEnd w:id="23"/>
    <w:bookmarkStart w:id="24" w:name="ecological-and-health-impacts"/>
    <w:p>
      <w:pPr>
        <w:pStyle w:val="Heading3"/>
      </w:pPr>
      <w:r>
        <w:t xml:space="preserve">2.0.4 2.1.3 Ecological and Health Impacts</w:t>
      </w:r>
    </w:p>
    <w:p>
      <w:pPr>
        <w:pStyle w:val="FirstParagraph"/>
      </w:pPr>
      <w:r>
        <w:t xml:space="preserve">The ecological consequences of tick-borne disease extend beyond human</w:t>
      </w:r>
      <w:r>
        <w:t xml:space="preserve"> </w:t>
      </w:r>
      <w:r>
        <w:t xml:space="preserve">health. Tick populations and their associated pathogens can alter</w:t>
      </w:r>
      <w:r>
        <w:t xml:space="preserve"> </w:t>
      </w:r>
      <w:r>
        <w:t xml:space="preserve">wildlife health and community composition. Infected animals may suffer</w:t>
      </w:r>
      <w:r>
        <w:t xml:space="preserve"> </w:t>
      </w:r>
      <w:r>
        <w:t xml:space="preserve">sublethal effects that reduce fitness, while high burdens of tick</w:t>
      </w:r>
      <w:r>
        <w:t xml:space="preserve"> </w:t>
      </w:r>
      <w:r>
        <w:t xml:space="preserve">parasitism can influence population dynamics, particularly in rodents</w:t>
      </w:r>
      <w:r>
        <w:t xml:space="preserve"> </w:t>
      </w:r>
      <w:r>
        <w:t xml:space="preserve">and ungulates. From a public health perspective, TBDs can cause a range</w:t>
      </w:r>
      <w:r>
        <w:t xml:space="preserve"> </w:t>
      </w:r>
      <w:r>
        <w:t xml:space="preserve">of acute and chronic symptoms in humans, from fever and fatigue to</w:t>
      </w:r>
      <w:r>
        <w:t xml:space="preserve"> </w:t>
      </w:r>
      <w:r>
        <w:t xml:space="preserve">long-term neurological and musculoskeletal complications.</w:t>
      </w:r>
      <w:r>
        <w:t xml:space="preserve"> </w:t>
      </w:r>
      <w:r>
        <w:t xml:space="preserve">Co-infections—when an individual is infected with more than one</w:t>
      </w:r>
      <w:r>
        <w:t xml:space="preserve"> </w:t>
      </w:r>
      <w:r>
        <w:t xml:space="preserve">pathogen—are increasingly recognized and may complicate diagnosis and</w:t>
      </w:r>
      <w:r>
        <w:t xml:space="preserve"> </w:t>
      </w:r>
      <w:r>
        <w:t xml:space="preserve">treatment. The public health burden is also shaped by disparities in</w:t>
      </w:r>
      <w:r>
        <w:t xml:space="preserve"> </w:t>
      </w:r>
      <w:r>
        <w:t xml:space="preserve">access to health care, awareness of TBDs, and availability of diagnostic</w:t>
      </w:r>
      <w:r>
        <w:t xml:space="preserve"> </w:t>
      </w:r>
      <w:r>
        <w:t xml:space="preserve">testing, which may result in underreporting or misdiagnosis. The costs</w:t>
      </w:r>
      <w:r>
        <w:t xml:space="preserve"> </w:t>
      </w:r>
      <w:r>
        <w:t xml:space="preserve">associated with tick-borne disease—including medical care, productivity</w:t>
      </w:r>
      <w:r>
        <w:t xml:space="preserve"> </w:t>
      </w:r>
      <w:r>
        <w:t xml:space="preserve">loss, and prevention efforts—represent a growing concern for health</w:t>
      </w:r>
      <w:r>
        <w:t xml:space="preserve"> </w:t>
      </w:r>
      <w:r>
        <w:t xml:space="preserve">systems, particularly in endemic areas.</w:t>
      </w:r>
    </w:p>
    <w:bookmarkEnd w:id="24"/>
    <w:bookmarkStart w:id="25" w:name="relevance"/>
    <w:p>
      <w:pPr>
        <w:pStyle w:val="Heading3"/>
      </w:pPr>
      <w:r>
        <w:t xml:space="preserve">2.0.5 2.1.4 Relevance</w:t>
      </w:r>
    </w:p>
    <w:p>
      <w:pPr>
        <w:pStyle w:val="FirstParagraph"/>
      </w:pPr>
      <w:r>
        <w:t xml:space="preserve">Tick-borne diseases have been documented in all regions of the United</w:t>
      </w:r>
      <w:r>
        <w:t xml:space="preserve"> </w:t>
      </w:r>
      <w:r>
        <w:t xml:space="preserve">States, with the southeastern, northeastern, and upper midwestern states</w:t>
      </w:r>
      <w:r>
        <w:t xml:space="preserve"> </w:t>
      </w:r>
      <w:r>
        <w:t xml:space="preserve">experiencing particularly high incidence rates. Climate models suggest</w:t>
      </w:r>
      <w:r>
        <w:t xml:space="preserve"> </w:t>
      </w:r>
      <w:r>
        <w:t xml:space="preserve">that warming temperatures and shifting precipitation patterns may expand</w:t>
      </w:r>
      <w:r>
        <w:t xml:space="preserve"> </w:t>
      </w:r>
      <w:r>
        <w:t xml:space="preserve">the range of ticks and lengthen their active season, potentially</w:t>
      </w:r>
      <w:r>
        <w:t xml:space="preserve"> </w:t>
      </w:r>
      <w:r>
        <w:t xml:space="preserve">increasing the geographic footprint and seasonality of tick-borne</w:t>
      </w:r>
      <w:r>
        <w:t xml:space="preserve"> </w:t>
      </w:r>
      <w:r>
        <w:t xml:space="preserve">disease transmission. In the southeastern U.S., for example, Amblyomma</w:t>
      </w:r>
      <w:r>
        <w:t xml:space="preserve"> </w:t>
      </w:r>
      <w:r>
        <w:t xml:space="preserve">americanum (the lone star tick) has expanded in abundance and geographic</w:t>
      </w:r>
      <w:r>
        <w:t xml:space="preserve"> </w:t>
      </w:r>
      <w:r>
        <w:t xml:space="preserve">range over the past decades, contributing to increased cases of</w:t>
      </w:r>
      <w:r>
        <w:t xml:space="preserve"> </w:t>
      </w:r>
      <w:r>
        <w:t xml:space="preserve">ehrlichiosis and the emergence of Alpha-Gal Syndrome, a red meat allergy</w:t>
      </w:r>
      <w:r>
        <w:t xml:space="preserve"> </w:t>
      </w:r>
      <w:r>
        <w:t xml:space="preserve">triggered by tick bites. Understanding the ecology, distribution, and</w:t>
      </w:r>
      <w:r>
        <w:t xml:space="preserve"> </w:t>
      </w:r>
      <w:r>
        <w:t xml:space="preserve">drivers of tick-borne disease is therefore crucial to predicting future</w:t>
      </w:r>
      <w:r>
        <w:t xml:space="preserve"> </w:t>
      </w:r>
      <w:r>
        <w:t xml:space="preserve">trends, identifying at-risk populations, and developing effective</w:t>
      </w:r>
      <w:r>
        <w:t xml:space="preserve"> </w:t>
      </w:r>
      <w:r>
        <w:t xml:space="preserve">prevention and response strategies.</w:t>
      </w:r>
    </w:p>
    <w:bookmarkEnd w:id="25"/>
    <w:bookmarkEnd w:id="26"/>
    <w:bookmarkStart w:id="27" w:name="the-data"/>
    <w:p>
      <w:pPr>
        <w:pStyle w:val="Heading1"/>
      </w:pPr>
      <w:r>
        <w:t xml:space="preserve">3. 3. The Data</w:t>
      </w:r>
    </w:p>
    <w:bookmarkEnd w:id="27"/>
    <w:bookmarkStart w:id="29" w:name="data-acquisition-description"/>
    <w:p>
      <w:pPr>
        <w:pStyle w:val="Heading1"/>
      </w:pPr>
      <w:r>
        <w:t xml:space="preserve">4. 3.1 Data Acquisition &amp; Description</w:t>
      </w:r>
    </w:p>
    <w:p>
      <w:pPr>
        <w:pStyle w:val="FirstParagraph"/>
      </w:pPr>
      <w:r>
        <w:t xml:space="preserve">The data used in this analysis was obtained through my internship with</w:t>
      </w:r>
      <w:r>
        <w:t xml:space="preserve"> </w:t>
      </w:r>
      <w:r>
        <w:t xml:space="preserve">the Georgia Department of Health, in collaboration with the Centers for</w:t>
      </w:r>
      <w:r>
        <w:t xml:space="preserve"> </w:t>
      </w:r>
      <w:r>
        <w:t xml:space="preserve">Disease Control and Prevention (CDC). Specifically, it is derived from</w:t>
      </w:r>
      <w:r>
        <w:t xml:space="preserve"> </w:t>
      </w:r>
      <w:r>
        <w:t xml:space="preserve">the Nationally Notifiable Diseases Surveillance System (NNDSS) and</w:t>
      </w:r>
      <w:r>
        <w:t xml:space="preserve"> </w:t>
      </w:r>
      <w:r>
        <w:t xml:space="preserve">focuses on tick-borne illnesses. This data set provides key insights</w:t>
      </w:r>
      <w:r>
        <w:t xml:space="preserve"> </w:t>
      </w:r>
      <w:r>
        <w:t xml:space="preserve">into the trends, distribution, and characteristics of reported cases,</w:t>
      </w:r>
      <w:r>
        <w:t xml:space="preserve"> </w:t>
      </w:r>
      <w:r>
        <w:t xml:space="preserve">supporting public health efforts in disease monitoring and</w:t>
      </w:r>
      <w:r>
        <w:t xml:space="preserve"> </w:t>
      </w:r>
      <w:r>
        <w:t xml:space="preserve">prevention.2.1.5 Description of Data and Data Source</w:t>
      </w:r>
    </w:p>
    <w:p>
      <w:pPr>
        <w:pStyle w:val="BodyText"/>
      </w:pPr>
      <w:r>
        <w:t xml:space="preserve">This data set includes all human cases reported to the Georgia</w:t>
      </w:r>
      <w:r>
        <w:t xml:space="preserve"> </w:t>
      </w:r>
      <w:r>
        <w:t xml:space="preserve">Department of Public Health (GA-DPH) between 2019 and 2024. It was</w:t>
      </w:r>
      <w:r>
        <w:t xml:space="preserve"> </w:t>
      </w:r>
      <w:r>
        <w:t xml:space="preserve">graciously provided by DPH professionals in the epidemiology department</w:t>
      </w:r>
      <w:r>
        <w:t xml:space="preserve"> </w:t>
      </w:r>
      <w:r>
        <w:t xml:space="preserve">and includes all available data for each case reported across the state</w:t>
      </w:r>
      <w:r>
        <w:t xml:space="preserve"> </w:t>
      </w:r>
      <w:r>
        <w:t xml:space="preserve">over this five-year period. Proper de-identification practices—such as</w:t>
      </w:r>
      <w:r>
        <w:t xml:space="preserve"> </w:t>
      </w:r>
      <w:r>
        <w:t xml:space="preserve">removal of first name, last name, and date of birth (DOB)—were followed.</w:t>
      </w:r>
      <w:r>
        <w:t xml:space="preserve"> </w:t>
      </w:r>
      <w:r>
        <w:t xml:space="preserve">The dataset includes variables such as disease type, patient</w:t>
      </w:r>
      <w:r>
        <w:t xml:space="preserve"> </w:t>
      </w:r>
      <w:r>
        <w:t xml:space="preserve">demographics (gender, age, district, state, county, and ZIP code),</w:t>
      </w:r>
      <w:r>
        <w:t xml:space="preserve"> </w:t>
      </w:r>
      <w:r>
        <w:t xml:space="preserve">medical details (incident ID, report ID, lab test dates, results,</w:t>
      </w:r>
      <w:r>
        <w:t xml:space="preserve"> </w:t>
      </w:r>
      <w:r>
        <w:t xml:space="preserve">serotype, and titers), and disease outcomes (death status, fever,</w:t>
      </w:r>
      <w:r>
        <w:t xml:space="preserve"> </w:t>
      </w:r>
      <w:r>
        <w:t xml:space="preserve">migraines, and administrative status). Reported diagnoses include</w:t>
      </w:r>
      <w:r>
        <w:t xml:space="preserve"> </w:t>
      </w:r>
      <w:r>
        <w:t xml:space="preserve">Toxoplasmosis, Dengue, Rocky Mountain Spotted Fever, Anaplasma</w:t>
      </w:r>
      <w:r>
        <w:t xml:space="preserve"> </w:t>
      </w:r>
      <w:r>
        <w:t xml:space="preserve">phagocytophilum, Malaria, Lyme Disease, West Nile Virus, Chikungunya,</w:t>
      </w:r>
      <w:r>
        <w:t xml:space="preserve"> </w:t>
      </w:r>
      <w:r>
        <w:t xml:space="preserve">LaCrosse Virus, Zika, Ehrlichia chaffeensis, and various forms of</w:t>
      </w:r>
      <w:r>
        <w:t xml:space="preserve"> </w:t>
      </w:r>
      <w:r>
        <w:t xml:space="preserve">Typhus. Some cases, based on adherence to specific case definitions and</w:t>
      </w:r>
      <w:r>
        <w:t xml:space="preserve"> </w:t>
      </w:r>
      <w:r>
        <w:t xml:space="preserve">subsequent lab results, are categorized as suspect, probable, confirmed,</w:t>
      </w:r>
      <w:r>
        <w:t xml:space="preserve"> </w:t>
      </w:r>
      <w:r>
        <w:t xml:space="preserve">or unconfirmed. By examining case reports, public health professionals</w:t>
      </w:r>
      <w:r>
        <w:t xml:space="preserve"> </w:t>
      </w:r>
      <w:r>
        <w:t xml:space="preserve">can better understand the prevalence, demographics, and regional</w:t>
      </w:r>
      <w:r>
        <w:t xml:space="preserve"> </w:t>
      </w:r>
      <w:r>
        <w:t xml:space="preserve">variations of these diseases. This analysis aims to further inform the</w:t>
      </w:r>
      <w:r>
        <w:t xml:space="preserve"> </w:t>
      </w:r>
      <w:r>
        <w:t xml:space="preserve">public health understanding of tick-borne disease in Georgia.</w:t>
      </w:r>
    </w:p>
    <w:bookmarkStart w:id="28" w:name="questions-and-hypotheses-to-be-addressed"/>
    <w:p>
      <w:pPr>
        <w:pStyle w:val="Heading2"/>
      </w:pPr>
      <w:r>
        <w:t xml:space="preserve">4.1 3.1.2 Questions and Hypotheses to Be Addressed</w:t>
      </w:r>
    </w:p>
    <w:p>
      <w:pPr>
        <w:pStyle w:val="FirstParagraph"/>
      </w:pPr>
      <w:r>
        <w:t xml:space="preserve">This project seeks to explore temporal, spatial, and epidemiologic</w:t>
      </w:r>
      <w:r>
        <w:t xml:space="preserve"> </w:t>
      </w:r>
      <w:r>
        <w:t xml:space="preserve">patterns of vector-borne disease (VBD) in Georgia using reported case</w:t>
      </w:r>
      <w:r>
        <w:t xml:space="preserve"> </w:t>
      </w:r>
      <w:r>
        <w:t xml:space="preserve">data from 2019–2024. Specifically, it aims to address the following</w:t>
      </w:r>
      <w:r>
        <w:t xml:space="preserve"> </w:t>
      </w:r>
      <w:r>
        <w:t xml:space="preserve">questions:</w:t>
      </w:r>
    </w:p>
    <w:p>
      <w:pPr>
        <w:numPr>
          <w:ilvl w:val="0"/>
          <w:numId w:val="1003"/>
        </w:numPr>
      </w:pPr>
      <w:r>
        <w:t xml:space="preserve">How complete is the data for vector-borne diseases, and how has data</w:t>
      </w:r>
      <w:r>
        <w:t xml:space="preserve"> </w:t>
      </w:r>
      <w:r>
        <w:t xml:space="preserve">completeness evolved over time?</w:t>
      </w:r>
    </w:p>
    <w:p>
      <w:pPr>
        <w:numPr>
          <w:ilvl w:val="0"/>
          <w:numId w:val="1003"/>
        </w:numPr>
      </w:pPr>
      <w:r>
        <w:t xml:space="preserve">What is the timeline between key dates (onset, lab test, and date of</w:t>
      </w:r>
      <w:r>
        <w:t xml:space="preserve"> </w:t>
      </w:r>
      <w:r>
        <w:t xml:space="preserve">entry), excluding same-day onset and lab results, and how does this</w:t>
      </w:r>
      <w:r>
        <w:t xml:space="preserve"> </w:t>
      </w:r>
      <w:r>
        <w:t xml:space="preserve">timeline vary over time?</w:t>
      </w:r>
    </w:p>
    <w:p>
      <w:pPr>
        <w:numPr>
          <w:ilvl w:val="0"/>
          <w:numId w:val="1003"/>
        </w:numPr>
      </w:pPr>
      <w:r>
        <w:t xml:space="preserve">Can we predict whether a confirmed tick-borne disease case will</w:t>
      </w:r>
      <w:r>
        <w:t xml:space="preserve"> </w:t>
      </w:r>
      <w:r>
        <w:t xml:space="preserve">result in a longer-than-typical diagnostic delay based on</w:t>
      </w:r>
      <w:r>
        <w:t xml:space="preserve"> </w:t>
      </w:r>
      <w:r>
        <w:t xml:space="preserve">demographic and geographic features (county of origin of the case</w:t>
      </w:r>
      <w:r>
        <w:t xml:space="preserve"> </w:t>
      </w:r>
      <w:r>
        <w:t xml:space="preserve">and Gini Index)?</w:t>
      </w:r>
    </w:p>
    <w:p>
      <w:pPr>
        <w:numPr>
          <w:ilvl w:val="0"/>
          <w:numId w:val="1000"/>
        </w:numPr>
      </w:pPr>
      <w:r>
        <w:t xml:space="preserve">We hypothesized that tick-borne diseases would exhibit seasonal</w:t>
      </w:r>
      <w:r>
        <w:t xml:space="preserve"> </w:t>
      </w:r>
      <w:r>
        <w:t xml:space="preserve">trends corresponding with tick life cycles, that higher incidence</w:t>
      </w:r>
      <w:r>
        <w:t xml:space="preserve"> </w:t>
      </w:r>
      <w:r>
        <w:t xml:space="preserve">would be observed in areas with more natural and edge habitat, and</w:t>
      </w:r>
      <w:r>
        <w:t xml:space="preserve"> </w:t>
      </w:r>
      <w:r>
        <w:t xml:space="preserve">that case counts would correlate with both environmental conditions</w:t>
      </w:r>
      <w:r>
        <w:t xml:space="preserve"> </w:t>
      </w:r>
      <w:r>
        <w:t xml:space="preserve">and patterns of human interaction with tick habitats.</w:t>
      </w:r>
    </w:p>
    <w:p>
      <w:r>
        <w:br w:type="page"/>
      </w:r>
    </w:p>
    <w:bookmarkEnd w:id="28"/>
    <w:bookmarkEnd w:id="29"/>
    <w:bookmarkStart w:id="61" w:name="methods"/>
    <w:p>
      <w:pPr>
        <w:pStyle w:val="Heading1"/>
      </w:pPr>
      <w:r>
        <w:t xml:space="preserve">5. 4. Methods</w:t>
      </w:r>
    </w:p>
    <w:bookmarkStart w:id="30" w:name="workflow-summarized"/>
    <w:p>
      <w:pPr>
        <w:pStyle w:val="Heading2"/>
      </w:pPr>
      <w:r>
        <w:t xml:space="preserve">5.1 4.1 Workflow Summarized</w:t>
      </w:r>
    </w:p>
    <w:p>
      <w:pPr>
        <w:pStyle w:val="Compact"/>
        <w:numPr>
          <w:ilvl w:val="0"/>
          <w:numId w:val="1004"/>
        </w:numPr>
      </w:pPr>
      <w:r>
        <w:t xml:space="preserve">Cleaned and prepared surveillance data on tick-borne disease cases</w:t>
      </w:r>
      <w:r>
        <w:t xml:space="preserve"> </w:t>
      </w:r>
      <w:r>
        <w:t xml:space="preserve">reported in Georgia from 2019–2024, including filtering for</w:t>
      </w:r>
      <w:r>
        <w:t xml:space="preserve"> </w:t>
      </w:r>
      <w:r>
        <w:t xml:space="preserve">confirmed positive cases and addressing issues with missing values</w:t>
      </w:r>
      <w:r>
        <w:t xml:space="preserve"> </w:t>
      </w:r>
      <w:r>
        <w:t xml:space="preserve">and inconsistent timelines.</w:t>
      </w:r>
    </w:p>
    <w:p>
      <w:pPr>
        <w:numPr>
          <w:ilvl w:val="0"/>
          <w:numId w:val="1005"/>
        </w:numPr>
      </w:pPr>
      <w:r>
        <w:t xml:space="preserve">Conducted exploratory data analysis (EDA) to examine temporal</w:t>
      </w:r>
      <w:r>
        <w:t xml:space="preserve"> </w:t>
      </w:r>
      <w:r>
        <w:t xml:space="preserve">trends, geographic distribution, age patterns, diagnostic test</w:t>
      </w:r>
      <w:r>
        <w:t xml:space="preserve"> </w:t>
      </w:r>
      <w:r>
        <w:t xml:space="preserve">outcomes, and data completeness, using visualizations to inform</w:t>
      </w:r>
      <w:r>
        <w:t xml:space="preserve"> </w:t>
      </w:r>
      <w:r>
        <w:t xml:space="preserve">hypotheses and modeling decisions.</w:t>
      </w:r>
    </w:p>
    <w:p>
      <w:pPr>
        <w:numPr>
          <w:ilvl w:val="0"/>
          <w:numId w:val="1005"/>
        </w:numPr>
      </w:pPr>
      <w:r>
        <w:t xml:space="preserve">Developed and evaluated multiple predictive models to assess whether</w:t>
      </w:r>
      <w:r>
        <w:t xml:space="preserve"> </w:t>
      </w:r>
      <w:r>
        <w:t xml:space="preserve">demographic and case-specific factors could explain delays in case</w:t>
      </w:r>
      <w:r>
        <w:t xml:space="preserve"> </w:t>
      </w:r>
      <w:r>
        <w:t xml:space="preserve">follow-up, using cross-validation and test/train splitting to assess</w:t>
      </w:r>
      <w:r>
        <w:t xml:space="preserve"> </w:t>
      </w:r>
      <w:r>
        <w:t xml:space="preserve">model quality and performance.</w:t>
      </w:r>
    </w:p>
    <w:bookmarkEnd w:id="30"/>
    <w:bookmarkStart w:id="31" w:name="uncleaned-data"/>
    <w:p>
      <w:pPr>
        <w:pStyle w:val="Heading2"/>
      </w:pPr>
      <w:r>
        <w:t xml:space="preserve">5.2 4.2 Uncleaned Data</w:t>
      </w:r>
    </w:p>
    <w:p>
      <w:pPr>
        <w:pStyle w:val="FirstParagraph"/>
      </w:pPr>
      <w:r>
        <w:t xml:space="preserve">The data contains 6255 entries representing discrete cases of</w:t>
      </w:r>
      <w:r>
        <w:t xml:space="preserve"> </w:t>
      </w:r>
      <w:r>
        <w:t xml:space="preserve">tick-bourne diseases. For each case, some or all of the following data</w:t>
      </w:r>
      <w:r>
        <w:t xml:space="preserve"> </w:t>
      </w:r>
      <w:r>
        <w:t xml:space="preserve">variables were collected: disease type, patient demographics (gender,</w:t>
      </w:r>
      <w:r>
        <w:t xml:space="preserve"> </w:t>
      </w:r>
      <w:r>
        <w:t xml:space="preserve">age, district, state, county, and ZIP code), medical details (incident</w:t>
      </w:r>
      <w:r>
        <w:t xml:space="preserve"> </w:t>
      </w:r>
      <w:r>
        <w:t xml:space="preserve">ID, report ID, lab test dates, results, serotype, and titers), and</w:t>
      </w:r>
      <w:r>
        <w:t xml:space="preserve"> </w:t>
      </w:r>
      <w:r>
        <w:t xml:space="preserve">disease outcomes (death status, fever, migranes, and administrative</w:t>
      </w:r>
      <w:r>
        <w:t xml:space="preserve"> </w:t>
      </w:r>
      <w:r>
        <w:t xml:space="preserve">status). For some cases, specific variables were not reported and,</w:t>
      </w:r>
      <w:r>
        <w:t xml:space="preserve"> </w:t>
      </w:r>
      <w:r>
        <w:t xml:space="preserve">therefore, are reported as blank spaces in the data set.</w:t>
      </w:r>
    </w:p>
    <w:bookmarkEnd w:id="31"/>
    <w:bookmarkStart w:id="34" w:name="initial-data-cleaning"/>
    <w:p>
      <w:pPr>
        <w:pStyle w:val="Heading2"/>
      </w:pPr>
      <w:r>
        <w:t xml:space="preserve">5.3 4.3 Initial Data Cleaning</w:t>
      </w:r>
    </w:p>
    <w:p>
      <w:pPr>
        <w:pStyle w:val="FirstParagraph"/>
      </w:pPr>
      <w:r>
        <w:t xml:space="preserve">The data cleaning and preprocessing workflow begins with loading</w:t>
      </w:r>
      <w:r>
        <w:t xml:space="preserve"> </w:t>
      </w:r>
      <w:r>
        <w:t xml:space="preserve">essential R packages for data handling (dplyr, tidyr, readxl), summary</w:t>
      </w:r>
      <w:r>
        <w:t xml:space="preserve"> </w:t>
      </w:r>
      <w:r>
        <w:t xml:space="preserve">visualization (skimr), and file path management (here). The raw dataset,</w:t>
      </w:r>
      <w:r>
        <w:t xml:space="preserve"> </w:t>
      </w:r>
      <w:r>
        <w:t xml:space="preserve">stored in an Excel file, is imported into R for structured processing.</w:t>
      </w:r>
      <w:r>
        <w:t xml:space="preserve"> </w:t>
      </w:r>
      <w:r>
        <w:t xml:space="preserve">To assess data quality and structure, we utilize functions such as</w:t>
      </w:r>
      <w:r>
        <w:t xml:space="preserve"> </w:t>
      </w:r>
      <w:r>
        <w:t xml:space="preserve">glimpse(), head(), and summary(), which provide an overview of column</w:t>
      </w:r>
      <w:r>
        <w:t xml:space="preserve"> </w:t>
      </w:r>
      <w:r>
        <w:t xml:space="preserve">names, data types, and potential inconsistencies like missing or</w:t>
      </w:r>
      <w:r>
        <w:t xml:space="preserve"> </w:t>
      </w:r>
      <w:r>
        <w:t xml:space="preserve">unexpected values. Additionally, skimr::skim() offers a detailed</w:t>
      </w:r>
      <w:r>
        <w:t xml:space="preserve"> </w:t>
      </w:r>
      <w:r>
        <w:t xml:space="preserve">summary, highlighting numerical distributions and missing data patterns.</w:t>
      </w:r>
    </w:p>
    <w:p>
      <w:pPr>
        <w:pStyle w:val="BodyText"/>
      </w:pPr>
      <w:r>
        <w:t xml:space="preserve">The initial cleaning step removes records where the STATUS field is</w:t>
      </w:r>
      <w:r>
        <w:t xml:space="preserve"> </w:t>
      </w:r>
      <w:r>
        <w:t xml:space="preserve">either missing or not classified as</w:t>
      </w:r>
      <w:r>
        <w:t xml:space="preserve"> </w:t>
      </w:r>
      <w:r>
        <w:t xml:space="preserve">“</w:t>
      </w:r>
      <w:r>
        <w:t xml:space="preserve">CONFIRMED,</w:t>
      </w:r>
      <w:r>
        <w:t xml:space="preserve">”</w:t>
      </w:r>
      <w:r>
        <w:t xml:space="preserve"> </w:t>
      </w:r>
      <w:r>
        <w:t xml:space="preserve">ensuring that only</w:t>
      </w:r>
      <w:r>
        <w:t xml:space="preserve"> </w:t>
      </w:r>
      <w:r>
        <w:t xml:space="preserve">officially verified cases are included. The dataset is then refined</w:t>
      </w:r>
      <w:r>
        <w:t xml:space="preserve"> </w:t>
      </w:r>
      <w:r>
        <w:t xml:space="preserve">further by retaining only cases with a confirmed</w:t>
      </w:r>
      <w:r>
        <w:t xml:space="preserve"> </w:t>
      </w:r>
      <w:r>
        <w:t xml:space="preserve">“</w:t>
      </w:r>
      <w:r>
        <w:t xml:space="preserve">positive</w:t>
      </w:r>
      <w:r>
        <w:t xml:space="preserve">”</w:t>
      </w:r>
      <w:r>
        <w:t xml:space="preserve"> </w:t>
      </w:r>
      <w:r>
        <w:t xml:space="preserve">test result,</w:t>
      </w:r>
      <w:r>
        <w:t xml:space="preserve"> </w:t>
      </w:r>
      <w:r>
        <w:t xml:space="preserve">excluding records with missing, blank, or ambiguous values (e.g.,</w:t>
      </w:r>
      <w:r>
        <w:t xml:space="preserve"> </w:t>
      </w:r>
      <w:r>
        <w:t xml:space="preserve">“</w:t>
      </w:r>
      <w:r>
        <w:t xml:space="preserve">inconclusive</w:t>
      </w:r>
      <w:r>
        <w:t xml:space="preserve">”</w:t>
      </w:r>
      <w:r>
        <w:t xml:space="preserve">). This process initially removed 15 cases that did not</w:t>
      </w:r>
      <w:r>
        <w:t xml:space="preserve"> </w:t>
      </w:r>
      <w:r>
        <w:t xml:space="preserve">meet the case definition in Georgia, leaving 95 valid records. Upon</w:t>
      </w:r>
      <w:r>
        <w:t xml:space="preserve"> </w:t>
      </w:r>
      <w:r>
        <w:t xml:space="preserve">further review, filtering criteria were adjusted to ensure all relevant</w:t>
      </w:r>
      <w:r>
        <w:t xml:space="preserve"> </w:t>
      </w:r>
      <w:r>
        <w:t xml:space="preserve">positive cases were retained while systematically excluding non-positive</w:t>
      </w:r>
      <w:r>
        <w:t xml:space="preserve"> </w:t>
      </w:r>
      <w:r>
        <w:t xml:space="preserve">values such as</w:t>
      </w:r>
      <w:r>
        <w:t xml:space="preserve"> </w:t>
      </w:r>
      <w:r>
        <w:t xml:space="preserve">“</w:t>
      </w:r>
      <w:r>
        <w:t xml:space="preserve">Negative,</w:t>
      </w:r>
      <w:r>
        <w:t xml:space="preserve">”</w:t>
      </w:r>
      <w:r>
        <w:t xml:space="preserve"> </w:t>
      </w:r>
      <w:r>
        <w:t xml:space="preserve">“</w:t>
      </w:r>
      <w:r>
        <w:t xml:space="preserve">Equivocal,</w:t>
      </w:r>
      <w:r>
        <w:t xml:space="preserve">”</w:t>
      </w:r>
      <w:r>
        <w:t xml:space="preserve"> </w:t>
      </w:r>
      <w:r>
        <w:t xml:space="preserve">“</w:t>
      </w:r>
      <w:r>
        <w:t xml:space="preserve">Not detected,</w:t>
      </w:r>
      <w:r>
        <w:t xml:space="preserve">”</w:t>
      </w:r>
      <w:r>
        <w:t xml:space="preserve"> </w:t>
      </w:r>
      <w:r>
        <w:t xml:space="preserve">and other</w:t>
      </w:r>
      <w:r>
        <w:t xml:space="preserve"> </w:t>
      </w:r>
      <w:r>
        <w:t xml:space="preserve">irrelevant categories. This refinement resulted in a more accurate</w:t>
      </w:r>
      <w:r>
        <w:t xml:space="preserve"> </w:t>
      </w:r>
      <w:r>
        <w:t xml:space="preserve">dataset and a clearer summary table of key case information. The cleaned</w:t>
      </w:r>
      <w:r>
        <w:t xml:space="preserve"> </w:t>
      </w:r>
      <w:r>
        <w:t xml:space="preserve">dataset is saved at each stage to maintain version control and</w:t>
      </w:r>
      <w:r>
        <w:t xml:space="preserve"> </w:t>
      </w:r>
      <w:r>
        <w:t xml:space="preserve">reproducibility.</w:t>
      </w:r>
    </w:p>
    <w:bookmarkStart w:id="32" w:name="looked-for-missing-data-general-trends"/>
    <w:p>
      <w:pPr>
        <w:pStyle w:val="Heading4"/>
      </w:pPr>
      <w:r>
        <w:t xml:space="preserve">5.3.0.1 4.3.1 Looked for Missing Data &amp; General Trends</w:t>
      </w:r>
    </w:p>
    <w:p>
      <w:pPr>
        <w:pStyle w:val="Compact"/>
        <w:numPr>
          <w:ilvl w:val="0"/>
          <w:numId w:val="1006"/>
        </w:numPr>
      </w:pPr>
      <w:r>
        <w:t xml:space="preserve">Excluded cases with a missing or non-</w:t>
      </w:r>
      <w:r>
        <w:t xml:space="preserve">“</w:t>
      </w:r>
      <w:r>
        <w:t xml:space="preserve">CONFIRMED</w:t>
      </w:r>
      <w:r>
        <w:t xml:space="preserve">”</w:t>
      </w:r>
      <w:r>
        <w:t xml:space="preserve"> </w:t>
      </w:r>
      <w:r>
        <w:t xml:space="preserve">STATUS to retain</w:t>
      </w:r>
      <w:r>
        <w:t xml:space="preserve"> </w:t>
      </w:r>
      <w:r>
        <w:t xml:space="preserve">only confirmed cases.</w:t>
      </w:r>
    </w:p>
    <w:p>
      <w:pPr>
        <w:pStyle w:val="Compact"/>
        <w:numPr>
          <w:ilvl w:val="0"/>
          <w:numId w:val="1006"/>
        </w:numPr>
      </w:pPr>
      <w:r>
        <w:t xml:space="preserve">Refined the dataset by retaining only confirmed</w:t>
      </w:r>
      <w:r>
        <w:t xml:space="preserve"> </w:t>
      </w:r>
      <w:r>
        <w:t xml:space="preserve">“</w:t>
      </w:r>
      <w:r>
        <w:t xml:space="preserve">positive</w:t>
      </w:r>
      <w:r>
        <w:t xml:space="preserve">”</w:t>
      </w:r>
      <w:r>
        <w:t xml:space="preserve"> </w:t>
      </w:r>
      <w:r>
        <w:t xml:space="preserve">test</w:t>
      </w:r>
      <w:r>
        <w:t xml:space="preserve"> </w:t>
      </w:r>
      <w:r>
        <w:t xml:space="preserve">results, excluding missing or ambiguous results, leaving 95 valid</w:t>
      </w:r>
      <w:r>
        <w:t xml:space="preserve"> </w:t>
      </w:r>
      <w:r>
        <w:t xml:space="preserve">cases.</w:t>
      </w:r>
    </w:p>
    <w:p>
      <w:pPr>
        <w:pStyle w:val="Compact"/>
        <w:numPr>
          <w:ilvl w:val="0"/>
          <w:numId w:val="1006"/>
        </w:numPr>
      </w:pPr>
      <w:r>
        <w:t xml:space="preserve">Additional filtering ensured correct identification of positive</w:t>
      </w:r>
      <w:r>
        <w:t xml:space="preserve"> </w:t>
      </w:r>
      <w:r>
        <w:t xml:space="preserve">cases while excluding non-positive values.</w:t>
      </w:r>
    </w:p>
    <w:bookmarkEnd w:id="32"/>
    <w:bookmarkStart w:id="33" w:name="addressed-data-quality-issues"/>
    <w:p>
      <w:pPr>
        <w:pStyle w:val="Heading4"/>
      </w:pPr>
      <w:r>
        <w:t xml:space="preserve">5.3.0.2 Addressed Data Quality Issues</w:t>
      </w:r>
    </w:p>
    <w:p>
      <w:pPr>
        <w:pStyle w:val="Compact"/>
        <w:numPr>
          <w:ilvl w:val="0"/>
          <w:numId w:val="1007"/>
        </w:numPr>
      </w:pPr>
      <w:r>
        <w:t xml:space="preserve">Identified negative time values between lab test dates, indicating</w:t>
      </w:r>
      <w:r>
        <w:t xml:space="preserve"> </w:t>
      </w:r>
      <w:r>
        <w:t xml:space="preserve">data entry errors.</w:t>
      </w:r>
    </w:p>
    <w:p>
      <w:pPr>
        <w:pStyle w:val="Compact"/>
        <w:numPr>
          <w:ilvl w:val="0"/>
          <w:numId w:val="1007"/>
        </w:numPr>
      </w:pPr>
      <w:r>
        <w:t xml:space="preserve">Implemented a filtering step to remove records with invalid date</w:t>
      </w:r>
      <w:r>
        <w:t xml:space="preserve"> </w:t>
      </w:r>
      <w:r>
        <w:t xml:space="preserve">sequences.</w:t>
      </w:r>
    </w:p>
    <w:bookmarkEnd w:id="33"/>
    <w:bookmarkEnd w:id="34"/>
    <w:bookmarkStart w:id="39" w:name="exploratorydescriptive-analysis"/>
    <w:p>
      <w:pPr>
        <w:pStyle w:val="Heading2"/>
      </w:pPr>
      <w:r>
        <w:t xml:space="preserve">5.4 4.4 Exploratory/Descriptive Analysis</w:t>
      </w:r>
    </w:p>
    <w:bookmarkStart w:id="35" w:name="Xcebe047af9bf4f04fc8b216868d2fa8ab3dfc8d"/>
    <w:p>
      <w:pPr>
        <w:pStyle w:val="Heading4"/>
      </w:pPr>
      <w:r>
        <w:t xml:space="preserve">5.4.0.1 4.4.1 Identified Disease Burden Trends &amp; Hotspot Counties</w:t>
      </w:r>
    </w:p>
    <w:p>
      <w:pPr>
        <w:pStyle w:val="Compact"/>
        <w:numPr>
          <w:ilvl w:val="0"/>
          <w:numId w:val="1008"/>
        </w:numPr>
      </w:pPr>
      <w:r>
        <w:t xml:space="preserve">Generated a histogram to visualize the distribution of tick-borne</w:t>
      </w:r>
      <w:r>
        <w:t xml:space="preserve"> </w:t>
      </w:r>
      <w:r>
        <w:t xml:space="preserve">diseases in Georgia between 2019 and 2024.</w:t>
      </w:r>
    </w:p>
    <w:p>
      <w:pPr>
        <w:pStyle w:val="Compact"/>
        <w:numPr>
          <w:ilvl w:val="0"/>
          <w:numId w:val="1008"/>
        </w:numPr>
      </w:pPr>
      <w:r>
        <w:t xml:space="preserve">Created a bar chart highlighting the five most common diseases.</w:t>
      </w:r>
    </w:p>
    <w:p>
      <w:pPr>
        <w:pStyle w:val="Compact"/>
        <w:numPr>
          <w:ilvl w:val="0"/>
          <w:numId w:val="1008"/>
        </w:numPr>
      </w:pPr>
      <w:r>
        <w:t xml:space="preserve">Specifically analyzed Lyme Disease cases, focusing on test results.</w:t>
      </w:r>
    </w:p>
    <w:bookmarkEnd w:id="35"/>
    <w:bookmarkStart w:id="36" w:name="checked-age-distribution"/>
    <w:p>
      <w:pPr>
        <w:pStyle w:val="Heading4"/>
      </w:pPr>
      <w:r>
        <w:t xml:space="preserve">5.4.0.2 4.4.2 Checked Age Distribution</w:t>
      </w:r>
    </w:p>
    <w:p>
      <w:pPr>
        <w:pStyle w:val="Compact"/>
        <w:numPr>
          <w:ilvl w:val="0"/>
          <w:numId w:val="1009"/>
        </w:numPr>
      </w:pPr>
      <w:r>
        <w:t xml:space="preserve">Verified that no cases had missing age values in the cleaned</w:t>
      </w:r>
      <w:r>
        <w:t xml:space="preserve"> </w:t>
      </w:r>
      <w:r>
        <w:t xml:space="preserve">dataset.</w:t>
      </w:r>
    </w:p>
    <w:p>
      <w:pPr>
        <w:pStyle w:val="Compact"/>
        <w:numPr>
          <w:ilvl w:val="0"/>
          <w:numId w:val="1009"/>
        </w:numPr>
      </w:pPr>
      <w:r>
        <w:t xml:space="preserve">Conducted an exploratory analysis of disease counts by age group.</w:t>
      </w:r>
    </w:p>
    <w:bookmarkEnd w:id="36"/>
    <w:bookmarkStart w:id="37" w:name="evaluated-data-completeness-over-time"/>
    <w:p>
      <w:pPr>
        <w:pStyle w:val="Heading4"/>
      </w:pPr>
      <w:r>
        <w:t xml:space="preserve">5.4.0.3 4.4.3 Evaluated Data Completeness Over Time</w:t>
      </w:r>
    </w:p>
    <w:p>
      <w:pPr>
        <w:pStyle w:val="Compact"/>
        <w:numPr>
          <w:ilvl w:val="0"/>
          <w:numId w:val="1010"/>
        </w:numPr>
      </w:pPr>
      <w:r>
        <w:t xml:space="preserve">Extracted onset date information to track missing data trends.</w:t>
      </w:r>
    </w:p>
    <w:p>
      <w:pPr>
        <w:pStyle w:val="Compact"/>
        <w:numPr>
          <w:ilvl w:val="0"/>
          <w:numId w:val="1010"/>
        </w:numPr>
      </w:pPr>
      <w:r>
        <w:t xml:space="preserve">Created a plot distinguishing between blank and non-blank STATUS</w:t>
      </w:r>
      <w:r>
        <w:t xml:space="preserve"> </w:t>
      </w:r>
      <w:r>
        <w:t xml:space="preserve">entries over time to identify periods of high missingness,</w:t>
      </w:r>
      <w:r>
        <w:t xml:space="preserve"> </w:t>
      </w:r>
      <w:r>
        <w:t xml:space="preserve">indicating possible data entry errors or reporting gaps.</w:t>
      </w:r>
    </w:p>
    <w:bookmarkEnd w:id="37"/>
    <w:bookmarkStart w:id="38" w:name="X26c991af8ba42f7ef357579e0567991422ce8b6"/>
    <w:p>
      <w:pPr>
        <w:pStyle w:val="Heading4"/>
      </w:pPr>
      <w:r>
        <w:t xml:space="preserve">5.4.0.4 4.4.4 Analyzed Timeline Between Key Case Events</w:t>
      </w:r>
    </w:p>
    <w:p>
      <w:pPr>
        <w:pStyle w:val="Compact"/>
        <w:numPr>
          <w:ilvl w:val="0"/>
          <w:numId w:val="1011"/>
        </w:numPr>
      </w:pPr>
      <w:r>
        <w:t xml:space="preserve">Calculated time differences for:</w:t>
      </w:r>
    </w:p>
    <w:p>
      <w:pPr>
        <w:pStyle w:val="Compact"/>
        <w:numPr>
          <w:ilvl w:val="1"/>
          <w:numId w:val="1012"/>
        </w:numPr>
      </w:pPr>
      <w:r>
        <w:t xml:space="preserve">Onset date (DOO) to first lab test date (LABDATE1)</w:t>
      </w:r>
    </w:p>
    <w:p>
      <w:pPr>
        <w:pStyle w:val="Compact"/>
        <w:numPr>
          <w:ilvl w:val="1"/>
          <w:numId w:val="1012"/>
        </w:numPr>
      </w:pPr>
      <w:r>
        <w:t xml:space="preserve">First lab test (LABDATE1) to second lab test (LABDATE2)</w:t>
      </w:r>
    </w:p>
    <w:p>
      <w:pPr>
        <w:pStyle w:val="Compact"/>
        <w:numPr>
          <w:ilvl w:val="1"/>
          <w:numId w:val="1012"/>
        </w:numPr>
      </w:pPr>
      <w:r>
        <w:t xml:space="preserve">Second lab test (LABDATE2) to case update date (UPDATEDATE)</w:t>
      </w:r>
    </w:p>
    <w:p>
      <w:pPr>
        <w:pStyle w:val="Compact"/>
        <w:numPr>
          <w:ilvl w:val="0"/>
          <w:numId w:val="1011"/>
        </w:numPr>
      </w:pPr>
      <w:r>
        <w:t xml:space="preserve">Summed these values to determine the total case duration.</w:t>
      </w:r>
    </w:p>
    <w:p>
      <w:pPr>
        <w:pStyle w:val="Compact"/>
        <w:numPr>
          <w:ilvl w:val="0"/>
          <w:numId w:val="1011"/>
        </w:numPr>
      </w:pPr>
      <w:r>
        <w:t xml:space="preserve">Saved the processed dataset as a CSV file for further analysis.</w:t>
      </w:r>
    </w:p>
    <w:p>
      <w:pPr>
        <w:pStyle w:val="Compact"/>
        <w:numPr>
          <w:ilvl w:val="0"/>
          <w:numId w:val="1011"/>
        </w:numPr>
      </w:pPr>
      <w:r>
        <w:t xml:space="preserve">Created a formatted HTML table to present the extracted time</w:t>
      </w:r>
      <w:r>
        <w:t xml:space="preserve"> </w:t>
      </w:r>
      <w:r>
        <w:t xml:space="preserve">intervals.</w:t>
      </w:r>
    </w:p>
    <w:bookmarkEnd w:id="38"/>
    <w:bookmarkEnd w:id="39"/>
    <w:bookmarkStart w:id="59" w:name="eda-revelant-takeaways"/>
    <w:p>
      <w:pPr>
        <w:pStyle w:val="Heading2"/>
      </w:pPr>
      <w:r>
        <w:t xml:space="preserve">5.5 4.5 EDA Revelant Takeaways</w:t>
      </w:r>
    </w:p>
    <w:bookmarkStart w:id="43" w:name="most-common-tick-borne-diseases"/>
    <w:p>
      <w:pPr>
        <w:pStyle w:val="Heading4"/>
      </w:pPr>
      <w:r>
        <w:t xml:space="preserve">5.5.0.1 4.5.1 Most Common Tick-Borne Diseases</w:t>
      </w:r>
    </w:p>
    <w:p>
      <w:pPr>
        <w:pStyle w:val="FirstParagraph"/>
      </w:pPr>
      <w:r>
        <w:t xml:space="preserve">The dataset is filtered to identify the five most frequently reported</w:t>
      </w:r>
      <w:r>
        <w:t xml:space="preserve"> </w:t>
      </w:r>
      <w:r>
        <w:t xml:space="preserve">tick-borne diseases. A bar chart visualizes their case counts, offering</w:t>
      </w:r>
      <w:r>
        <w:t xml:space="preserve"> </w:t>
      </w:r>
      <w:r>
        <w:t xml:space="preserve">an overview of significant public health concerns.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../../results/supplemental-figures/disease_histogram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53" w:name="geographic-distribution"/>
    <w:p>
      <w:pPr>
        <w:pStyle w:val="Heading4"/>
      </w:pPr>
      <w:r>
        <w:t xml:space="preserve">5.5.0.2 4.5.2 Geographic Distribution</w:t>
      </w:r>
    </w:p>
    <w:p>
      <w:pPr>
        <w:pStyle w:val="FirstParagraph"/>
      </w:pPr>
      <w:r>
        <w:t xml:space="preserve">A grouped bar chart maps case counts across Georgia counties,</w:t>
      </w:r>
      <w:r>
        <w:t xml:space="preserve"> </w:t>
      </w:r>
      <w:r>
        <w:t xml:space="preserve">categorized by disease type to analyze disease burden trends and</w:t>
      </w:r>
      <w:r>
        <w:t xml:space="preserve"> </w:t>
      </w:r>
      <w:r>
        <w:t xml:space="preserve">identify hotspot counties. Due to the density of information, this</w:t>
      </w:r>
      <w:r>
        <w:t xml:space="preserve"> </w:t>
      </w:r>
      <w:r>
        <w:t xml:space="preserve">visualization is refined to focus on the top five tick-borne diseases</w:t>
      </w:r>
      <w:r>
        <w:t xml:space="preserve"> </w:t>
      </w:r>
      <w:r>
        <w:t xml:space="preserve">and their distribution across the 12 counties with the highest confirmed</w:t>
      </w:r>
      <w:r>
        <w:t xml:space="preserve"> </w:t>
      </w:r>
      <w:r>
        <w:t xml:space="preserve">case counts.</w:t>
      </w:r>
    </w:p>
    <w:p>
      <w:pPr>
        <w:pStyle w:val="BodyText"/>
      </w:pPr>
      <w:r>
        <w:drawing>
          <wp:inline>
            <wp:extent cx="5334000" cy="3200399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../../results/supplemental-figures/disease_county_plot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499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../../results/supplemental-figures/top5_diseases_stacked_plot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200399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./../results/supplemental-figures/top5_disease_county_plot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57" w:name="data-completeness-over-time"/>
    <w:p>
      <w:pPr>
        <w:pStyle w:val="Heading4"/>
      </w:pPr>
      <w:r>
        <w:t xml:space="preserve">5.5.0.3 4.5.3 Data Completeness Over Time</w:t>
      </w:r>
    </w:p>
    <w:p>
      <w:pPr>
        <w:pStyle w:val="FirstParagraph"/>
      </w:pPr>
      <w:r>
        <w:t xml:space="preserve">To evaluate how data completeness has evolved, the dataset is processed</w:t>
      </w:r>
      <w:r>
        <w:t xml:space="preserve"> </w:t>
      </w:r>
      <w:r>
        <w:t xml:space="preserve">to extract onset date information. A visualization distinguishes between</w:t>
      </w:r>
      <w:r>
        <w:t xml:space="preserve"> </w:t>
      </w:r>
      <w:r>
        <w:t xml:space="preserve">blank and non-blank entries in the STATUS column over time, helping to</w:t>
      </w:r>
      <w:r>
        <w:t xml:space="preserve"> </w:t>
      </w:r>
      <w:r>
        <w:t xml:space="preserve">identify periods with high missingness. Spikes in blank values may</w:t>
      </w:r>
      <w:r>
        <w:t xml:space="preserve"> </w:t>
      </w:r>
      <w:r>
        <w:t xml:space="preserve">indicate data entry errors, system issues, or reporting gaps that should</w:t>
      </w:r>
      <w:r>
        <w:t xml:space="preserve"> </w:t>
      </w:r>
      <w:r>
        <w:t xml:space="preserve">be addressed before conducting further analysis.</w:t>
      </w:r>
    </w:p>
    <w:p>
      <w:pPr>
        <w:pStyle w:val="BodyText"/>
      </w:pPr>
      <w:r>
        <w:drawing>
          <wp:inline>
            <wp:extent cx="5334000" cy="4000499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./../results/supplemental-figures/status_completeness_plot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For more of my initial exploratory data analysis, please see the</w:t>
      </w:r>
      <w:r>
        <w:t xml:space="preserve"> </w:t>
      </w:r>
      <w:r>
        <w:rPr>
          <w:u w:val="single"/>
        </w:rPr>
        <w:t xml:space="preserve">Supplemental Figures</w:t>
      </w:r>
      <w:r>
        <w:t xml:space="preserve"> </w:t>
      </w:r>
      <w:r>
        <w:t xml:space="preserve">section at the bottom of the report.</w:t>
      </w:r>
    </w:p>
    <w:bookmarkEnd w:id="57"/>
    <w:bookmarkStart w:id="58" w:name="timeline-analysis-of-key-case-events"/>
    <w:p>
      <w:pPr>
        <w:pStyle w:val="Heading4"/>
      </w:pPr>
      <w:r>
        <w:t xml:space="preserve">5.5.0.4 4.5.4 Timeline Analysis of Key Case Events</w:t>
      </w:r>
    </w:p>
    <w:p>
      <w:pPr>
        <w:pStyle w:val="FirstParagraph"/>
      </w:pPr>
      <w:r>
        <w:t xml:space="preserve">Given the frequent loss-to-follow-up observed in tick-borne illness</w:t>
      </w:r>
      <w:r>
        <w:t xml:space="preserve"> </w:t>
      </w:r>
      <w:r>
        <w:t xml:space="preserve">reporting, an analysis is conducted to examine time gaps between</w:t>
      </w:r>
      <w:r>
        <w:t xml:space="preserve"> </w:t>
      </w:r>
      <w:r>
        <w:t xml:space="preserve">critical dates, including:</w:t>
      </w:r>
    </w:p>
    <w:p>
      <w:pPr>
        <w:numPr>
          <w:ilvl w:val="0"/>
          <w:numId w:val="1013"/>
        </w:numPr>
      </w:pPr>
      <w:r>
        <w:t xml:space="preserve">Onset date (DOO) to first lab test date (LABDATE1)</w:t>
      </w:r>
    </w:p>
    <w:p>
      <w:pPr>
        <w:numPr>
          <w:ilvl w:val="0"/>
          <w:numId w:val="1013"/>
        </w:numPr>
      </w:pPr>
      <w:r>
        <w:t xml:space="preserve">First lab test (LABDATE1) to second lab test (LABDATE2)</w:t>
      </w:r>
    </w:p>
    <w:p>
      <w:pPr>
        <w:numPr>
          <w:ilvl w:val="0"/>
          <w:numId w:val="1013"/>
        </w:numPr>
      </w:pPr>
      <w:r>
        <w:t xml:space="preserve">Second lab test (LABDATE2) to case update date (UPDATEDATE)</w:t>
      </w:r>
    </w:p>
    <w:p>
      <w:pPr>
        <w:pStyle w:val="FirstParagraph"/>
      </w:pPr>
      <w:r>
        <w:t xml:space="preserve">These durations are summed to determine the total case timeline for each</w:t>
      </w:r>
      <w:r>
        <w:t xml:space="preserve"> </w:t>
      </w:r>
      <w:r>
        <w:t xml:space="preserve">record. The processed dataset is saved as a CSV file for further</w:t>
      </w:r>
      <w:r>
        <w:t xml:space="preserve"> </w:t>
      </w:r>
      <w:r>
        <w:t xml:space="preserve">analysis, and a formatted HTML table is generated to present the</w:t>
      </w:r>
      <w:r>
        <w:t xml:space="preserve"> </w:t>
      </w:r>
      <w:r>
        <w:t xml:space="preserve">extracted time intervals in a structured manner. Data Quality</w:t>
      </w:r>
      <w:r>
        <w:t xml:space="preserve"> </w:t>
      </w:r>
      <w:r>
        <w:t xml:space="preserve">Adjustments Upon reviewing the time calculations, inconsistencies were</w:t>
      </w:r>
      <w:r>
        <w:t xml:space="preserve"> </w:t>
      </w:r>
      <w:r>
        <w:t xml:space="preserve">identified where negative time values appeared between initial lab</w:t>
      </w:r>
      <w:r>
        <w:t xml:space="preserve"> </w:t>
      </w:r>
      <w:r>
        <w:t xml:space="preserve">results and follow-up tests. These errors, likely due to data entry</w:t>
      </w:r>
      <w:r>
        <w:t xml:space="preserve"> </w:t>
      </w:r>
      <w:r>
        <w:t xml:space="preserve">mistakes, made it impossible to determine the correct dates. To address</w:t>
      </w:r>
      <w:r>
        <w:t xml:space="preserve"> </w:t>
      </w:r>
      <w:r>
        <w:t xml:space="preserve">this, a filtering step was added to remove erroneous records where</w:t>
      </w:r>
      <w:r>
        <w:t xml:space="preserve"> </w:t>
      </w:r>
      <w:r>
        <w:t xml:space="preserve">follow-up test dates occurred before initial lab dates.</w:t>
      </w:r>
    </w:p>
    <w:bookmarkEnd w:id="58"/>
    <w:bookmarkEnd w:id="59"/>
    <w:bookmarkStart w:id="60" w:name="statistical-analysis"/>
    <w:p>
      <w:pPr>
        <w:pStyle w:val="Heading2"/>
      </w:pPr>
      <w:r>
        <w:t xml:space="preserve">5.6 4.6 Statistical Analysis</w:t>
      </w:r>
    </w:p>
    <w:p>
      <w:pPr>
        <w:pStyle w:val="FirstParagraph"/>
      </w:pPr>
      <w:r>
        <w:t xml:space="preserve">To evaluate whether diagnostic delays could be predicted from case-level</w:t>
      </w:r>
      <w:r>
        <w:t xml:space="preserve"> </w:t>
      </w:r>
      <w:r>
        <w:t xml:space="preserve">characteristics, a binary outcome variable (</w:t>
      </w:r>
      <w:r>
        <w:rPr>
          <w:rStyle w:val="VerbatimChar"/>
        </w:rPr>
        <w:t xml:space="preserve">delay_over_threshold</w:t>
      </w:r>
      <w:r>
        <w:t xml:space="preserve">) was</w:t>
      </w:r>
      <w:r>
        <w:t xml:space="preserve"> </w:t>
      </w:r>
      <w:r>
        <w:t xml:space="preserve">created to indicate whether the total time from symptom onset to final</w:t>
      </w:r>
      <w:r>
        <w:t xml:space="preserve"> </w:t>
      </w:r>
      <w:r>
        <w:t xml:space="preserve">update exceeded 30 days. Predictor variables included patient age, sex,</w:t>
      </w:r>
      <w:r>
        <w:t xml:space="preserve"> </w:t>
      </w:r>
      <w:r>
        <w:t xml:space="preserve">county of residence, and disease type. Age was normalized, and</w:t>
      </w:r>
      <w:r>
        <w:t xml:space="preserve"> </w:t>
      </w:r>
      <w:r>
        <w:t xml:space="preserve">categorical variables were one-hot encoded.</w:t>
      </w:r>
    </w:p>
    <w:p>
      <w:pPr>
        <w:pStyle w:val="BodyText"/>
      </w:pPr>
      <w:r>
        <w:t xml:space="preserve">Three classification models—logistic regression, decision tree, and</w:t>
      </w:r>
      <w:r>
        <w:t xml:space="preserve"> </w:t>
      </w:r>
      <w:r>
        <w:t xml:space="preserve">random forest—were trained using the </w:t>
      </w:r>
      <w:r>
        <w:rPr>
          <w:rStyle w:val="VerbatimChar"/>
        </w:rPr>
        <w:t xml:space="preserve">tidymodels</w:t>
      </w:r>
      <w:r>
        <w:t xml:space="preserve">framework. Model</w:t>
      </w:r>
      <w:r>
        <w:t xml:space="preserve"> </w:t>
      </w:r>
      <w:r>
        <w:t xml:space="preserve">performance was assessed using 5-fold cross-validation repeated three</w:t>
      </w:r>
      <w:r>
        <w:t xml:space="preserve"> </w:t>
      </w:r>
      <w:r>
        <w:t xml:space="preserve">times. Metrics included accuracy and area under the receiver operating</w:t>
      </w:r>
      <w:r>
        <w:t xml:space="preserve"> </w:t>
      </w:r>
      <w:r>
        <w:t xml:space="preserve">characteristic curve (AUC).</w:t>
      </w:r>
    </w:p>
    <w:p>
      <w:pPr>
        <w:pStyle w:val="BodyText"/>
      </w:pPr>
      <w:r>
        <w:t xml:space="preserve">Both basic bivariate analysis and statistical modeling was conducted.</w:t>
      </w:r>
      <w:r>
        <w:t xml:space="preserve"> </w:t>
      </w:r>
      <w:r>
        <w:t xml:space="preserve">For the statistical modeling, three classification models were trained</w:t>
      </w:r>
      <w:r>
        <w:t xml:space="preserve"> </w:t>
      </w:r>
      <w:r>
        <w:t xml:space="preserve">and evaluated using 5-fold cross-validation repeated 3 times.</w:t>
      </w:r>
      <w:r>
        <w:t xml:space="preserve"> </w:t>
      </w:r>
      <w:r>
        <w:t xml:space="preserve">Performance was assessed using accuracy and area under the ROC curve</w:t>
      </w:r>
      <w:r>
        <w:t xml:space="preserve"> </w:t>
      </w:r>
      <w:r>
        <w:t xml:space="preserve">(AUC).</w:t>
      </w:r>
    </w:p>
    <w:bookmarkEnd w:id="60"/>
    <w:bookmarkEnd w:id="61"/>
    <w:bookmarkStart w:id="77" w:name="results"/>
    <w:p>
      <w:pPr>
        <w:pStyle w:val="Heading1"/>
      </w:pPr>
      <w:r>
        <w:t xml:space="preserve">6. 5. Results</w:t>
      </w:r>
    </w:p>
    <w:bookmarkStart w:id="71" w:name="basic-statistical-analysis"/>
    <w:p>
      <w:pPr>
        <w:pStyle w:val="Heading2"/>
      </w:pPr>
      <w:r>
        <w:t xml:space="preserve">6.1 5.1 Basic statistical analysis</w:t>
      </w:r>
    </w:p>
    <w:p>
      <w:pPr>
        <w:pStyle w:val="FirstParagraph"/>
      </w:pPr>
      <w:r>
        <w:t xml:space="preserve">For the first key question related to the disease trends over time (in</w:t>
      </w:r>
      <w:r>
        <w:t xml:space="preserve"> </w:t>
      </w:r>
      <w:r>
        <w:t xml:space="preserve">years). In looking at the plot, it appears that there have been</w:t>
      </w:r>
      <w:r>
        <w:t xml:space="preserve"> </w:t>
      </w:r>
      <w:r>
        <w:t xml:space="preserve">increases over time were observed in most of the diseases. However, the</w:t>
      </w:r>
      <w:r>
        <w:t xml:space="preserve"> </w:t>
      </w:r>
      <w:r>
        <w:t xml:space="preserve">rate of increase was relatively slow as indicated by the lack of</w:t>
      </w:r>
      <w:r>
        <w:t xml:space="preserve"> </w:t>
      </w:r>
      <w:r>
        <w:t xml:space="preserve">statistical significance of these trends (p&gt;0.5) which may indicate an</w:t>
      </w:r>
      <w:r>
        <w:t xml:space="preserve"> </w:t>
      </w:r>
      <w:r>
        <w:t xml:space="preserve">attribution to the increase in reporting rather than an increase in</w:t>
      </w:r>
      <w:r>
        <w:t xml:space="preserve"> </w:t>
      </w:r>
      <w:r>
        <w:t xml:space="preserve">overall disease burden. In the full analysis and second iteration of</w:t>
      </w:r>
      <w:r>
        <w:t xml:space="preserve"> </w:t>
      </w:r>
      <w:r>
        <w:t xml:space="preserve">this, these trends will be compared year to year, comparing each year to</w:t>
      </w:r>
      <w:r>
        <w:t xml:space="preserve"> </w:t>
      </w:r>
      <w:r>
        <w:t xml:space="preserve">the 2018 standard.</w:t>
      </w:r>
    </w:p>
    <w:tbl>
      <w:tblPr>
        <w:tblStyle w:val="Table"/>
        <w:tblW w:type="pct" w:w="4167"/>
        <w:tblLayout w:type="fixed"/>
        <w:tblLook w:firstRow="1" w:lastRow="0" w:firstColumn="0" w:lastColumn="0" w:noHBand="0" w:noVBand="0" w:val="0020"/>
      </w:tblPr>
      <w:tblGrid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jc w:val="left"/>
            </w:pPr>
            <w:r>
              <w:t xml:space="preserve">term</w:t>
            </w:r>
          </w:p>
          <w:p>
            <w:pPr>
              <w:jc w:val="left"/>
            </w:pPr>
            <w:r>
              <w:t xml:space="preserve">&lt;chr&gt;</w:t>
            </w:r>
          </w:p>
        </w:tc>
        <w:tc>
          <w:tcPr/>
          <w:p>
            <w:pPr>
              <w:jc w:val="right"/>
            </w:pPr>
            <w:r>
              <w:t xml:space="preserve">estimate</w:t>
            </w:r>
          </w:p>
          <w:p>
            <w:pPr>
              <w:jc w:val="right"/>
            </w:pPr>
            <w:r>
              <w:t xml:space="preserve">&lt;dbl&gt;</w:t>
            </w:r>
          </w:p>
        </w:tc>
        <w:tc>
          <w:tcPr/>
          <w:p>
            <w:pPr>
              <w:jc w:val="right"/>
            </w:pPr>
            <w:r>
              <w:t xml:space="preserve">s</w:t>
            </w:r>
            <w:r>
              <w:t xml:space="preserve"> </w:t>
            </w:r>
            <w:r>
              <w:t xml:space="preserve">td.error</w:t>
            </w:r>
          </w:p>
          <w:p>
            <w:pPr>
              <w:jc w:val="right"/>
            </w:pPr>
            <w:r>
              <w:t xml:space="preserve">&lt;dbl&gt;</w:t>
            </w:r>
          </w:p>
        </w:tc>
        <w:tc>
          <w:tcPr/>
          <w:p>
            <w:pPr>
              <w:jc w:val="right"/>
            </w:pPr>
            <w:r>
              <w:t xml:space="preserve">statistic</w:t>
            </w:r>
          </w:p>
          <w:p>
            <w:pPr>
              <w:jc w:val="right"/>
            </w:pPr>
            <w:r>
              <w:t xml:space="preserve">&lt;dbl&gt;</w:t>
            </w:r>
          </w:p>
        </w:tc>
        <w:tc>
          <w:tcPr/>
          <w:p>
            <w:pPr>
              <w:jc w:val="right"/>
            </w:pPr>
            <w:r>
              <w:t xml:space="preserve">p.value</w:t>
            </w:r>
          </w:p>
          <w:p>
            <w:pPr>
              <w:jc w:val="right"/>
            </w:pPr>
            <w:r>
              <w:t xml:space="preserve">&lt;dbl&gt;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</w:t>
            </w:r>
            <w:r>
              <w:t xml:space="preserve"> </w:t>
            </w:r>
            <w:r>
              <w:t xml:space="preserve">I</w:t>
            </w:r>
            <w:r>
              <w:t xml:space="preserve"> </w:t>
            </w:r>
            <w:r>
              <w:t xml:space="preserve">ntercept)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-2 3 2</w:t>
            </w:r>
            <w:r>
              <w:t xml:space="preserve"> </w:t>
            </w:r>
            <w:r>
              <w:t xml:space="preserve">8.5151515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1 57</w:t>
            </w:r>
            <w:r>
              <w:t xml:space="preserve"> </w:t>
            </w:r>
            <w:r>
              <w:t xml:space="preserve">3.052665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  <w:r>
              <w:t xml:space="preserve"> </w:t>
            </w:r>
            <w:r>
              <w:t xml:space="preserve">.48025251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0.1729390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1.1515152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0.777581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  <w:r>
              <w:t xml:space="preserve"> </w:t>
            </w:r>
            <w:r>
              <w:t xml:space="preserve">.48089418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0.1727716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</w:t>
            </w:r>
            <w:r>
              <w:t xml:space="preserve"> </w:t>
            </w:r>
            <w:r>
              <w:t xml:space="preserve">ABESIOSIS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0.4242424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5.484565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  <w:r>
              <w:t xml:space="preserve"> </w:t>
            </w:r>
            <w:r>
              <w:t xml:space="preserve">.07735207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0.9400358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DENGUE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4.8484848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6.364775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  <w:r>
              <w:t xml:space="preserve"> </w:t>
            </w:r>
            <w:r>
              <w:t xml:space="preserve">.76176850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0.4656907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EHRLICHIA</w:t>
            </w:r>
            <w:r>
              <w:t xml:space="preserve"> </w:t>
            </w:r>
            <w:r>
              <w:t xml:space="preserve">C</w:t>
            </w:r>
            <w:r>
              <w:t xml:space="preserve"> </w:t>
            </w:r>
            <w:r>
              <w:t xml:space="preserve">H</w:t>
            </w:r>
            <w:r>
              <w:t xml:space="preserve"> </w:t>
            </w:r>
            <w:r>
              <w:t xml:space="preserve">AFFEENSIS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5.0000000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5.157889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  <w:r>
              <w:t xml:space="preserve"> </w:t>
            </w:r>
            <w:r>
              <w:t xml:space="preserve">.96938889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0.3576794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EHRLICHIA</w:t>
            </w:r>
            <w:r>
              <w:t xml:space="preserve"> </w:t>
            </w:r>
            <w:r>
              <w:t xml:space="preserve">EWINGII</w:t>
            </w:r>
          </w:p>
        </w:tc>
        <w:tc>
          <w:tcPr/>
          <w:p>
            <w:pPr>
              <w:pStyle w:val="Compact"/>
              <w:numPr>
                <w:ilvl w:val="0"/>
                <w:numId w:val="1014"/>
              </w:numPr>
              <w:jc w:val="right"/>
            </w:pPr>
            <w:r>
              <w:t xml:space="preserve">1.1515152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6.364775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  <w:r>
              <w:t xml:space="preserve"> </w:t>
            </w:r>
            <w:r>
              <w:t xml:space="preserve">.18092002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0.8604390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LYME</w:t>
            </w:r>
            <w:r>
              <w:t xml:space="preserve"> </w:t>
            </w:r>
            <w:r>
              <w:t xml:space="preserve">DISEASE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8.5606061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4.963745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  <w:r>
              <w:t xml:space="preserve"> </w:t>
            </w:r>
            <w:r>
              <w:t xml:space="preserve">.72462659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0.1186814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ROCKY</w:t>
            </w:r>
            <w:r>
              <w:t xml:space="preserve"> </w:t>
            </w:r>
            <w:r>
              <w:t xml:space="preserve">MOUNTAIN</w:t>
            </w:r>
            <w:r>
              <w:t xml:space="preserve"> </w:t>
            </w:r>
            <w:r>
              <w:t xml:space="preserve">SPOTTED</w:t>
            </w:r>
            <w:r>
              <w:t xml:space="preserve"> </w:t>
            </w:r>
            <w:r>
              <w:t xml:space="preserve">FEVER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0.5757576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5.484565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  <w:r>
              <w:t xml:space="preserve"> </w:t>
            </w:r>
            <w:r>
              <w:t xml:space="preserve">.10497781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0.9186958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WEST NILE</w:t>
            </w:r>
            <w:r>
              <w:t xml:space="preserve"> </w:t>
            </w:r>
            <w:r>
              <w:t xml:space="preserve">(WNV)</w:t>
            </w:r>
            <w:r>
              <w:t xml:space="preserve"> </w:t>
            </w:r>
            <w:r>
              <w:t xml:space="preserve">INFECTION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8.2272727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5.593721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  <w:r>
              <w:t xml:space="preserve"> </w:t>
            </w:r>
            <w:r>
              <w:t xml:space="preserve">.47080497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0.1754208</w:t>
            </w:r>
          </w:p>
        </w:tc>
      </w:tr>
    </w:tbl>
    <w:p>
      <w:pPr>
        <w:pStyle w:val="BodyText"/>
      </w:pPr>
      <w:r>
        <w:t xml:space="preserve">9 rows</w:t>
      </w:r>
    </w:p>
    <w:p>
      <w:pPr>
        <w:pStyle w:val="BodyText"/>
      </w:pPr>
      <w:r>
        <w:drawing>
          <wp:inline>
            <wp:extent cx="5334000" cy="4000499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../../results/supplemental-figures/trend_over_time_by_disease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most interesting finding from the initial modeling was in relation</w:t>
      </w:r>
      <w:r>
        <w:t xml:space="preserve"> </w:t>
      </w:r>
      <w:r>
        <w:t xml:space="preserve">to the data completeness research question. In modeling the differences</w:t>
      </w:r>
      <w:r>
        <w:t xml:space="preserve"> </w:t>
      </w:r>
      <w:r>
        <w:t xml:space="preserve">across time in whether a final STATUS was inputted rather than left</w:t>
      </w:r>
      <w:r>
        <w:t xml:space="preserve"> </w:t>
      </w:r>
      <w:r>
        <w:t xml:space="preserve">blank, a general decrease was seen across the full 2018-2024 time scale.</w:t>
      </w:r>
      <w:r>
        <w:t xml:space="preserve"> </w:t>
      </w:r>
      <w:r>
        <w:t xml:space="preserve">Specifically, completion rates of the reporting form were approximately</w:t>
      </w:r>
      <w:r>
        <w:t xml:space="preserve"> </w:t>
      </w:r>
      <w:r>
        <w:t xml:space="preserve">50% in 2018 but dropped rapidly to 20% in 2019– around which the rate</w:t>
      </w:r>
      <w:r>
        <w:t xml:space="preserve"> </w:t>
      </w:r>
      <w:r>
        <w:t xml:space="preserve">of completeness has hovered since 2019. However, in linear modeling, the</w:t>
      </w:r>
      <w:r>
        <w:t xml:space="preserve"> </w:t>
      </w:r>
      <w:r>
        <w:t xml:space="preserve">changes across time in the aggregate, p &gt; 0.05, meaning observed</w:t>
      </w:r>
      <w:r>
        <w:t xml:space="preserve"> </w:t>
      </w:r>
      <w:r>
        <w:t xml:space="preserve">differences from year to year were not statistically significant.</w:t>
      </w:r>
    </w:p>
    <w:p>
      <w:pPr>
        <w:pStyle w:val="BodyText"/>
      </w:pPr>
      <w:r>
        <w:drawing>
          <wp:inline>
            <wp:extent cx="5334000" cy="4000499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../../results/supplemental-figures/completeness_over_time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3125"/>
        <w:tblLayout w:type="fixed"/>
        <w:tblLook w:firstRow="1" w:lastRow="0" w:firstColumn="0" w:lastColumn="0" w:noHBand="0" w:noVBand="0" w:val="0020"/>
      </w:tblPr>
      <w:tblGrid>
        <w:gridCol w:w="990"/>
        <w:gridCol w:w="990"/>
        <w:gridCol w:w="990"/>
        <w:gridCol w:w="990"/>
        <w:gridCol w:w="990"/>
      </w:tblGrid>
      <w:tr>
        <w:trPr>
          <w:tblHeader w:val="on"/>
        </w:trPr>
        <w:tc>
          <w:tcPr/>
          <w:p>
            <w:pPr>
              <w:jc w:val="left"/>
            </w:pPr>
            <w:r>
              <w:t xml:space="preserve">term</w:t>
            </w:r>
          </w:p>
          <w:p>
            <w:pPr>
              <w:jc w:val="left"/>
            </w:pPr>
            <w:r>
              <w:br/>
            </w:r>
            <w:r>
              <w:t xml:space="preserve">&lt;chr&gt;</w:t>
            </w:r>
          </w:p>
        </w:tc>
        <w:tc>
          <w:tcPr/>
          <w:p>
            <w:pPr>
              <w:jc w:val="right"/>
            </w:pPr>
            <w:r>
              <w:t xml:space="preserve">e</w:t>
            </w:r>
            <w:r>
              <w:t xml:space="preserve"> </w:t>
            </w:r>
            <w:r>
              <w:t xml:space="preserve">s</w:t>
            </w:r>
            <w:r>
              <w:t xml:space="preserve"> </w:t>
            </w:r>
            <w:r>
              <w:t xml:space="preserve">timate</w:t>
            </w:r>
          </w:p>
          <w:p>
            <w:pPr>
              <w:jc w:val="right"/>
            </w:pPr>
            <w:r>
              <w:br/>
            </w:r>
            <w:r>
              <w:t xml:space="preserve">&lt;dbl&gt;</w:t>
            </w:r>
          </w:p>
        </w:tc>
        <w:tc>
          <w:tcPr/>
          <w:p>
            <w:pPr>
              <w:jc w:val="right"/>
            </w:pPr>
            <w:r>
              <w:t xml:space="preserve">s t</w:t>
            </w:r>
            <w:r>
              <w:t xml:space="preserve"> </w:t>
            </w:r>
            <w:r>
              <w:t xml:space="preserve">d</w:t>
            </w:r>
            <w:r>
              <w:t xml:space="preserve"> </w:t>
            </w:r>
            <w:r>
              <w:t xml:space="preserve">.error</w:t>
            </w:r>
          </w:p>
          <w:p>
            <w:pPr>
              <w:jc w:val="right"/>
            </w:pPr>
            <w:r>
              <w:br/>
            </w:r>
            <w:r>
              <w:t xml:space="preserve">&lt;dbl&gt;</w:t>
            </w:r>
          </w:p>
        </w:tc>
        <w:tc>
          <w:tcPr/>
          <w:p>
            <w:pPr>
              <w:jc w:val="right"/>
            </w:pPr>
            <w:r>
              <w:t xml:space="preserve">s t</w:t>
            </w:r>
            <w:r>
              <w:t xml:space="preserve"> </w:t>
            </w:r>
            <w:r>
              <w:t xml:space="preserve">a</w:t>
            </w:r>
            <w:r>
              <w:t xml:space="preserve"> </w:t>
            </w:r>
            <w:r>
              <w:t xml:space="preserve">tistic</w:t>
            </w:r>
          </w:p>
          <w:p>
            <w:pPr>
              <w:jc w:val="right"/>
            </w:pPr>
            <w:r>
              <w:br/>
            </w:r>
            <w:r>
              <w:t xml:space="preserve">&lt;dbl&gt;</w:t>
            </w:r>
          </w:p>
        </w:tc>
        <w:tc>
          <w:tcPr/>
          <w:p>
            <w:pPr>
              <w:jc w:val="right"/>
            </w:pPr>
            <w:r>
              <w:t xml:space="preserve">p</w:t>
            </w:r>
            <w:r>
              <w:t xml:space="preserve"> </w:t>
            </w:r>
            <w:r>
              <w:t xml:space="preserve">.value</w:t>
            </w:r>
          </w:p>
          <w:p>
            <w:pPr>
              <w:jc w:val="right"/>
            </w:pPr>
            <w:r>
              <w:br/>
            </w:r>
            <w:r>
              <w:t xml:space="preserve">&lt;dbl&gt;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 I n</w:t>
            </w:r>
            <w:r>
              <w:t xml:space="preserve"> </w:t>
            </w:r>
            <w:r>
              <w:t xml:space="preserve">t</w:t>
            </w:r>
            <w:r>
              <w:t xml:space="preserve"> </w:t>
            </w:r>
            <w:r>
              <w:t xml:space="preserve">e</w:t>
            </w:r>
            <w:r>
              <w:t xml:space="preserve"> </w:t>
            </w:r>
            <w:r>
              <w:t xml:space="preserve">rcept)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9 9 3</w:t>
            </w:r>
            <w:r>
              <w:t xml:space="preserve"> </w:t>
            </w:r>
            <w:r>
              <w:t xml:space="preserve">5</w:t>
            </w:r>
            <w:r>
              <w:t xml:space="preserve"> </w:t>
            </w:r>
            <w:r>
              <w:t xml:space="preserve">.</w:t>
            </w:r>
            <w:r>
              <w:t xml:space="preserve"> </w:t>
            </w:r>
            <w:r>
              <w:t xml:space="preserve">267857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5 7 2</w:t>
            </w:r>
            <w:r>
              <w:t xml:space="preserve"> </w:t>
            </w:r>
            <w:r>
              <w:t xml:space="preserve">9</w:t>
            </w:r>
            <w:r>
              <w:t xml:space="preserve"> </w:t>
            </w:r>
            <w:r>
              <w:t xml:space="preserve">.</w:t>
            </w:r>
            <w:r>
              <w:t xml:space="preserve"> </w:t>
            </w:r>
            <w:r>
              <w:t xml:space="preserve">946482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  <w:r>
              <w:t xml:space="preserve"> </w:t>
            </w:r>
            <w:r>
              <w:t xml:space="preserve">.</w:t>
            </w:r>
            <w:r>
              <w:t xml:space="preserve"> </w:t>
            </w:r>
            <w:r>
              <w:t xml:space="preserve">733920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0 .</w:t>
            </w:r>
            <w:r>
              <w:t xml:space="preserve"> </w:t>
            </w:r>
            <w:r>
              <w:t xml:space="preserve">1</w:t>
            </w:r>
            <w:r>
              <w:t xml:space="preserve"> </w:t>
            </w:r>
            <w:r>
              <w:t xml:space="preserve">434648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YEAR</w:t>
            </w:r>
          </w:p>
        </w:tc>
        <w:tc>
          <w:tcPr/>
          <w:p>
            <w:pPr>
              <w:pStyle w:val="Compact"/>
              <w:numPr>
                <w:ilvl w:val="0"/>
                <w:numId w:val="1015"/>
              </w:numPr>
              <w:jc w:val="right"/>
            </w:pPr>
            <w:r>
              <w:t xml:space="preserve">4</w:t>
            </w:r>
            <w:r>
              <w:t xml:space="preserve"> </w:t>
            </w:r>
            <w:r>
              <w:t xml:space="preserve">.</w:t>
            </w:r>
            <w:r>
              <w:t xml:space="preserve"> </w:t>
            </w:r>
            <w:r>
              <w:t xml:space="preserve">910714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  <w:r>
              <w:t xml:space="preserve"> </w:t>
            </w:r>
            <w:r>
              <w:t xml:space="preserve">.</w:t>
            </w:r>
            <w:r>
              <w:t xml:space="preserve"> </w:t>
            </w:r>
            <w:r>
              <w:t xml:space="preserve">835202</w:t>
            </w:r>
          </w:p>
        </w:tc>
        <w:tc>
          <w:tcPr/>
          <w:p>
            <w:pPr>
              <w:pStyle w:val="Compact"/>
              <w:numPr>
                <w:ilvl w:val="0"/>
                <w:numId w:val="1016"/>
              </w:numPr>
              <w:jc w:val="right"/>
            </w:pPr>
            <w:r>
              <w:t xml:space="preserve">1</w:t>
            </w:r>
            <w:r>
              <w:t xml:space="preserve"> </w:t>
            </w:r>
            <w:r>
              <w:t xml:space="preserve">.</w:t>
            </w:r>
            <w:r>
              <w:t xml:space="preserve"> </w:t>
            </w:r>
            <w:r>
              <w:t xml:space="preserve">732051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0 .</w:t>
            </w:r>
            <w:r>
              <w:t xml:space="preserve"> </w:t>
            </w:r>
            <w:r>
              <w:t xml:space="preserve">1</w:t>
            </w:r>
            <w:r>
              <w:t xml:space="preserve"> </w:t>
            </w:r>
            <w:r>
              <w:t xml:space="preserve">438108</w:t>
            </w:r>
          </w:p>
        </w:tc>
      </w:tr>
    </w:tbl>
    <w:p>
      <w:pPr>
        <w:pStyle w:val="BodyText"/>
      </w:pPr>
      <w:r>
        <w:t xml:space="preserve">2 rows</w:t>
      </w:r>
    </w:p>
    <w:p>
      <w:pPr>
        <w:pStyle w:val="BodyText"/>
      </w:pPr>
      <w:r>
        <w:t xml:space="preserve">On a positive note for the utilization of the reporting system and</w:t>
      </w:r>
      <w:r>
        <w:t xml:space="preserve"> </w:t>
      </w:r>
      <w:r>
        <w:t xml:space="preserve">trends towards better tick-borne disease response, there has been</w:t>
      </w:r>
      <w:r>
        <w:t xml:space="preserve"> </w:t>
      </w:r>
      <w:r>
        <w:t xml:space="preserve">statistically significant decreases in the time between onset and an</w:t>
      </w:r>
      <w:r>
        <w:t xml:space="preserve"> </w:t>
      </w:r>
      <w:r>
        <w:t xml:space="preserve">initial lab visit/interaction. In 2018, the average time between these</w:t>
      </w:r>
      <w:r>
        <w:t xml:space="preserve"> </w:t>
      </w:r>
      <w:r>
        <w:t xml:space="preserve">two occurrences ranged from approximately 150-520 days. With marked</w:t>
      </w:r>
      <w:r>
        <w:t xml:space="preserve"> </w:t>
      </w:r>
      <w:r>
        <w:t xml:space="preserve">decreases, the 2024 data indicates that patients with tick-borne disease</w:t>
      </w:r>
      <w:r>
        <w:t xml:space="preserve"> </w:t>
      </w:r>
      <w:r>
        <w:t xml:space="preserve">occurrences may be interacting with providers or lab testing in the same</w:t>
      </w:r>
      <w:r>
        <w:t xml:space="preserve"> </w:t>
      </w:r>
      <w:r>
        <w:t xml:space="preserve">month, same week or even same day.</w:t>
      </w:r>
    </w:p>
    <w:p>
      <w:pPr>
        <w:pStyle w:val="BodyText"/>
      </w:pPr>
      <w:r>
        <w:drawing>
          <wp:inline>
            <wp:extent cx="5334000" cy="4000499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./../results/supplemental-figures/days_to_lab_over_time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5" w:name="further-statistical-analysis"/>
    <w:p>
      <w:pPr>
        <w:pStyle w:val="Heading2"/>
      </w:pPr>
      <w:r>
        <w:t xml:space="preserve">6.2 5.2 Further Statistical Analysis</w:t>
      </w:r>
    </w:p>
    <w:p>
      <w:pPr>
        <w:pStyle w:val="FirstParagraph"/>
      </w:pPr>
      <w:r>
        <w:t xml:space="preserve">To assess whether delays in disease follow-up could be predicted based</w:t>
      </w:r>
      <w:r>
        <w:t xml:space="preserve"> </w:t>
      </w:r>
      <w:r>
        <w:t xml:space="preserve">on demographic or case-specific factors, a binary classification</w:t>
      </w:r>
      <w:r>
        <w:t xml:space="preserve"> </w:t>
      </w:r>
      <w:r>
        <w:t xml:space="preserve">variable (</w:t>
      </w:r>
      <w:r>
        <w:rPr>
          <w:rStyle w:val="VerbatimChar"/>
        </w:rPr>
        <w:t xml:space="preserve">delay_over_threshold</w:t>
      </w:r>
      <w:r>
        <w:t xml:space="preserve">) was created. This variable indicates</w:t>
      </w:r>
      <w:r>
        <w:t xml:space="preserve"> </w:t>
      </w:r>
      <w:r>
        <w:t xml:space="preserve">whether the total case duration—from symptom onset to final</w:t>
      </w:r>
      <w:r>
        <w:t xml:space="preserve"> </w:t>
      </w:r>
      <w:r>
        <w:t xml:space="preserve">update—exceeded 30 days. The outcome was treated as a binary factor (1 =</w:t>
      </w:r>
      <w:r>
        <w:t xml:space="preserve"> </w:t>
      </w:r>
      <w:r>
        <w:t xml:space="preserve">delay &gt; 30 days, 0 = delay ≤ 30 days) and used as the target variable</w:t>
      </w:r>
      <w:r>
        <w:t xml:space="preserve"> </w:t>
      </w:r>
      <w:r>
        <w:t xml:space="preserve">for modeling.</w:t>
      </w:r>
    </w:p>
    <w:p>
      <w:pPr>
        <w:pStyle w:val="BodyText"/>
      </w:pPr>
      <w:r>
        <w:t xml:space="preserve">Predictors included:</w:t>
      </w:r>
    </w:p>
    <w:p>
      <w:pPr>
        <w:numPr>
          <w:ilvl w:val="0"/>
          <w:numId w:val="1017"/>
        </w:numPr>
      </w:pPr>
      <w:r>
        <w:t xml:space="preserve">AGE: Patient’s age at time of case entry</w:t>
      </w:r>
    </w:p>
    <w:p>
      <w:pPr>
        <w:numPr>
          <w:ilvl w:val="0"/>
          <w:numId w:val="1017"/>
        </w:numPr>
      </w:pPr>
      <w:r>
        <w:t xml:space="preserve">SEX: Reported gender</w:t>
      </w:r>
    </w:p>
    <w:p>
      <w:pPr>
        <w:numPr>
          <w:ilvl w:val="0"/>
          <w:numId w:val="1017"/>
        </w:numPr>
      </w:pPr>
      <w:r>
        <w:t xml:space="preserve">COUNTY: County of residence</w:t>
      </w:r>
    </w:p>
    <w:p>
      <w:pPr>
        <w:numPr>
          <w:ilvl w:val="0"/>
          <w:numId w:val="1017"/>
        </w:numPr>
      </w:pPr>
      <w:r>
        <w:t xml:space="preserve">DISEASE: Tick-borne disease type (e.g., Ehrlichiosis, Lyme disease,</w:t>
      </w:r>
      <w:r>
        <w:t xml:space="preserve"> </w:t>
      </w:r>
      <w:r>
        <w:t xml:space="preserve">RMSF)</w:t>
      </w:r>
    </w:p>
    <w:p>
      <w:pPr>
        <w:pStyle w:val="FirstParagraph"/>
      </w:pPr>
      <w:r>
        <w:t xml:space="preserve">These predictors were selected based on their relevance to health access</w:t>
      </w:r>
      <w:r>
        <w:t xml:space="preserve"> </w:t>
      </w:r>
      <w:r>
        <w:t xml:space="preserve">and geographic exposure patterns. All categorical variables were</w:t>
      </w:r>
      <w:r>
        <w:t xml:space="preserve"> </w:t>
      </w:r>
      <w:r>
        <w:t xml:space="preserve">converted into dummy variables for modeling, and the age variable was</w:t>
      </w:r>
      <w:r>
        <w:t xml:space="preserve"> </w:t>
      </w:r>
      <w:r>
        <w:t xml:space="preserve">normalized. Three classification models were trained and evaluated using</w:t>
      </w:r>
      <w:r>
        <w:t xml:space="preserve"> </w:t>
      </w:r>
      <w:r>
        <w:t xml:space="preserve">the </w:t>
      </w:r>
      <w:r>
        <w:rPr>
          <w:rStyle w:val="VerbatimChar"/>
        </w:rPr>
        <w:t xml:space="preserve">tidymodel</w:t>
      </w:r>
      <w:r>
        <w:t xml:space="preserve">framework:</w:t>
      </w:r>
    </w:p>
    <w:p>
      <w:pPr>
        <w:numPr>
          <w:ilvl w:val="0"/>
          <w:numId w:val="1018"/>
        </w:numPr>
      </w:pPr>
      <w:r>
        <w:t xml:space="preserve">Logistic Regression</w:t>
      </w:r>
    </w:p>
    <w:p>
      <w:pPr>
        <w:numPr>
          <w:ilvl w:val="0"/>
          <w:numId w:val="1018"/>
        </w:numPr>
      </w:pPr>
      <w:r>
        <w:t xml:space="preserve">Decision Tree</w:t>
      </w:r>
    </w:p>
    <w:p>
      <w:pPr>
        <w:numPr>
          <w:ilvl w:val="0"/>
          <w:numId w:val="1018"/>
        </w:numPr>
      </w:pPr>
      <w:r>
        <w:t xml:space="preserve">Random Forest</w:t>
      </w:r>
    </w:p>
    <w:p>
      <w:pPr>
        <w:pStyle w:val="FirstParagraph"/>
      </w:pPr>
      <w:r>
        <w:t xml:space="preserve">To evaluate model performance, 5-fold cross-validation was repeated 3</w:t>
      </w:r>
      <w:r>
        <w:t xml:space="preserve"> </w:t>
      </w:r>
      <w:r>
        <w:t xml:space="preserve">times on the training dataset. Model quality was assessed using both</w:t>
      </w:r>
      <w:r>
        <w:t xml:space="preserve"> </w:t>
      </w:r>
      <w:r>
        <w:t xml:space="preserve">accuracy (overall correct classification rate) and area under the ROC</w:t>
      </w:r>
      <w:r>
        <w:t xml:space="preserve"> </w:t>
      </w:r>
      <w:r>
        <w:t xml:space="preserve">curve (AUC), which measures the model’s ability to discriminate between</w:t>
      </w:r>
      <w:r>
        <w:t xml:space="preserve"> </w:t>
      </w:r>
      <w:r>
        <w:t xml:space="preserve">delayed and non-delayed cases.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Accuracy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 AUC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Logistic Regression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72.8%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Decision Tree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77.8%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Random Forest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78.1%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0.68</w:t>
            </w:r>
          </w:p>
        </w:tc>
      </w:tr>
    </w:tbl>
    <w:p>
      <w:pPr>
        <w:pStyle w:val="BodyText"/>
      </w:pPr>
      <w:r>
        <w:t xml:space="preserve">The logistic regression model provided an interpretable baseline with</w:t>
      </w:r>
      <w:r>
        <w:t xml:space="preserve"> </w:t>
      </w:r>
      <w:r>
        <w:t xml:space="preserve">modest discriminatory power (AUC = 0.65). The decision tree achieved</w:t>
      </w:r>
      <w:r>
        <w:t xml:space="preserve"> </w:t>
      </w:r>
      <w:r>
        <w:t xml:space="preserve">higher accuracy but lower AUC, indicating possible overfitting or</w:t>
      </w:r>
      <w:r>
        <w:t xml:space="preserve"> </w:t>
      </w:r>
      <w:r>
        <w:t xml:space="preserve">limited generalizability. The random forest model outperformed the other</w:t>
      </w:r>
      <w:r>
        <w:t xml:space="preserve"> </w:t>
      </w:r>
      <w:r>
        <w:t xml:space="preserve">two in both metrics, achieving 78.1% accuracy and an AUC of 0.68, and</w:t>
      </w:r>
      <w:r>
        <w:t xml:space="preserve"> </w:t>
      </w:r>
      <w:r>
        <w:t xml:space="preserve">was selected as the best-performing model. Given these results, the</w:t>
      </w:r>
      <w:r>
        <w:t xml:space="preserve"> </w:t>
      </w:r>
      <w:r>
        <w:t xml:space="preserve">random forest model was selected for final evaluation on the test data</w:t>
      </w:r>
      <w:r>
        <w:t xml:space="preserve"> </w:t>
      </w:r>
      <w:r>
        <w:t xml:space="preserve">set.</w:t>
      </w:r>
    </w:p>
    <w:p>
      <w:pPr>
        <w:pStyle w:val="BodyText"/>
      </w:pPr>
      <w:r>
        <w:drawing>
          <wp:inline>
            <wp:extent cx="5334000" cy="444500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../../results/supplemental-figures/roc_curve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adding-in-poverty-rate-data-by-county"/>
    <w:p>
      <w:pPr>
        <w:pStyle w:val="Heading2"/>
      </w:pPr>
      <w:r>
        <w:t xml:space="preserve">6.3 5.3 Adding in Poverty Rate Data by County</w:t>
      </w:r>
    </w:p>
    <w:p>
      <w:pPr>
        <w:pStyle w:val="FirstParagraph"/>
      </w:pPr>
      <w:r>
        <w:t xml:space="preserve">Now, I was curious. Reflecting back on the EDA analysis and the stark</w:t>
      </w:r>
      <w:r>
        <w:t xml:space="preserve"> </w:t>
      </w:r>
      <w:r>
        <w:t xml:space="preserve">differences in county and cases, if the modeling of delay would better</w:t>
      </w:r>
      <w:r>
        <w:t xml:space="preserve"> </w:t>
      </w:r>
      <w:r>
        <w:t xml:space="preserve">predicted if we merged county-level poverty rate data. This poverty rate</w:t>
      </w:r>
      <w:r>
        <w:t xml:space="preserve"> </w:t>
      </w:r>
      <w:r>
        <w:t xml:space="preserve">data is reasonable, potential structural determinant of diagnostic delay</w:t>
      </w:r>
      <w:r>
        <w:t xml:space="preserve"> </w:t>
      </w:r>
      <w:r>
        <w:t xml:space="preserve">due to persistent healthcare inequities. This variable was included in</w:t>
      </w:r>
      <w:r>
        <w:t xml:space="preserve"> </w:t>
      </w:r>
      <w:r>
        <w:t xml:space="preserve">model training alongside demographic and disease characteristics.</w:t>
      </w:r>
      <w:r>
        <w:t xml:space="preserve"> </w:t>
      </w:r>
      <w:r>
        <w:t xml:space="preserve">Preprocessing steps were updated accordingly, and models were</w:t>
      </w:r>
      <w:r>
        <w:t xml:space="preserve"> </w:t>
      </w:r>
      <w:r>
        <w:t xml:space="preserve">re-evaluated using the same cross-validation and test evaluation</w:t>
      </w:r>
      <w:r>
        <w:t xml:space="preserve"> </w:t>
      </w:r>
      <w:r>
        <w:t xml:space="preserve">procedures to assess any added predictive value.</w:t>
      </w:r>
    </w:p>
    <w:p>
      <w:pPr>
        <w:pStyle w:val="BodyText"/>
      </w:pPr>
      <w:r>
        <w:t xml:space="preserve">County-level poverty rate was evaluated as a predictor of whether a</w:t>
      </w:r>
      <w:r>
        <w:t xml:space="preserve"> </w:t>
      </w:r>
      <w:r>
        <w:t xml:space="preserve">county had a high proportion of cases with diagnostic delays exceeding</w:t>
      </w:r>
      <w:r>
        <w:t xml:space="preserve"> </w:t>
      </w:r>
      <w:r>
        <w:t xml:space="preserve">30 days. A random forest classification model using only poverty rate as</w:t>
      </w:r>
      <w:r>
        <w:t xml:space="preserve"> </w:t>
      </w:r>
      <w:r>
        <w:t xml:space="preserve">a predictor achieved 88.4% accuracy, but its ability to discriminate</w:t>
      </w:r>
      <w:r>
        <w:t xml:space="preserve"> </w:t>
      </w:r>
      <w:r>
        <w:t xml:space="preserve">between delayed and non-delayed counties was poor (ROC AUC = 0.46). This</w:t>
      </w:r>
      <w:r>
        <w:t xml:space="preserve"> </w:t>
      </w:r>
      <w:r>
        <w:t xml:space="preserve">suggests that although the model often guessed the majority class</w:t>
      </w:r>
      <w:r>
        <w:t xml:space="preserve"> </w:t>
      </w:r>
      <w:r>
        <w:t xml:space="preserve">correctly, it lacked the ability to meaningfully differentiate high-risk</w:t>
      </w:r>
      <w:r>
        <w:t xml:space="preserve"> </w:t>
      </w:r>
      <w:r>
        <w:t xml:space="preserve">counties.</w:t>
      </w:r>
    </w:p>
    <w:p>
      <w:pPr>
        <w:pStyle w:val="BodyText"/>
      </w:pPr>
      <w:r>
        <w:t xml:space="preserve">Similarly, a linear regression model found no statistically significant</w:t>
      </w:r>
      <w:r>
        <w:t xml:space="preserve"> </w:t>
      </w:r>
      <w:r>
        <w:t xml:space="preserve">association between poverty rate and delay rate (p = 0.87, β = 0.0049).</w:t>
      </w:r>
      <w:r>
        <w:t xml:space="preserve"> </w:t>
      </w:r>
      <w:r>
        <w:t xml:space="preserve">The random forest regression model explained less than 4% of the</w:t>
      </w:r>
      <w:r>
        <w:t xml:space="preserve"> </w:t>
      </w:r>
      <w:r>
        <w:t xml:space="preserve">variance in delay rates (R² = 0.038) with a relatively high prediction</w:t>
      </w:r>
      <w:r>
        <w:t xml:space="preserve"> </w:t>
      </w:r>
      <w:r>
        <w:t xml:space="preserve">error (RMSE = 0.37).</w:t>
      </w:r>
    </w:p>
    <w:tbl>
      <w:tblPr>
        <w:tblStyle w:val="Table"/>
        <w:tblW w:type="pct" w:w="4167"/>
        <w:tblLayout w:type="fixed"/>
        <w:tblLook w:firstRow="0" w:lastRow="0" w:firstColumn="0" w:lastColumn="0" w:noHBand="0" w:noVBand="0" w:val="0000"/>
      </w:tblPr>
      <w:tblGrid>
        <w:gridCol w:w="1650"/>
        <w:gridCol w:w="1650"/>
        <w:gridCol w:w="1650"/>
        <w:gridCol w:w="1650"/>
      </w:tblGrid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p>
      <w:r>
        <w:br w:type="page"/>
      </w:r>
    </w:p>
    <w:bookmarkEnd w:id="76"/>
    <w:bookmarkEnd w:id="77"/>
    <w:bookmarkStart w:id="81" w:name="discussion"/>
    <w:p>
      <w:pPr>
        <w:pStyle w:val="Heading1"/>
      </w:pPr>
      <w:r>
        <w:t xml:space="preserve">7. 6. Discussion</w:t>
      </w:r>
    </w:p>
    <w:bookmarkStart w:id="79" w:name="summary-and-interpretation"/>
    <w:p>
      <w:pPr>
        <w:pStyle w:val="Heading2"/>
      </w:pPr>
      <w:r>
        <w:t xml:space="preserve">7.1 6.1 Summary and Interpretation</w:t>
      </w:r>
    </w:p>
    <w:p>
      <w:pPr>
        <w:pStyle w:val="FirstParagraph"/>
      </w:pPr>
      <w:r>
        <w:t xml:space="preserve">The random forest model for the modeling of delay as an outcome all</w:t>
      </w:r>
      <w:r>
        <w:t xml:space="preserve"> </w:t>
      </w:r>
      <w:r>
        <w:t xml:space="preserve">predictors selected from cross-validation was refitted to the full</w:t>
      </w:r>
      <w:r>
        <w:t xml:space="preserve"> </w:t>
      </w:r>
      <w:r>
        <w:t xml:space="preserve">training data and evaluated on the reserved 20% test dataset to assess</w:t>
      </w:r>
      <w:r>
        <w:t xml:space="preserve"> </w:t>
      </w:r>
      <w:r>
        <w:t xml:space="preserve">generalizability. On this unseen data, the model achieved an accuracy of</w:t>
      </w:r>
      <w:r>
        <w:t xml:space="preserve"> </w:t>
      </w:r>
      <w:r>
        <w:t xml:space="preserve">74.7%, meaning nearly three-quarters of tick-borne disease cases were</w:t>
      </w:r>
      <w:r>
        <w:t xml:space="preserve"> </w:t>
      </w:r>
      <w:r>
        <w:t xml:space="preserve">correctly classified as having experienced delayed (&gt;30 day) or</w:t>
      </w:r>
      <w:r>
        <w:t xml:space="preserve"> </w:t>
      </w:r>
      <w:r>
        <w:t xml:space="preserve">non-delayed follow-up. The model’s ability to discriminate between</w:t>
      </w:r>
      <w:r>
        <w:t xml:space="preserve"> </w:t>
      </w:r>
      <w:r>
        <w:t xml:space="preserve">delayed and non-delayed cases was moderate, with an area under the</w:t>
      </w:r>
      <w:r>
        <w:t xml:space="preserve"> </w:t>
      </w:r>
      <w:r>
        <w:t xml:space="preserve">receiver operating characteristic (ROC) curve of 0.688, closely</w:t>
      </w:r>
      <w:r>
        <w:t xml:space="preserve"> </w:t>
      </w:r>
      <w:r>
        <w:t xml:space="preserve">mirroring performance observed during cross-validation.</w:t>
      </w:r>
    </w:p>
    <w:p>
      <w:pPr>
        <w:pStyle w:val="BodyText"/>
      </w:pPr>
      <w:r>
        <w:t xml:space="preserve">The ROC curve showed consistent separation between sensitivity and</w:t>
      </w:r>
      <w:r>
        <w:t xml:space="preserve"> </w:t>
      </w:r>
      <w:r>
        <w:t xml:space="preserve">1-specificity, further supporting model validity. These results suggest</w:t>
      </w:r>
      <w:r>
        <w:t xml:space="preserve"> </w:t>
      </w:r>
      <w:r>
        <w:t xml:space="preserve">that case characteristics such as age, sex, county, and disease type</w:t>
      </w:r>
      <w:r>
        <w:t xml:space="preserve"> </w:t>
      </w:r>
      <w:r>
        <w:t xml:space="preserve">contain meaningful predictive information regarding follow-up delays in</w:t>
      </w:r>
      <w:r>
        <w:t xml:space="preserve"> </w:t>
      </w:r>
      <w:r>
        <w:t xml:space="preserve">surveillance data.Such insights can inform improvements in case</w:t>
      </w:r>
      <w:r>
        <w:t xml:space="preserve"> </w:t>
      </w:r>
      <w:r>
        <w:t xml:space="preserve">monitoring, triaging, and outreach in counties or patient groups with</w:t>
      </w:r>
      <w:r>
        <w:t xml:space="preserve"> </w:t>
      </w:r>
      <w:r>
        <w:t xml:space="preserve">higher risk for delays.</w:t>
      </w:r>
    </w:p>
    <w:p>
      <w:pPr>
        <w:pStyle w:val="BodyText"/>
      </w:pPr>
      <w:r>
        <w:t xml:space="preserve">County-level poverty rate was evaluated as a predictor of the proportion</w:t>
      </w:r>
      <w:r>
        <w:t xml:space="preserve"> </w:t>
      </w:r>
      <w:r>
        <w:t xml:space="preserve">of cases with diagnostic delays exceeding 30 days. A linear regression</w:t>
      </w:r>
      <w:r>
        <w:t xml:space="preserve"> </w:t>
      </w:r>
      <w:r>
        <w:t xml:space="preserve">model indicated no statistically significant relationship between</w:t>
      </w:r>
      <w:r>
        <w:t xml:space="preserve"> </w:t>
      </w:r>
      <w:r>
        <w:t xml:space="preserve">poverty rate and delay rate (p = 0.87). The estimated effect size was</w:t>
      </w:r>
      <w:r>
        <w:t xml:space="preserve"> </w:t>
      </w:r>
      <w:r>
        <w:t xml:space="preserve">minimal (β = 0.0049), and the 95% confidence interval included zero.</w:t>
      </w:r>
    </w:p>
    <w:p>
      <w:pPr>
        <w:pStyle w:val="BodyText"/>
      </w:pPr>
      <w:r>
        <w:t xml:space="preserve">A random forest regression model using the same predictor resulted in</w:t>
      </w:r>
      <w:r>
        <w:t xml:space="preserve"> </w:t>
      </w:r>
      <w:r>
        <w:t xml:space="preserve">low predictive performance. The R² was 0.038, indicating that poverty</w:t>
      </w:r>
      <w:r>
        <w:t xml:space="preserve"> </w:t>
      </w:r>
      <w:r>
        <w:t xml:space="preserve">rate explained less than 4% of the variance in delay rate across</w:t>
      </w:r>
      <w:r>
        <w:t xml:space="preserve"> </w:t>
      </w:r>
      <w:r>
        <w:t xml:space="preserve">counties. The RMSE was 0.37, reflecting high residual error in</w:t>
      </w:r>
      <w:r>
        <w:t xml:space="preserve"> </w:t>
      </w:r>
      <w:r>
        <w:t xml:space="preserve">predicting delay proportions.</w:t>
      </w:r>
    </w:p>
    <w:p>
      <w:pPr>
        <w:pStyle w:val="BodyText"/>
      </w:pPr>
      <w:r>
        <w:t xml:space="preserve">In comparison, the earlier classification models using individual-level</w:t>
      </w:r>
      <w:r>
        <w:t xml:space="preserve"> </w:t>
      </w:r>
      <w:r>
        <w:t xml:space="preserve">predictors (e.g., age, sex, disease type, county) performed considerably</w:t>
      </w:r>
      <w:r>
        <w:t xml:space="preserve"> </w:t>
      </w:r>
      <w:r>
        <w:t xml:space="preserve">better in both accuracy and AUC, suggesting that county-level poverty</w:t>
      </w:r>
      <w:r>
        <w:t xml:space="preserve"> </w:t>
      </w:r>
      <w:r>
        <w:t xml:space="preserve">alone does not substantially contribute to explaining or predicting</w:t>
      </w:r>
      <w:r>
        <w:t xml:space="preserve"> </w:t>
      </w:r>
      <w:r>
        <w:t xml:space="preserve">diagnostic delays in this dataset.</w:t>
      </w:r>
    </w:p>
    <w:bookmarkStart w:id="78" w:name="what-this-means"/>
    <w:p>
      <w:pPr>
        <w:pStyle w:val="Heading3"/>
      </w:pPr>
      <w:r>
        <w:t xml:space="preserve">7.1.1 What this means:</w:t>
      </w:r>
    </w:p>
    <w:p>
      <w:pPr>
        <w:numPr>
          <w:ilvl w:val="0"/>
          <w:numId w:val="1019"/>
        </w:numPr>
      </w:pPr>
      <w:r>
        <w:t xml:space="preserve">The poverty-only model had higher accuracy, but a lower ROC AUC.</w:t>
      </w:r>
    </w:p>
    <w:p>
      <w:pPr>
        <w:numPr>
          <w:ilvl w:val="0"/>
          <w:numId w:val="1019"/>
        </w:numPr>
      </w:pPr>
      <w:r>
        <w:t xml:space="preserve">Accuracy tells us how often the model got it right — so poverty</w:t>
      </w:r>
      <w:r>
        <w:t xml:space="preserve"> </w:t>
      </w:r>
      <w:r>
        <w:t xml:space="preserve">alone seems to classify</w:t>
      </w:r>
      <w:r>
        <w:t xml:space="preserve"> </w:t>
      </w:r>
      <w:r>
        <w:t xml:space="preserve">“</w:t>
      </w:r>
      <w:r>
        <w:t xml:space="preserve">delay</w:t>
      </w:r>
      <w:r>
        <w:t xml:space="preserve">”</w:t>
      </w:r>
      <w:r>
        <w:t xml:space="preserve"> </w:t>
      </w:r>
      <w:r>
        <w:t xml:space="preserve">correctly most of the time.</w:t>
      </w:r>
    </w:p>
    <w:p>
      <w:pPr>
        <w:numPr>
          <w:ilvl w:val="0"/>
          <w:numId w:val="1019"/>
        </w:numPr>
      </w:pPr>
      <w:r>
        <w:t xml:space="preserve">However, the low ROC AUC suggests that the model struggles to rank</w:t>
      </w:r>
      <w:r>
        <w:t xml:space="preserve"> </w:t>
      </w:r>
      <w:r>
        <w:t xml:space="preserve">cases by risk — in other words, it doesn’t distinguish well between</w:t>
      </w:r>
      <w:r>
        <w:t xml:space="preserve"> </w:t>
      </w:r>
      <w:r>
        <w:t xml:space="preserve">high and low risk of delay.</w:t>
      </w:r>
    </w:p>
    <w:p>
      <w:pPr>
        <w:numPr>
          <w:ilvl w:val="0"/>
          <w:numId w:val="1019"/>
        </w:numPr>
      </w:pPr>
      <w:r>
        <w:t xml:space="preserve">The all-predictors model performed more balanced, with a decent</w:t>
      </w:r>
      <w:r>
        <w:t xml:space="preserve"> </w:t>
      </w:r>
      <w:r>
        <w:t xml:space="preserve">accuracy and a stronger ROC AUC, meaning it did a better</w:t>
      </w:r>
      <w:r>
        <w:t xml:space="preserve"> </w:t>
      </w:r>
      <w:r>
        <w:t xml:space="preserve">job discriminating between delayed and non-delayed cases.</w:t>
      </w:r>
    </w:p>
    <w:tbl>
      <w:tblPr>
        <w:tblStyle w:val="Table"/>
        <w:tblW w:type="pct" w:w="4167"/>
        <w:tblLayout w:type="fixed"/>
        <w:tblLook w:firstRow="1" w:lastRow="0" w:firstColumn="0" w:lastColumn="0" w:noHBand="0" w:noVBand="0" w:val="0020"/>
      </w:tblPr>
      <w:tblGrid>
        <w:gridCol w:w="1650"/>
        <w:gridCol w:w="1650"/>
        <w:gridCol w:w="1650"/>
        <w:gridCol w:w="165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Model 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Predictors</w:t>
            </w:r>
            <w:r>
              <w:t xml:space="preserve"> </w:t>
            </w:r>
            <w:r>
              <w:t xml:space="preserve">Used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Accuracy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 AUC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Random</w:t>
            </w:r>
            <w:r>
              <w:t xml:space="preserve"> </w:t>
            </w:r>
            <w:r>
              <w:t xml:space="preserve">Forest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Age, Sex,</w:t>
            </w:r>
            <w:r>
              <w:t xml:space="preserve"> </w:t>
            </w:r>
            <w:r>
              <w:t xml:space="preserve">County,</w:t>
            </w:r>
            <w:r>
              <w:t xml:space="preserve"> </w:t>
            </w:r>
            <w:r>
              <w:t xml:space="preserve">Disease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78.1%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Random</w:t>
            </w:r>
            <w:r>
              <w:t xml:space="preserve"> </w:t>
            </w:r>
            <w:r>
              <w:t xml:space="preserve">Forest -</w:t>
            </w:r>
            <w:r>
              <w:t xml:space="preserve"> </w:t>
            </w:r>
            <w:r>
              <w:t xml:space="preserve">Poverty Rate</w:t>
            </w:r>
            <w:r>
              <w:t xml:space="preserve"> </w:t>
            </w:r>
            <w:r>
              <w:t xml:space="preserve">Only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Poverty Rate</w:t>
            </w:r>
            <w:r>
              <w:t xml:space="preserve"> </w:t>
            </w:r>
            <w:r>
              <w:t xml:space="preserve">By County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88.4%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0.46</w:t>
            </w:r>
          </w:p>
        </w:tc>
      </w:tr>
    </w:tbl>
    <w:bookmarkEnd w:id="78"/>
    <w:bookmarkEnd w:id="79"/>
    <w:bookmarkStart w:id="80" w:name="strengths-and-limitations"/>
    <w:p>
      <w:pPr>
        <w:pStyle w:val="Heading2"/>
      </w:pPr>
      <w:r>
        <w:t xml:space="preserve">7.2 6.2 Strengths and Limitations</w:t>
      </w:r>
    </w:p>
    <w:p>
      <w:pPr>
        <w:pStyle w:val="FirstParagraph"/>
      </w:pPr>
      <w:r>
        <w:t xml:space="preserve">This analysis leveraged a comprehensive dataset spanning six years and</w:t>
      </w:r>
      <w:r>
        <w:t xml:space="preserve"> </w:t>
      </w:r>
      <w:r>
        <w:t xml:space="preserve">multiple counties across Georgia, allowing for exploration of both</w:t>
      </w:r>
      <w:r>
        <w:t xml:space="preserve"> </w:t>
      </w:r>
      <w:r>
        <w:t xml:space="preserve">individual- and community-level patterns in diagnostic delay for</w:t>
      </w:r>
      <w:r>
        <w:t xml:space="preserve"> </w:t>
      </w:r>
      <w:r>
        <w:t xml:space="preserve">tick-borne disease cases. The geographic breadth of the data is a key</w:t>
      </w:r>
      <w:r>
        <w:t xml:space="preserve"> </w:t>
      </w:r>
      <w:r>
        <w:t xml:space="preserve">strength, enabling comparisons across rural and urban areas and</w:t>
      </w:r>
      <w:r>
        <w:t xml:space="preserve"> </w:t>
      </w:r>
      <w:r>
        <w:t xml:space="preserve">supporting more generalizable insights. Additionally, the use of several</w:t>
      </w:r>
      <w:r>
        <w:t xml:space="preserve"> </w:t>
      </w:r>
      <w:r>
        <w:t xml:space="preserve">modeling strategies—including logistic regression, decision trees, and</w:t>
      </w:r>
      <w:r>
        <w:t xml:space="preserve"> </w:t>
      </w:r>
      <w:r>
        <w:t xml:space="preserve">random forests—provided a well-rounded evaluation of predictor</w:t>
      </w:r>
      <w:r>
        <w:t xml:space="preserve"> </w:t>
      </w:r>
      <w:r>
        <w:t xml:space="preserve">importance and model performance. The inclusion of both cross-validation</w:t>
      </w:r>
      <w:r>
        <w:t xml:space="preserve"> </w:t>
      </w:r>
      <w:r>
        <w:t xml:space="preserve">and a holdout test set added rigor and reduced the risk of overfitting.</w:t>
      </w:r>
    </w:p>
    <w:p>
      <w:pPr>
        <w:pStyle w:val="BodyText"/>
      </w:pPr>
      <w:r>
        <w:t xml:space="preserve">Another limitation is the use of county-level poverty rate as a proxy</w:t>
      </w:r>
      <w:r>
        <w:t xml:space="preserve"> </w:t>
      </w:r>
      <w:r>
        <w:t xml:space="preserve">for individual socioeconomic status (SES). While poverty data at the</w:t>
      </w:r>
      <w:r>
        <w:t xml:space="preserve"> </w:t>
      </w:r>
      <w:r>
        <w:t xml:space="preserve">county level offers a broad socioeconomic context, it can mask</w:t>
      </w:r>
      <w:r>
        <w:t xml:space="preserve"> </w:t>
      </w:r>
      <w:r>
        <w:t xml:space="preserve">significant within-county income disparities. In counties with wide</w:t>
      </w:r>
      <w:r>
        <w:t xml:space="preserve"> </w:t>
      </w:r>
      <w:r>
        <w:t xml:space="preserve">economic variation, aggregate poverty rates may not accurately represent</w:t>
      </w:r>
      <w:r>
        <w:t xml:space="preserve"> </w:t>
      </w:r>
      <w:r>
        <w:t xml:space="preserve">the lived experience or access to healthcare of individuals affected by</w:t>
      </w:r>
      <w:r>
        <w:t xml:space="preserve"> </w:t>
      </w:r>
      <w:r>
        <w:t xml:space="preserve">tick-borne disease.</w:t>
      </w:r>
    </w:p>
    <w:p>
      <w:pPr>
        <w:pStyle w:val="BodyText"/>
      </w:pPr>
      <w:r>
        <w:t xml:space="preserve">Furthermore, individual exposure risk is often tightly linked to SES.</w:t>
      </w:r>
      <w:r>
        <w:t xml:space="preserve"> </w:t>
      </w:r>
      <w:r>
        <w:t xml:space="preserve">For instance, people in outdoor labor roles—such as landscaping,</w:t>
      </w:r>
      <w:r>
        <w:t xml:space="preserve"> </w:t>
      </w:r>
      <w:r>
        <w:t xml:space="preserve">farming, or construction—may face greater tick exposure than those</w:t>
      </w:r>
      <w:r>
        <w:t xml:space="preserve"> </w:t>
      </w:r>
      <w:r>
        <w:t xml:space="preserve">working indoors, regardless of the county’s average income level. These</w:t>
      </w:r>
      <w:r>
        <w:t xml:space="preserve"> </w:t>
      </w:r>
      <w:r>
        <w:t xml:space="preserve">more granular, individual-level occupational or behavioral factors were</w:t>
      </w:r>
      <w:r>
        <w:t xml:space="preserve"> </w:t>
      </w:r>
      <w:r>
        <w:t xml:space="preserve">not captured in this dataset, which limits the precision of predictive</w:t>
      </w:r>
      <w:r>
        <w:t xml:space="preserve"> </w:t>
      </w:r>
      <w:r>
        <w:t xml:space="preserve">modeling based solely on geography and aggregated socioeconomic</w:t>
      </w:r>
      <w:r>
        <w:t xml:space="preserve"> </w:t>
      </w:r>
      <w:r>
        <w:t xml:space="preserve">indicators.</w:t>
      </w:r>
    </w:p>
    <w:p>
      <w:pPr>
        <w:pStyle w:val="BodyText"/>
      </w:pPr>
      <w:r>
        <w:t xml:space="preserve">However, several limitations should be acknowledged. Inconsistencies in</w:t>
      </w:r>
      <w:r>
        <w:t xml:space="preserve"> </w:t>
      </w:r>
      <w:r>
        <w:t xml:space="preserve">reporting across cases and counties required extensive data cleaning,</w:t>
      </w:r>
      <w:r>
        <w:t xml:space="preserve"> </w:t>
      </w:r>
      <w:r>
        <w:t xml:space="preserve">which ultimately reduced the dataset to a much smaller number of usable</w:t>
      </w:r>
      <w:r>
        <w:t xml:space="preserve"> </w:t>
      </w:r>
      <w:r>
        <w:t xml:space="preserve">observations. This constrained sample size may have limited model</w:t>
      </w:r>
      <w:r>
        <w:t xml:space="preserve"> </w:t>
      </w:r>
      <w:r>
        <w:t xml:space="preserve">performance and generalizability. The dataset also lacked clinical and</w:t>
      </w:r>
      <w:r>
        <w:t xml:space="preserve"> </w:t>
      </w:r>
      <w:r>
        <w:t xml:space="preserve">healthcare access variables—such as symptom severity, insurance status,</w:t>
      </w:r>
      <w:r>
        <w:t xml:space="preserve"> </w:t>
      </w:r>
      <w:r>
        <w:t xml:space="preserve">or provider responsiveness—which likely influence diagnostic delays.</w:t>
      </w:r>
      <w:r>
        <w:t xml:space="preserve"> </w:t>
      </w:r>
      <w:r>
        <w:t xml:space="preserve">Without these contextual details, the models may have missed key drivers</w:t>
      </w:r>
      <w:r>
        <w:t xml:space="preserve"> </w:t>
      </w:r>
      <w:r>
        <w:t xml:space="preserve">of delay. Finally, the poverty rate was measured at the county level,</w:t>
      </w:r>
      <w:r>
        <w:t xml:space="preserve"> </w:t>
      </w:r>
      <w:r>
        <w:t xml:space="preserve">which may not reflect intra-county disparities or the lived experience</w:t>
      </w:r>
      <w:r>
        <w:t xml:space="preserve"> </w:t>
      </w:r>
      <w:r>
        <w:t xml:space="preserve">of patients.</w:t>
      </w:r>
    </w:p>
    <w:bookmarkEnd w:id="80"/>
    <w:bookmarkEnd w:id="81"/>
    <w:bookmarkStart w:id="82" w:name="conclusions"/>
    <w:p>
      <w:pPr>
        <w:pStyle w:val="Heading1"/>
      </w:pPr>
      <w:r>
        <w:t xml:space="preserve">8. 7. Conclusions</w:t>
      </w:r>
    </w:p>
    <w:p>
      <w:pPr>
        <w:numPr>
          <w:ilvl w:val="0"/>
          <w:numId w:val="1020"/>
        </w:numPr>
      </w:pPr>
      <w:r>
        <w:t xml:space="preserve">Individual-level characteristics such as age, sex, disease type, and</w:t>
      </w:r>
      <w:r>
        <w:t xml:space="preserve"> </w:t>
      </w:r>
      <w:r>
        <w:t xml:space="preserve">county were moderately effective in predicting whether a tick-borne</w:t>
      </w:r>
      <w:r>
        <w:t xml:space="preserve"> </w:t>
      </w:r>
      <w:r>
        <w:t xml:space="preserve">disease case experienced a diagnostic delay of over 30 days. The</w:t>
      </w:r>
      <w:r>
        <w:t xml:space="preserve"> </w:t>
      </w:r>
      <w:r>
        <w:t xml:space="preserve">best-performing model (random forest) achieved 78.1% accuracy and an</w:t>
      </w:r>
      <w:r>
        <w:t xml:space="preserve"> </w:t>
      </w:r>
      <w:r>
        <w:t xml:space="preserve">AUC of 0.68, indicating meaningful—though not perfect—predictive</w:t>
      </w:r>
      <w:r>
        <w:t xml:space="preserve"> </w:t>
      </w:r>
      <w:r>
        <w:t xml:space="preserve">value.</w:t>
      </w:r>
    </w:p>
    <w:p>
      <w:pPr>
        <w:numPr>
          <w:ilvl w:val="0"/>
          <w:numId w:val="1020"/>
        </w:numPr>
      </w:pPr>
      <w:r>
        <w:t xml:space="preserve">County-level poverty rate alone was not a strong predictor of</w:t>
      </w:r>
      <w:r>
        <w:t xml:space="preserve"> </w:t>
      </w:r>
      <w:r>
        <w:t xml:space="preserve">diagnostic delay. Both linear regression and random forest</w:t>
      </w:r>
      <w:r>
        <w:t xml:space="preserve"> </w:t>
      </w:r>
      <w:r>
        <w:t xml:space="preserve">regression showed weak associations and low explanatory power,</w:t>
      </w:r>
      <w:r>
        <w:t xml:space="preserve"> </w:t>
      </w:r>
      <w:r>
        <w:t xml:space="preserve">suggesting that broader socioeconomic indicators may not capture the</w:t>
      </w:r>
      <w:r>
        <w:t xml:space="preserve"> </w:t>
      </w:r>
      <w:r>
        <w:t xml:space="preserve">nuanced drivers of individual-level follow-up delays.</w:t>
      </w:r>
    </w:p>
    <w:p>
      <w:pPr>
        <w:numPr>
          <w:ilvl w:val="0"/>
          <w:numId w:val="1020"/>
        </w:numPr>
      </w:pPr>
      <w:r>
        <w:t xml:space="preserve">Data quality and completeness were major challenges: extensive</w:t>
      </w:r>
      <w:r>
        <w:t xml:space="preserve"> </w:t>
      </w:r>
      <w:r>
        <w:t xml:space="preserve">cleaning was required, and missing or inconsistent entries</w:t>
      </w:r>
      <w:r>
        <w:t xml:space="preserve"> </w:t>
      </w:r>
      <w:r>
        <w:t xml:space="preserve">significantly reduced the number of usable cases. This limitation</w:t>
      </w:r>
      <w:r>
        <w:t xml:space="preserve"> </w:t>
      </w:r>
      <w:r>
        <w:t xml:space="preserve">underscores the need for more standardized reporting practices in</w:t>
      </w:r>
      <w:r>
        <w:t xml:space="preserve"> </w:t>
      </w:r>
      <w:r>
        <w:t xml:space="preserve">public health surveillance systems.</w:t>
      </w:r>
    </w:p>
    <w:p>
      <w:r>
        <w:br w:type="page"/>
      </w:r>
    </w:p>
    <w:bookmarkEnd w:id="82"/>
    <w:bookmarkStart w:id="83" w:name="supplemental-figures"/>
    <w:p>
      <w:pPr>
        <w:pStyle w:val="Heading1"/>
      </w:pPr>
      <w:r>
        <w:t xml:space="preserve">9. Supplemental Figures</w:t>
      </w:r>
    </w:p>
    <w:p>
      <w:pPr>
        <w:pStyle w:val="FirstParagraph"/>
      </w:pPr>
      <w:r>
        <w:t xml:space="preserve">A full set of exploratory and supplemental visualizations—used to guide</w:t>
      </w:r>
      <w:r>
        <w:t xml:space="preserve"> </w:t>
      </w:r>
      <w:r>
        <w:t xml:space="preserve">data cleaning, quality checks, and hypothesis generation—are available</w:t>
      </w:r>
      <w:r>
        <w:t xml:space="preserve"> </w:t>
      </w:r>
      <w:r>
        <w:t xml:space="preserve">in a separate folder.</w:t>
      </w:r>
    </w:p>
    <w:p>
      <w:pPr>
        <w:pStyle w:val="BodyText"/>
      </w:pPr>
      <w:r>
        <w:t xml:space="preserve">Please refer to the following file for all supplemental figures:</w:t>
      </w:r>
    </w:p>
    <w:p>
      <w:pPr>
        <w:pStyle w:val="BodyText"/>
      </w:pPr>
      <w:r>
        <w:t xml:space="preserve">File:</w:t>
      </w:r>
      <w:r>
        <w:t xml:space="preserve"> </w:t>
      </w:r>
      <w:r>
        <w:rPr>
          <w:rStyle w:val="VerbatimChar"/>
        </w:rPr>
        <w:t xml:space="preserve">supplemental-figures.zip</w:t>
      </w:r>
    </w:p>
    <w:p>
      <w:pPr>
        <w:pStyle w:val="BodyText"/>
      </w:pPr>
      <w:r>
        <w:t xml:space="preserve">This archive includes: - Disease distribution histograms - County-level</w:t>
      </w:r>
      <w:r>
        <w:t xml:space="preserve"> </w:t>
      </w:r>
      <w:r>
        <w:t xml:space="preserve">maps - Test result breakdowns - Titer plots - Age distribution and data</w:t>
      </w:r>
      <w:r>
        <w:t xml:space="preserve"> </w:t>
      </w:r>
      <w:r>
        <w:t xml:space="preserve">completeness trends that I did in the exploratory data analysis but</w:t>
      </w:r>
      <w:r>
        <w:t xml:space="preserve"> </w:t>
      </w:r>
      <w:r>
        <w:t xml:space="preserve">opted to not include in my analysis per my reviewers’ recommendations</w:t>
      </w:r>
      <w:r>
        <w:t xml:space="preserve"> </w:t>
      </w:r>
      <w:r>
        <w:t xml:space="preserve">that I narrow my scope!</w:t>
      </w:r>
    </w:p>
    <w:bookmarkEnd w:id="83"/>
    <w:bookmarkStart w:id="84" w:name="references"/>
    <w:p>
      <w:pPr>
        <w:pStyle w:val="Heading1"/>
      </w:pPr>
      <w:r>
        <w:t xml:space="preserve">10. References</w:t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44" Target="media/rId44.png" /><Relationship Type="http://schemas.openxmlformats.org/officeDocument/2006/relationships/image" Id="rId40" Target="media/rId40.png" /><Relationship Type="http://schemas.openxmlformats.org/officeDocument/2006/relationships/image" Id="rId72" Target="media/rId72.png" /><Relationship Type="http://schemas.openxmlformats.org/officeDocument/2006/relationships/image" Id="rId54" Target="media/rId54.png" /><Relationship Type="http://schemas.openxmlformats.org/officeDocument/2006/relationships/image" Id="rId50" Target="media/rId50.png" /><Relationship Type="http://schemas.openxmlformats.org/officeDocument/2006/relationships/image" Id="rId47" Target="media/rId47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Analysis of Tick-Bourne Disease Cases Reported to DPH Between 2019-2024</dc:title>
  <dc:creator/>
  <cp:keywords/>
  <dcterms:created xsi:type="dcterms:W3CDTF">2025-04-21T00:39:07Z</dcterms:created>
  <dcterms:modified xsi:type="dcterms:W3CDTF">2025-04-21T00:39:07Z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../../assets/dataanalysis-references.bib</vt:lpwstr>
  </property>
  <property fmtid="{D5CDD505-2E9C-101B-9397-08002B2CF9AE}" pid="4" name="csl">
    <vt:lpwstr>../../assets/american-journal-of-epidemiology.csl</vt:lpwstr>
  </property>
  <property fmtid="{D5CDD505-2E9C-101B-9397-08002B2CF9AE}" pid="5" name="editor">
    <vt:lpwstr/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toc-title">
    <vt:lpwstr>Table of contents</vt:lpwstr>
  </property>
</Properties>
</file>