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A94DB" w14:textId="3B7C9214" w:rsidR="009C3FA7" w:rsidRDefault="009C3FA7">
      <w:pPr>
        <w:rPr>
          <w:b/>
        </w:rPr>
      </w:pPr>
      <w:r>
        <w:rPr>
          <w:b/>
        </w:rPr>
        <w:t>MORNING</w:t>
      </w:r>
    </w:p>
    <w:p w14:paraId="5BBFA7AA" w14:textId="77777777" w:rsidR="009C3FA7" w:rsidRDefault="009C3FA7">
      <w:pPr>
        <w:rPr>
          <w:b/>
        </w:rPr>
      </w:pPr>
    </w:p>
    <w:p w14:paraId="5070CE08" w14:textId="7D8C807F" w:rsidR="00355648" w:rsidRDefault="00355648">
      <w:pPr>
        <w:rPr>
          <w:b/>
        </w:rPr>
      </w:pPr>
      <w:r w:rsidRPr="00355648">
        <w:rPr>
          <w:b/>
        </w:rPr>
        <w:t>Ethics</w:t>
      </w:r>
    </w:p>
    <w:p w14:paraId="2B26035B" w14:textId="5D3CF050" w:rsidR="00355648" w:rsidRDefault="00355648" w:rsidP="00355648">
      <w:pPr>
        <w:pStyle w:val="ListParagraph"/>
        <w:numPr>
          <w:ilvl w:val="0"/>
          <w:numId w:val="1"/>
        </w:numPr>
      </w:pPr>
      <w:r>
        <w:t>Tender offer = material and nonpublic.</w:t>
      </w:r>
    </w:p>
    <w:p w14:paraId="05DC0EB3" w14:textId="65AEB974" w:rsidR="00355648" w:rsidRDefault="00431974" w:rsidP="00355648">
      <w:pPr>
        <w:pStyle w:val="ListParagraph"/>
        <w:numPr>
          <w:ilvl w:val="0"/>
          <w:numId w:val="1"/>
        </w:numPr>
      </w:pPr>
      <w:r>
        <w:t>I need to check what is happening now, no what will happen in the future.</w:t>
      </w:r>
    </w:p>
    <w:p w14:paraId="7B0D7313" w14:textId="75492800" w:rsidR="00431974" w:rsidRDefault="00431974" w:rsidP="00355648">
      <w:pPr>
        <w:pStyle w:val="ListParagraph"/>
        <w:numPr>
          <w:ilvl w:val="0"/>
          <w:numId w:val="1"/>
        </w:numPr>
      </w:pPr>
      <w:r>
        <w:t>Having two jobs shows a conflict of interest.</w:t>
      </w:r>
    </w:p>
    <w:p w14:paraId="129075D9" w14:textId="6F882E69" w:rsidR="00431974" w:rsidRDefault="00431974" w:rsidP="00355648">
      <w:pPr>
        <w:pStyle w:val="ListParagraph"/>
        <w:numPr>
          <w:ilvl w:val="0"/>
          <w:numId w:val="1"/>
        </w:numPr>
      </w:pPr>
      <w:r>
        <w:t>Suitability of an investment’s analysis goes before anything else.</w:t>
      </w:r>
    </w:p>
    <w:p w14:paraId="5669702C" w14:textId="0CC50F50" w:rsidR="00431974" w:rsidRDefault="00431974" w:rsidP="00355648">
      <w:pPr>
        <w:pStyle w:val="ListParagraph"/>
        <w:numPr>
          <w:ilvl w:val="0"/>
          <w:numId w:val="1"/>
        </w:numPr>
      </w:pPr>
      <w:r>
        <w:t>When they ask about different actors, think about the role of all of them.</w:t>
      </w:r>
    </w:p>
    <w:p w14:paraId="72830469" w14:textId="77777777" w:rsidR="00F83DC2" w:rsidRPr="00F83DC2" w:rsidRDefault="00F83DC2" w:rsidP="00F83DC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F83DC2">
        <w:rPr>
          <w:rFonts w:ascii="Arial" w:eastAsia="Times New Roman" w:hAnsi="Arial" w:cs="Arial"/>
          <w:color w:val="53565A"/>
          <w:shd w:val="clear" w:color="auto" w:fill="DCFFDC"/>
        </w:rPr>
        <w:t>members and candidates should make reasonable efforts to achieve public dissemination of information that is material and nonpublic,</w:t>
      </w:r>
    </w:p>
    <w:p w14:paraId="7EE916B9" w14:textId="45C79290" w:rsidR="00F83DC2" w:rsidRDefault="00F83DC2" w:rsidP="00355648">
      <w:pPr>
        <w:pStyle w:val="ListParagraph"/>
        <w:numPr>
          <w:ilvl w:val="0"/>
          <w:numId w:val="1"/>
        </w:numPr>
      </w:pPr>
      <w:r>
        <w:t>Due diligence on third party recommendations and studies is required.</w:t>
      </w:r>
    </w:p>
    <w:p w14:paraId="144E7D06" w14:textId="29A43E18" w:rsidR="00885244" w:rsidRDefault="00885244" w:rsidP="00885244"/>
    <w:p w14:paraId="1CEEF99C" w14:textId="080A2256" w:rsidR="00885244" w:rsidRDefault="00885244" w:rsidP="00885244">
      <w:r>
        <w:rPr>
          <w:b/>
        </w:rPr>
        <w:t>Quantitative methods</w:t>
      </w:r>
    </w:p>
    <w:p w14:paraId="07D3E87B" w14:textId="5420E27A" w:rsidR="00885244" w:rsidRDefault="00DD24E0" w:rsidP="00885244">
      <w:pPr>
        <w:pStyle w:val="ListParagraph"/>
        <w:numPr>
          <w:ilvl w:val="0"/>
          <w:numId w:val="1"/>
        </w:numPr>
      </w:pPr>
      <w:r>
        <w:t>Pregunta 19 A, why is it treated as a normal rate if it says discount rate?</w:t>
      </w:r>
    </w:p>
    <w:p w14:paraId="0C9D45D4" w14:textId="6A2E49C8" w:rsidR="00DD24E0" w:rsidRDefault="007E7892" w:rsidP="00885244">
      <w:pPr>
        <w:pStyle w:val="ListParagraph"/>
        <w:numPr>
          <w:ilvl w:val="0"/>
          <w:numId w:val="1"/>
        </w:numPr>
      </w:pPr>
      <w:r>
        <w:t>Dependent events -&gt; if one happens and the other’s probability becomes zero.</w:t>
      </w:r>
    </w:p>
    <w:p w14:paraId="0CD17E89" w14:textId="16301D28" w:rsidR="007E7892" w:rsidRDefault="007E7892" w:rsidP="00885244">
      <w:pPr>
        <w:pStyle w:val="ListParagraph"/>
        <w:numPr>
          <w:ilvl w:val="0"/>
          <w:numId w:val="1"/>
        </w:numPr>
      </w:pPr>
      <w:r>
        <w:t>Exhaustive events -&gt; cover all possible outcomes.</w:t>
      </w:r>
    </w:p>
    <w:p w14:paraId="4EDB45F2" w14:textId="34B77618" w:rsidR="007E7892" w:rsidRDefault="007E7892" w:rsidP="00885244">
      <w:pPr>
        <w:pStyle w:val="ListParagraph"/>
        <w:numPr>
          <w:ilvl w:val="0"/>
          <w:numId w:val="1"/>
        </w:numPr>
      </w:pPr>
      <w:r>
        <w:t>I need to understand the different names of the rates.</w:t>
      </w:r>
    </w:p>
    <w:p w14:paraId="7D3A35E1" w14:textId="23A520E6" w:rsidR="007E7892" w:rsidRDefault="007E7892" w:rsidP="00885244">
      <w:pPr>
        <w:pStyle w:val="ListParagraph"/>
        <w:numPr>
          <w:ilvl w:val="0"/>
          <w:numId w:val="1"/>
        </w:numPr>
      </w:pPr>
      <w:r>
        <w:t>Bond discount yield – semiannual</w:t>
      </w:r>
    </w:p>
    <w:p w14:paraId="3FC0BD76" w14:textId="5D6F7E26" w:rsidR="007E7892" w:rsidRDefault="007E7892" w:rsidP="00885244">
      <w:pPr>
        <w:pStyle w:val="ListParagraph"/>
        <w:numPr>
          <w:ilvl w:val="0"/>
          <w:numId w:val="1"/>
        </w:numPr>
      </w:pPr>
      <w:r>
        <w:t xml:space="preserve">Bayes’ formula: </w:t>
      </w:r>
      <w:r>
        <w:rPr>
          <w:noProof/>
        </w:rPr>
        <w:drawing>
          <wp:inline distT="0" distB="0" distL="0" distR="0" wp14:anchorId="43FEC4CA" wp14:editId="3ED07043">
            <wp:extent cx="2212509" cy="2319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0-09 at 12.00.08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763" cy="245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76068" w14:textId="716683E5" w:rsidR="007E7892" w:rsidRDefault="007E7892" w:rsidP="007E7892"/>
    <w:p w14:paraId="04DEE4BA" w14:textId="79B824E9" w:rsidR="007E7892" w:rsidRDefault="007E7892" w:rsidP="007E7892">
      <w:pPr>
        <w:rPr>
          <w:b/>
        </w:rPr>
      </w:pPr>
      <w:r>
        <w:rPr>
          <w:b/>
        </w:rPr>
        <w:t>Economy</w:t>
      </w:r>
    </w:p>
    <w:p w14:paraId="286CF2EF" w14:textId="6C213F8C" w:rsidR="007E7892" w:rsidRDefault="00320424" w:rsidP="007E7892">
      <w:pPr>
        <w:pStyle w:val="ListParagraph"/>
        <w:numPr>
          <w:ilvl w:val="0"/>
          <w:numId w:val="1"/>
        </w:numPr>
      </w:pPr>
      <w:r>
        <w:t>GDP is not the total income of cititzens (is of households) and not the value of resalable goods (only final).</w:t>
      </w:r>
    </w:p>
    <w:p w14:paraId="528FCB67" w14:textId="28FE4FC4" w:rsidR="00320424" w:rsidRDefault="00320424" w:rsidP="007E7892">
      <w:pPr>
        <w:pStyle w:val="ListParagraph"/>
        <w:numPr>
          <w:ilvl w:val="0"/>
          <w:numId w:val="1"/>
        </w:numPr>
      </w:pPr>
      <w:r>
        <w:t>Unemployed include frictional unemployment.</w:t>
      </w:r>
    </w:p>
    <w:p w14:paraId="3F46E5D3" w14:textId="131562B1" w:rsidR="00320424" w:rsidRDefault="00320424" w:rsidP="007E7892">
      <w:pPr>
        <w:pStyle w:val="ListParagraph"/>
        <w:numPr>
          <w:ilvl w:val="0"/>
          <w:numId w:val="1"/>
        </w:numPr>
      </w:pPr>
      <w:r>
        <w:t>Opportunity cost of A = B/A units of B.</w:t>
      </w:r>
    </w:p>
    <w:p w14:paraId="3677D8CC" w14:textId="59B857AE" w:rsidR="00320424" w:rsidRDefault="00F50ED5" w:rsidP="007E7892">
      <w:pPr>
        <w:pStyle w:val="ListParagraph"/>
        <w:numPr>
          <w:ilvl w:val="0"/>
          <w:numId w:val="1"/>
        </w:numPr>
      </w:pPr>
      <w:r>
        <w:t>When the aggregate demand generates inflation, it first affects commodities (like in demand-pull inflation).</w:t>
      </w:r>
    </w:p>
    <w:p w14:paraId="10088714" w14:textId="5CB0717B" w:rsidR="00F50ED5" w:rsidRDefault="00F50ED5" w:rsidP="007E7892">
      <w:pPr>
        <w:pStyle w:val="ListParagraph"/>
        <w:numPr>
          <w:ilvl w:val="0"/>
          <w:numId w:val="1"/>
        </w:numPr>
      </w:pPr>
      <w:r>
        <w:t>OMA will reduce bank reserves.</w:t>
      </w:r>
      <w:r w:rsidR="00283693">
        <w:t xml:space="preserve"> Why?</w:t>
      </w:r>
    </w:p>
    <w:p w14:paraId="77FE51C6" w14:textId="56771CDB" w:rsidR="00283693" w:rsidRDefault="00283693" w:rsidP="007E7892">
      <w:pPr>
        <w:pStyle w:val="ListParagraph"/>
        <w:numPr>
          <w:ilvl w:val="0"/>
          <w:numId w:val="1"/>
        </w:numPr>
      </w:pPr>
      <w:r>
        <w:t>Check 42 again, arbitrage.</w:t>
      </w:r>
    </w:p>
    <w:p w14:paraId="329ACF9B" w14:textId="2A0BD08B" w:rsidR="00283693" w:rsidRDefault="00283693" w:rsidP="007E7892">
      <w:pPr>
        <w:pStyle w:val="ListParagraph"/>
        <w:numPr>
          <w:ilvl w:val="0"/>
          <w:numId w:val="1"/>
        </w:numPr>
      </w:pPr>
      <w:r>
        <w:t>Duplication of lines and supply constarints lead to diseconomies.</w:t>
      </w:r>
    </w:p>
    <w:p w14:paraId="224C3A4B" w14:textId="4E063F9D" w:rsidR="00283693" w:rsidRDefault="00283693" w:rsidP="007E7892">
      <w:pPr>
        <w:pStyle w:val="ListParagraph"/>
        <w:numPr>
          <w:ilvl w:val="0"/>
          <w:numId w:val="1"/>
        </w:numPr>
      </w:pPr>
      <w:r>
        <w:t>Tight fiscal policy = less government expenditures.</w:t>
      </w:r>
    </w:p>
    <w:p w14:paraId="60C35029" w14:textId="62B5C273" w:rsidR="00BB73F5" w:rsidRDefault="00BB73F5" w:rsidP="00BB73F5"/>
    <w:p w14:paraId="71F1A62B" w14:textId="37956FBD" w:rsidR="00BB73F5" w:rsidRDefault="00BB73F5" w:rsidP="00BB73F5">
      <w:r>
        <w:rPr>
          <w:b/>
        </w:rPr>
        <w:t>Financial reporting</w:t>
      </w:r>
    </w:p>
    <w:p w14:paraId="7AEC839E" w14:textId="07E96E97" w:rsidR="00BB73F5" w:rsidRDefault="007F157D" w:rsidP="00BB73F5">
      <w:pPr>
        <w:pStyle w:val="ListParagraph"/>
        <w:numPr>
          <w:ilvl w:val="0"/>
          <w:numId w:val="1"/>
        </w:numPr>
      </w:pPr>
      <w:r>
        <w:t>Memorize the important qualities of financial reporting. Learn which only enhance the usefulness.</w:t>
      </w:r>
    </w:p>
    <w:p w14:paraId="21444CE2" w14:textId="2AACE7F0" w:rsidR="007F157D" w:rsidRDefault="007F157D" w:rsidP="00BB73F5">
      <w:pPr>
        <w:pStyle w:val="ListParagraph"/>
        <w:numPr>
          <w:ilvl w:val="0"/>
          <w:numId w:val="1"/>
        </w:numPr>
      </w:pPr>
      <w:r>
        <w:t>Impairment does not affect cash flow at all.</w:t>
      </w:r>
    </w:p>
    <w:p w14:paraId="3ACA093B" w14:textId="4AC1E17B" w:rsidR="007F157D" w:rsidRDefault="007F157D" w:rsidP="00BB73F5">
      <w:pPr>
        <w:pStyle w:val="ListParagraph"/>
        <w:numPr>
          <w:ilvl w:val="0"/>
          <w:numId w:val="1"/>
        </w:numPr>
      </w:pPr>
      <w:r>
        <w:t>Remaining asset live = NBV/Dep expense.</w:t>
      </w:r>
    </w:p>
    <w:p w14:paraId="0AF3F9EA" w14:textId="2063ED60" w:rsidR="007F157D" w:rsidRDefault="007F157D" w:rsidP="00BB73F5">
      <w:pPr>
        <w:pStyle w:val="ListParagraph"/>
        <w:numPr>
          <w:ilvl w:val="0"/>
          <w:numId w:val="1"/>
        </w:numPr>
      </w:pPr>
      <w:r>
        <w:t xml:space="preserve">Impairment: IFRS the asset is compared to the recoverable amount (higher between value in use and fair value – cost </w:t>
      </w:r>
      <w:r w:rsidR="005707E7">
        <w:t>to sell). US GAAP is compare only to the undiscounted expected cash flows.</w:t>
      </w:r>
    </w:p>
    <w:p w14:paraId="3496453B" w14:textId="29C7F543" w:rsidR="005707E7" w:rsidRDefault="005707E7" w:rsidP="00BB73F5">
      <w:pPr>
        <w:pStyle w:val="ListParagraph"/>
        <w:numPr>
          <w:ilvl w:val="0"/>
          <w:numId w:val="1"/>
        </w:numPr>
      </w:pPr>
      <w:r>
        <w:t>Custom product are likely to use specific identification.</w:t>
      </w:r>
    </w:p>
    <w:p w14:paraId="7718C5A2" w14:textId="43D664CC" w:rsidR="005707E7" w:rsidRDefault="005707E7" w:rsidP="00BB73F5">
      <w:pPr>
        <w:pStyle w:val="ListParagraph"/>
        <w:numPr>
          <w:ilvl w:val="0"/>
          <w:numId w:val="1"/>
        </w:numPr>
      </w:pPr>
      <w:r>
        <w:t>Cash ratio includes marketable securities, quick ratio includes marketable securities and receivables.</w:t>
      </w:r>
    </w:p>
    <w:p w14:paraId="12E5BB15" w14:textId="20686945" w:rsidR="005707E7" w:rsidRDefault="005707E7" w:rsidP="00BB73F5">
      <w:pPr>
        <w:pStyle w:val="ListParagraph"/>
        <w:numPr>
          <w:ilvl w:val="0"/>
          <w:numId w:val="1"/>
        </w:numPr>
      </w:pPr>
      <w:r>
        <w:lastRenderedPageBreak/>
        <w:t>IFRS does not specify an order between current and non-current while US GAAP does.</w:t>
      </w:r>
    </w:p>
    <w:p w14:paraId="609B48F1" w14:textId="742C00FF" w:rsidR="005707E7" w:rsidRDefault="005707E7" w:rsidP="00BB73F5">
      <w:pPr>
        <w:pStyle w:val="ListParagraph"/>
        <w:numPr>
          <w:ilvl w:val="0"/>
          <w:numId w:val="1"/>
        </w:numPr>
      </w:pPr>
      <w:r>
        <w:t>Question 59 -&gt; check how are bonds amortized and registered under IFRS.</w:t>
      </w:r>
    </w:p>
    <w:p w14:paraId="3717AAA4" w14:textId="39B62356" w:rsidR="00760633" w:rsidRPr="00760633" w:rsidRDefault="00760633" w:rsidP="0076063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53565A"/>
          <w:shd w:val="clear" w:color="auto" w:fill="F8E7E6"/>
        </w:rPr>
        <w:t>Evaluation, d</w:t>
      </w:r>
      <w:r w:rsidRPr="00760633">
        <w:rPr>
          <w:rFonts w:ascii="Arial" w:eastAsia="Times New Roman" w:hAnsi="Arial" w:cs="Arial"/>
          <w:color w:val="53565A"/>
          <w:shd w:val="clear" w:color="auto" w:fill="F8E7E6"/>
        </w:rPr>
        <w:t>iscussion and presentation of inherent risks in an investment is appropriate in the develop and communicate conclusions/recommendations step.</w:t>
      </w:r>
    </w:p>
    <w:p w14:paraId="0701D0F3" w14:textId="77777777" w:rsidR="0050297D" w:rsidRPr="0050297D" w:rsidRDefault="0050297D" w:rsidP="0050297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50297D">
        <w:rPr>
          <w:rFonts w:ascii="Arial" w:eastAsia="Times New Roman" w:hAnsi="Arial" w:cs="Arial"/>
          <w:color w:val="53565A"/>
          <w:shd w:val="clear" w:color="auto" w:fill="DCFFDC"/>
        </w:rPr>
        <w:t>deferred tax liability is equal to the tax rate × temporary difference between the carrying amount of the asset and the tax base.</w:t>
      </w:r>
    </w:p>
    <w:p w14:paraId="572F2049" w14:textId="61FD2BD9" w:rsidR="00760633" w:rsidRDefault="0050297D" w:rsidP="00BB73F5">
      <w:pPr>
        <w:pStyle w:val="ListParagraph"/>
        <w:numPr>
          <w:ilvl w:val="0"/>
          <w:numId w:val="1"/>
        </w:numPr>
      </w:pPr>
      <w:r>
        <w:t>Declining methods applies the rate to the carrying value, not the original value.</w:t>
      </w:r>
    </w:p>
    <w:p w14:paraId="48880850" w14:textId="7E011EDE" w:rsidR="0050297D" w:rsidRDefault="0050297D" w:rsidP="00BB73F5">
      <w:pPr>
        <w:pStyle w:val="ListParagraph"/>
        <w:numPr>
          <w:ilvl w:val="0"/>
          <w:numId w:val="1"/>
        </w:numPr>
      </w:pPr>
      <w:r>
        <w:t xml:space="preserve">Expenses = Rev </w:t>
      </w:r>
      <w:r w:rsidR="00252FC5">
        <w:t>–</w:t>
      </w:r>
      <w:r>
        <w:t xml:space="preserve"> Exp</w:t>
      </w:r>
    </w:p>
    <w:p w14:paraId="5254D0A5" w14:textId="11F6BFB8" w:rsidR="00252FC5" w:rsidRDefault="00252FC5" w:rsidP="00BB73F5">
      <w:pPr>
        <w:pStyle w:val="ListParagraph"/>
        <w:numPr>
          <w:ilvl w:val="0"/>
          <w:numId w:val="1"/>
        </w:numPr>
      </w:pPr>
      <w:r>
        <w:t>Sources of liquidity. Pirmary:</w:t>
      </w:r>
      <w:r w:rsidR="00A30F7B">
        <w:t xml:space="preserve"> cash in banks, short-term funds, cash flow management. Secondary: Renegotiate debt contracts, liquidating assets, filing for bankruptcy.</w:t>
      </w:r>
    </w:p>
    <w:p w14:paraId="4225BC80" w14:textId="3C0B1C9D" w:rsidR="00A30F7B" w:rsidRDefault="00A30F7B" w:rsidP="00BB73F5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090D5F9" wp14:editId="6F7D7C01">
            <wp:extent cx="3056351" cy="348773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0-09 at 12.25.46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0812" cy="354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57C65" w14:textId="322A1971" w:rsidR="00A30F7B" w:rsidRDefault="00A30F7B" w:rsidP="00BB73F5">
      <w:pPr>
        <w:pStyle w:val="ListParagraph"/>
        <w:numPr>
          <w:ilvl w:val="0"/>
          <w:numId w:val="1"/>
        </w:numPr>
      </w:pPr>
      <w:r>
        <w:t>Operating cycle = Inventory + receivables.</w:t>
      </w:r>
    </w:p>
    <w:p w14:paraId="141EC804" w14:textId="4E3516B0" w:rsidR="00A30F7B" w:rsidRDefault="00A30F7B" w:rsidP="00A30F7B"/>
    <w:p w14:paraId="65B436CD" w14:textId="599FB9FB" w:rsidR="00A30F7B" w:rsidRDefault="00A30F7B" w:rsidP="00A30F7B">
      <w:pPr>
        <w:rPr>
          <w:b/>
        </w:rPr>
      </w:pPr>
      <w:r>
        <w:rPr>
          <w:b/>
        </w:rPr>
        <w:t>Corporate finance:</w:t>
      </w:r>
    </w:p>
    <w:p w14:paraId="5FAEC127" w14:textId="4253B432" w:rsidR="00A30F7B" w:rsidRDefault="0055117C" w:rsidP="00A30F7B">
      <w:pPr>
        <w:pStyle w:val="ListParagraph"/>
        <w:numPr>
          <w:ilvl w:val="0"/>
          <w:numId w:val="1"/>
        </w:numPr>
      </w:pPr>
      <w:r>
        <w:t>Flotation costs should be included in the initial investment.</w:t>
      </w:r>
    </w:p>
    <w:p w14:paraId="2034C9A4" w14:textId="01680FDB" w:rsidR="0055117C" w:rsidRDefault="0055117C" w:rsidP="00A30F7B">
      <w:pPr>
        <w:pStyle w:val="ListParagraph"/>
        <w:numPr>
          <w:ilvl w:val="0"/>
          <w:numId w:val="1"/>
        </w:numPr>
      </w:pPr>
      <w:r>
        <w:t>Governance best practices include linking compensation with long term objectives.</w:t>
      </w:r>
    </w:p>
    <w:p w14:paraId="1034F378" w14:textId="3B65A1A9" w:rsidR="0055117C" w:rsidRDefault="0055117C" w:rsidP="00A30F7B">
      <w:pPr>
        <w:pStyle w:val="ListParagraph"/>
        <w:numPr>
          <w:ilvl w:val="0"/>
          <w:numId w:val="1"/>
        </w:numPr>
      </w:pPr>
      <w:r>
        <w:t>A higher risk aversion coefficient means less tolerance to risk.</w:t>
      </w:r>
    </w:p>
    <w:p w14:paraId="44F79434" w14:textId="30A683F6" w:rsidR="0055117C" w:rsidRDefault="007A2060" w:rsidP="00A30F7B">
      <w:pPr>
        <w:pStyle w:val="ListParagraph"/>
        <w:numPr>
          <w:ilvl w:val="0"/>
          <w:numId w:val="1"/>
        </w:numPr>
      </w:pPr>
      <w:r>
        <w:t>Insurance companies are more conservative and need liquidity. Defined-benefit pension plans and charitable foundations have higher tolerance and lower needs</w:t>
      </w:r>
      <w:r w:rsidR="00D54E7E">
        <w:t>.</w:t>
      </w:r>
    </w:p>
    <w:p w14:paraId="7F213540" w14:textId="570CDF5E" w:rsidR="00F16BDF" w:rsidRPr="00A30F7B" w:rsidRDefault="00F16BDF" w:rsidP="00A30F7B">
      <w:pPr>
        <w:pStyle w:val="ListParagraph"/>
        <w:numPr>
          <w:ilvl w:val="0"/>
          <w:numId w:val="1"/>
        </w:numPr>
      </w:pPr>
      <w:r>
        <w:t>ME QUEDE EN LA 80</w:t>
      </w:r>
      <w:bookmarkStart w:id="0" w:name="_GoBack"/>
      <w:bookmarkEnd w:id="0"/>
    </w:p>
    <w:sectPr w:rsidR="00F16BDF" w:rsidRPr="00A30F7B" w:rsidSect="00EF71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16145"/>
    <w:multiLevelType w:val="hybridMultilevel"/>
    <w:tmpl w:val="B1A8F6DA"/>
    <w:lvl w:ilvl="0" w:tplc="F2AA04CE">
      <w:start w:val="7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648"/>
    <w:rsid w:val="0012330A"/>
    <w:rsid w:val="00231DEF"/>
    <w:rsid w:val="00252FC5"/>
    <w:rsid w:val="00283693"/>
    <w:rsid w:val="00320424"/>
    <w:rsid w:val="00355648"/>
    <w:rsid w:val="00431974"/>
    <w:rsid w:val="0050297D"/>
    <w:rsid w:val="0055117C"/>
    <w:rsid w:val="005707E7"/>
    <w:rsid w:val="00760633"/>
    <w:rsid w:val="007A2060"/>
    <w:rsid w:val="007E7892"/>
    <w:rsid w:val="007F157D"/>
    <w:rsid w:val="00885244"/>
    <w:rsid w:val="009C3FA7"/>
    <w:rsid w:val="00A30F7B"/>
    <w:rsid w:val="00BB73F5"/>
    <w:rsid w:val="00D54E7E"/>
    <w:rsid w:val="00DD24E0"/>
    <w:rsid w:val="00EF7159"/>
    <w:rsid w:val="00F16BDF"/>
    <w:rsid w:val="00F50ED5"/>
    <w:rsid w:val="00F83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16E24B"/>
  <w14:defaultImageDpi w14:val="32767"/>
  <w15:chartTrackingRefBased/>
  <w15:docId w15:val="{409011F2-8C7E-0743-AC97-A4ABA87AC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6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5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Gonzalez Caicedo</dc:creator>
  <cp:keywords/>
  <dc:description/>
  <cp:lastModifiedBy>Camilo Gonzalez Caicedo</cp:lastModifiedBy>
  <cp:revision>4</cp:revision>
  <dcterms:created xsi:type="dcterms:W3CDTF">2018-10-09T04:01:00Z</dcterms:created>
  <dcterms:modified xsi:type="dcterms:W3CDTF">2018-10-09T21:33:00Z</dcterms:modified>
</cp:coreProperties>
</file>