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000000"/>
          <w:sz w:val="30"/>
        </w:rPr>
        <w:t>Confidential Comments to the Editor</w:t>
      </w:r>
    </w:p>
    <w:p>
      <w:pPr>
        <w:spacing w:after="20"/>
      </w:pPr>
      <w:r>
        <w:rPr>
          <w:b/>
          <w:sz w:val="20"/>
        </w:rPr>
        <w:t xml:space="preserve">Manuscript:  </w:t>
      </w:r>
      <w:r>
        <w:rPr>
          <w:sz w:val="20"/>
        </w:rPr>
        <w:t>Disentangling the formal–informal dichotomy. A multivariate spatially explicit analysis of informal urban development patterns in the Buenos Aires Metropolitan Area</w:t>
      </w:r>
    </w:p>
    <w:p>
      <w:pPr>
        <w:spacing w:after="20"/>
      </w:pPr>
      <w:r>
        <w:rPr>
          <w:b/>
          <w:sz w:val="20"/>
        </w:rPr>
        <w:t xml:space="preserve">Submission ID:  </w:t>
      </w:r>
      <w:r>
        <w:rPr>
          <w:sz w:val="20"/>
        </w:rPr>
        <w:t>260758082</w:t>
      </w:r>
    </w:p>
    <w:p>
      <w:pPr>
        <w:spacing w:after="20"/>
      </w:pPr>
      <w:r>
        <w:rPr>
          <w:b/>
          <w:sz w:val="20"/>
        </w:rPr>
        <w:t xml:space="preserve">Recommendation:  </w:t>
      </w:r>
      <w:r>
        <w:rPr>
          <w:sz w:val="20"/>
        </w:rPr>
        <w:t>Major revision</w:t>
      </w:r>
    </w:p>
    <w:p>
      <w:pPr>
        <w:spacing w:after="80"/>
      </w:pPr>
      <w:r>
        <w:rPr>
          <w:color w:val="AAAAAA"/>
          <w:sz w:val="16"/>
        </w:rPr>
        <w:t>——————————————————————————————————————————————————</w:t>
      </w:r>
    </w:p>
    <w:p>
      <w:pPr>
        <w:spacing w:after="120"/>
        <w:jc w:val="both"/>
      </w:pPr>
      <w:r>
        <w:t>This manuscript tackles an important and genuinely under-served problem: large-scale, census-based quantification and mapping of informal urban development (IUD) across an entire metropolitan area, rather than within pre-defined “informal settlements.” The full-coverage approach to the Buenos Aires Metropolitan Area (14,879 census tracts), the use of PCA to characterise material assemblages, and the proposed “interbreeding” conceptual model are original and potentially valuable. The topic fits the journal well and, if the issues below are addressed, the paper could make a solid contribution. I therefore recommend major revision rather than rejection.</w:t>
      </w:r>
    </w:p>
    <w:p>
      <w:pPr>
        <w:spacing w:after="120"/>
        <w:jc w:val="both"/>
      </w:pPr>
      <w:r>
        <w:t>My assessment rests on the text, references, and Table 1, which were fully legible; the numeric content of Tables 2–5 and Figures 1–8 came as images and could not be verified, so the quantitative claims should be checked against the actual tables.</w:t>
      </w:r>
    </w:p>
    <w:p>
      <w:pPr>
        <w:spacing w:after="120"/>
        <w:jc w:val="both"/>
      </w:pPr>
      <w:r>
        <w:t xml:space="preserve">There is one issue I consider decisive for the validity of the central findings. </w:t>
      </w:r>
      <w:r>
        <w:rPr>
          <w:b/>
        </w:rPr>
        <w:t>The infrastructure variables conflate “lack of connection to a public network” with “informality.”</w:t>
      </w:r>
      <w:r>
        <w:t xml:space="preserve"> Several attributes coded as informal — water from a pump or well, sewage via septic tank/cesspit, cooking with bottled or bulk gas — are, in the Buenos Aires periphery, widespread in formal, legally tenured, well-built neighbourhoods, where networks were simply never extended (a supply-side public-investment deficit, and in the case of septic tanks a code-compliant standard solution). This matters because it may mechanically generate the paper’s headline result that “IUD is dispersed across the whole metropolitan area and not confined to pockets”: that dispersion could largely reflect the well-known network-coverage gradient (serviced core, under-serviced periphery) rather than the diffusion of informality. The authors partly anticipate this with a standards-based definition (§4.1), but that does not separate genuine material deprivation from mere network non-extension, and it risks reducing “IUD” to “service deficit,” which would render the “not confined” claim near-tautological. I have asked them to separate precariousness from non-connection, run a sensitivity analysis excluding the non-precarious network attributes, and report whether hybridity and dispersion survive.</w:t>
      </w:r>
    </w:p>
    <w:p>
      <w:pPr>
        <w:spacing w:after="120"/>
        <w:jc w:val="both"/>
      </w:pPr>
      <w:r>
        <w:t>Four further substantive points should be resolved: (i) the PCA appears to use household counts rather than within-tract proportions, raising a possible tract-size artefact (please also report variance explained); (ii) the paper infers the absence of a temporal progressive sequence from a single cross-sectional census, which is not logically warranted and should be tempered; (iii) “cluster analysis” appears in the keywords but no clustering is performed, while the text repeatedly speaks of “IUD types” that are in fact continuous components; and (iv) there is no external validation against official settlement inventories (e.g., RENABAP), which would directly substantiate the settlement-paradox argument and help separate true informality from service deficit. The spatial analysis also needs full specification (weights matrix, multiple-comparison correction), and the data are from 2010 while a 2022 census now exists.</w:t>
      </w:r>
    </w:p>
    <w:p>
      <w:pPr>
        <w:spacing w:after="120"/>
        <w:jc w:val="both"/>
      </w:pPr>
      <w:r>
        <w:t>Finally, the manuscript needs careful language and reference editing: recurrent grammatical calques and omitted subjects, an occasionally colloquial register, a corrupted INDEC reference and a malformed Castells &amp; Portes entry, inconsistent citation styles, and keyword/voice/anonymity inconsistencies (a collaborator is named in the acknowledgements of a double-blind submission).</w:t>
      </w:r>
    </w:p>
    <w:p>
      <w:pPr>
        <w:spacing w:after="120"/>
        <w:jc w:val="both"/>
      </w:pPr>
      <w:r>
        <w:t>In short: a promising and worthwhile paper built on a strong dataset and an interesting conceptual contribution, but currently undermined by a measurement-validity problem that may be driving its main conclusion, together with several methodological and inferential gaps. These are addressable, and I would be willing to review a revised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