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 xml:space="preserve">Central to the framework is a 24-indicator Sustainable Urbanism Priority Index 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itemised 2026 public-works programme (classified by financing source and environmental impact) and the municipal land-value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spacing w:before="360" w:after="200"/>
      </w:pPr>
      <w:r>
        <w:rPr>
          <w:rFonts w:ascii="Times New Roman" w:cs="Times New Roman" w:eastAsia="Times New Roman" w:hAnsi="Times New Roman"/>
        </w:rPr>
        <w:t xml:space="preserve">5. Institutional Architecture: The Climate Adaptation Trust Fund</w:t>
      </w:r>
    </w:p>
    <w:p>
      <w:pPr>
        <w:pStyle w:val="Heading2"/>
        <w:spacing w:before="360" w:after="200"/>
      </w:pPr>
      <w:r>
        <w:rPr>
          <w:rFonts w:ascii="Times New Roman" w:cs="Times New Roman" w:eastAsia="Times New Roman" w:hAnsi="Times New Roman"/>
        </w:rPr>
        <w:t xml:space="preserve">5.1 Rationale for a Trust Fund Structure</w:t>
      </w:r>
    </w:p>
    <w:p>
      <w:pPr>
        <w:spacing w:after="200" w:line="360"/>
        <w:jc w:val="both"/>
      </w:pPr>
      <w:r>
        <w:rPr>
          <w:rFonts w:ascii="Times New Roman" w:cs="Times New Roman" w:eastAsia="Times New Roman" w:hAnsi="Times New Roman"/>
          <w:sz w:val="24"/>
          <w:szCs w:val="24"/>
        </w:rPr>
        <w:t xml:space="preserve">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pPr>
        <w:spacing w:after="200" w:line="360"/>
        <w:jc w:val="both"/>
      </w:pPr>
      <w:r>
        <w:rPr>
          <w:rFonts w:ascii="Times New Roman" w:cs="Times New Roman" w:eastAsia="Times New Roman" w:hAnsi="Times New Roman"/>
          <w:sz w:val="24"/>
          <w:szCs w:val="24"/>
        </w:rPr>
        <w:t xml:space="preserve">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 bond investors require, and creates an institutional focal point for climate adaptation decision-making.</w:t>
      </w:r>
    </w:p>
    <w:p>
      <w:pPr>
        <w:pStyle w:val="Heading2"/>
        <w:spacing w:before="360" w:after="200"/>
      </w:pPr>
      <w:r>
        <w:rPr>
          <w:rFonts w:ascii="Times New Roman" w:cs="Times New Roman" w:eastAsia="Times New Roman" w:hAnsi="Times New Roman"/>
        </w:rPr>
        <w:t xml:space="preserve">5.2 Revenue Pooling and Fund Structure</w:t>
      </w:r>
    </w:p>
    <w:p>
      <w:pPr>
        <w:spacing w:after="200" w:line="360"/>
        <w:jc w:val="both"/>
      </w:pPr>
      <w:r>
        <w:rPr>
          <w:rFonts w:ascii="Times New Roman" w:cs="Times New Roman" w:eastAsia="Times New Roman" w:hAnsi="Times New Roman"/>
          <w:sz w:val="24"/>
          <w:szCs w:val="24"/>
        </w:rPr>
        <w:t xml:space="preserve">The Trust Fund pools revenue from all six LVC instruments into a unified structure with three defined sub-accounts. The Infrastructure Investment Account (60 percent of net revenues) finances capital expenditure on water efficiency infrastructure, aquifer recharge facilities, stormwater management, and green infrastructure. The Maintenance and Operations Account (25 percent) covers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w:t>
      </w:r>
    </w:p>
    <w:p>
      <w:pPr>
        <w:pStyle w:val="Heading2"/>
        <w:spacing w:before="360" w:after="200"/>
      </w:pPr>
      <w:r>
        <w:rPr>
          <w:rFonts w:ascii="Times New Roman" w:cs="Times New Roman" w:eastAsia="Times New Roman" w:hAnsi="Times New Roman"/>
        </w:rPr>
        <w:t xml:space="preserve">5.3 Leveraging International Climate Finance</w:t>
      </w:r>
    </w:p>
    <w:p>
      <w:pPr>
        <w:spacing w:after="200" w:line="360"/>
        <w:jc w:val="both"/>
      </w:pPr>
      <w:r>
        <w:rPr>
          <w:rFonts w:ascii="Times New Roman" w:cs="Times New Roman" w:eastAsia="Times New Roman" w:hAnsi="Times New Roman"/>
          <w:sz w:val="24"/>
          <w:szCs w:val="24"/>
        </w:rPr>
        <w:t xml:space="preserve">The Trust Fund is designed to support three levels of financial leverage. At the first level, accumulated Leverage Account resources serve as matching funds for bilateral and multilateral grants, typically requiring matches of 10 to 30 percent. At the second level, the predictable revenue stream can be pledged as security for green bond issuance. At the third level, the demonstrated track record of successful project implementation builds institutional credibility required to access larger facilities such as the Green Climate Fund.</w:t>
      </w:r>
    </w:p>
    <w:p>
      <w:pPr>
        <w:spacing w:after="200" w:line="360"/>
        <w:jc w:val="both"/>
      </w:pPr>
      <w:r>
        <w:rPr>
          <w:rFonts w:ascii="Times New Roman" w:cs="Times New Roman" w:eastAsia="Times New Roman" w:hAnsi="Times New Roman"/>
          <w:sz w:val="24"/>
          <w:szCs w:val="24"/>
        </w:rPr>
        <w:t xml:space="preserve">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spacing w:before="360" w:after="200"/>
      </w:pPr>
      <w:r>
        <w:rPr>
          <w:rFonts w:ascii="Times New Roman" w:cs="Times New Roman" w:eastAsia="Times New Roman" w:hAnsi="Times New Roman"/>
        </w:rPr>
        <w:t xml:space="preserve">5.4 Governance and Accountability</w:t>
      </w:r>
    </w:p>
    <w:p>
      <w:pPr>
        <w:spacing w:after="200" w:line="360"/>
        <w:jc w:val="both"/>
      </w:pPr>
      <w:r>
        <w:rPr>
          <w:rFonts w:ascii="Times New Roman" w:cs="Times New Roman" w:eastAsia="Times New Roman" w:hAnsi="Times New Roman"/>
          <w:sz w:val="24"/>
          <w:szCs w:val="24"/>
        </w:rPr>
        <w:t xml:space="preserve">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r>
        <w:br w:type="page"/>
      </w:r>
    </w:p>
    <w:p>
      <w:pPr>
        <w:pStyle w:val="Heading1"/>
        <w:spacing w:before="360" w:after="200"/>
      </w:pPr>
      <w:r>
        <w:rPr>
          <w:rFonts w:ascii="Times New Roman" w:cs="Times New Roman" w:eastAsia="Times New Roman" w:hAnsi="Times New Roman"/>
        </w:rPr>
        <w:t xml:space="preserve">6. The Sustainable Urbanism Priority Index</w:t>
      </w:r>
    </w:p>
    <w:p>
      <w:pPr>
        <w:pStyle w:val="Heading2"/>
        <w:spacing w:before="360" w:after="200"/>
      </w:pPr>
      <w:r>
        <w:rPr>
          <w:rFonts w:ascii="Times New Roman" w:cs="Times New Roman" w:eastAsia="Times New Roman" w:hAnsi="Times New Roman"/>
        </w:rPr>
        <w:t xml:space="preserve">6.1 Purpose and Design Rationale</w:t>
      </w:r>
    </w:p>
    <w:p>
      <w:pPr>
        <w:spacing w:after="200" w:line="360"/>
        <w:jc w:val="both"/>
      </w:pPr>
      <w:r>
        <w:rPr>
          <w:rFonts w:ascii="Times New Roman" w:cs="Times New Roman" w:eastAsia="Times New Roman" w:hAnsi="Times New Roman"/>
          <w:sz w:val="24"/>
          <w:szCs w:val="24"/>
        </w:rPr>
        <w:t>The Sustainable Urbanism Priority Index (SUPI), operationalised by the municipality as the Índice de Ciudad Deseada, is a 24-indicator composite index that guides the allocation of Trust Fund resources across competing investment priorities. The Index serves three interconnected functions: providing an evidence-based methodology for ranking investment projects; embedding climate adaptation criteria directly into municipal decision-making; and generating the quantitative evidence base that international climate financiers require when evaluating project proposals.</w:t>
      </w:r>
    </w:p>
    <w:p>
      <w:pPr>
        <w:pStyle w:val="Heading2"/>
        <w:spacing w:before="360" w:after="200"/>
      </w:pPr>
      <w:r>
        <w:rPr>
          <w:rFonts w:ascii="Times New Roman" w:cs="Times New Roman" w:eastAsia="Times New Roman" w:hAnsi="Times New Roman"/>
        </w:rPr>
        <w:t xml:space="preserve">6.2 Index Structure and Indicators</w:t>
      </w:r>
    </w:p>
    <w:p>
      <w:pPr>
        <w:spacing w:after="200" w:line="360"/>
        <w:jc w:val="both"/>
      </w:pPr>
      <w:r>
        <w:rPr>
          <w:rFonts w:ascii="Times New Roman" w:cs="Times New Roman" w:eastAsia="Times New Roman" w:hAnsi="Times New Roman"/>
          <w:sz w:val="24"/>
          <w:szCs w:val="24"/>
        </w:rPr>
        <w:t xml:space="preserve">The SUPI is organized into four dimensions, each containing six indicators. The Water Security dimension encompasses indicators measuring aquifer recharge protection, water distribution efficiency, per-capita water consumption trends, rainwater harvesting adoption, greywater recycling capacity, and drought resilience. The Compact Development dimension includes urban density, vacant land ratios, agricultural land conversion rates, average commute distance, infrastructure cost per dwelling unit, and impervious surface coverage.</w:t>
      </w:r>
    </w:p>
    <w:p>
      <w:pPr>
        <w:spacing w:after="200" w:line="360"/>
        <w:jc w:val="both"/>
      </w:pPr>
      <w:r>
        <w:rPr>
          <w:rFonts w:ascii="Times New Roman" w:cs="Times New Roman" w:eastAsia="Times New Roman" w:hAnsi="Times New Roman"/>
          <w:sz w:val="24"/>
          <w:szCs w:val="24"/>
        </w:rPr>
        <w:t xml:space="preserve">The Ecosystem Services dimension encompasses permeable surface ratios, urban tree canopy coverage, riparian buffer integrity, soil organic carbon, biodiversity index scores, and urban heat island intensity. The Institutional Capacity dimension includes municipal own-source revenue growth, project completion rates, stakeholder engagement levels, data quality for decision-making, inter-jurisdictional coordination, and adaptation plan implementation progress.</w:t>
      </w:r>
    </w:p>
    <w:p>
      <w:pPr>
        <w:pStyle w:val="Heading2"/>
        <w:spacing w:before="360" w:after="200"/>
      </w:pPr>
      <w:r>
        <w:rPr>
          <w:rFonts w:ascii="Times New Roman" w:cs="Times New Roman" w:eastAsia="Times New Roman" w:hAnsi="Times New Roman"/>
        </w:rPr>
        <w:t xml:space="preserve">6.3 Weighting and Scoring</w:t>
      </w:r>
    </w:p>
    <w:p>
      <w:pPr>
        <w:spacing w:after="200" w:line="360"/>
        <w:jc w:val="both"/>
      </w:pPr>
      <w:r>
        <w:rPr>
          <w:rFonts w:ascii="Times New Roman" w:cs="Times New Roman" w:eastAsia="Times New Roman" w:hAnsi="Times New Roman"/>
          <w:sz w:val="24"/>
          <w:szCs w:val="24"/>
        </w:rPr>
        <w:t xml:space="preserve">Indicator weights were assigned through an analytic hierarchy process (AHP). The Water Security dimension received the highest aggregate weight (35 percent), reflecting the centrality of water stress. Compact Development received 25 percent, Ecosystem Services 22 percent, and Institutional Capacity 18 percent. Each indicator is scored on a normalized 0–100 scale with defined rubrics, recalculated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Dimension</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Sample Indicators</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Weight</w:t>
            </w:r>
          </w:p>
        </w:tc>
        <w:tc>
          <w:tcPr>
            <w:tcW w:type="dxa" w:w="1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Indicators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Water Security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Aquifer recharge, distribution efficiency, per-capita consumption, drought resilience</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35%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Compact Development</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Urban density, vacant land ratio, conversion rate, infrastructure cost per dwelling</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Ecosystem Services</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Permeable surface, tree canopy, riparian buffer, urban heat island</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22%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Institutional Capacity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Revenue growth, project completion, stakeholder engagement, data quality</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18%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center"/>
            </w:pPr>
            <w:r>
              <w:rPr>
                <w:rFonts w:ascii="Times New Roman" w:cs="Times New Roman" w:eastAsia="Times New Roman" w:hAnsi="Times New Roman"/>
                <w:sz w:val="24"/>
                <w:szCs w:val="24"/>
              </w:rPr>
              <w:t xml:space="preserve">6</w:t>
            </w:r>
          </w:p>
        </w:tc>
      </w:tr>
    </w:tbl>
    <w:p>
      <w:pPr>
        <w:spacing w:after="200"/>
      </w:pPr>
    </w:p>
    <w:p>
      <w:pPr>
        <w:spacing w:after="200" w:line="360"/>
        <w:jc w:val="center"/>
      </w:pPr>
      <w:r>
        <w:rPr>
          <w:rFonts w:ascii="Times New Roman" w:cs="Times New Roman" w:eastAsia="Times New Roman" w:hAnsi="Times New Roman"/>
          <w:i/>
          <w:iCs/>
          <w:sz w:val="24"/>
          <w:szCs w:val="24"/>
        </w:rPr>
        <w:t xml:space="preserve">Table 2: Sustainable Urbanism Priority Index dimensions, sample indicators, and weights.</w:t>
      </w:r>
    </w:p>
    <w:p>
      <w:r>
        <w:br w:type="page"/>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CEODEC). Because no transactions exist for these instruments yet, their estimates combine the actual calculation formulas set out in the draft Ordinance of Urban-Economy Instruments with parameters calibrated against real municipal data: the itemised 2026 public-works programme for the betterment levy, and the municipal land-value and fiscal-assessment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The betterment levy is sized against the municipality’s actual 2026 public-works programme (Table 4), which budgets approximately ARS 6.85 billion (about USD 5.5 million) across ten municipally-funded projects. We classify each work on two dimensions that matter for this framework: its planning-priority weight in the programme (80 percent for priority-1 works, 20 percent for priority-2), and its environmental–adaptation impact. The latter is central to a climate-adaptation case: works with high or medium-high environmental impact—the aluvional (stormwater) drainage embedded in the Ciudad de Luján centrality, the new green microplazas, the Tierra del Fuego green boulevard, and the canal-bridge that also carries the metrotranvía/San Martín connection—account for roughly ARS 4.7 billion, or about 69 percent of the funded programme. This both strengthens the case for earmarking betterment revenue to the Climate Adaptation Trust Fund and aligns the cost base with the priority-index criteria.</w:t>
      </w:r>
    </w:p>
    <w:p>
      <w:r>
        <w:t>To size the levy itself, we apply the priority weights and exclude the network-level east–west canal bridge (the single largest item, whose benefit to land value is diffuse rather than localised), leaving a betterment-eligible, priority-weighted base of about ARS 3.49 billion (USD 2.81 million). Applying cost-recovery shares of 25 to 50 percent, within the ordinance’s legal ceilings (recovery may not exceed the value increment, and aggregate betterment charges may not exceed 50 percent of assessed value), yields a betterment potential of roughly ARS 0.87 to 1.75 billion per year (USD 0.70–1.40 million).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ID</w:t>
            </w:r>
          </w:p>
        </w:tc>
        <w:tc>
          <w:tcPr>
            <w:tcW w:type="dxa" w:w="1872"/>
          </w:tcPr>
          <w:p>
            <w:r/>
            <w:r>
              <w:rPr>
                <w:b/>
              </w:rPr>
              <w:t>Project</w:t>
            </w:r>
          </w:p>
        </w:tc>
        <w:tc>
          <w:tcPr>
            <w:tcW w:type="dxa" w:w="1872"/>
          </w:tcPr>
          <w:p>
            <w:r/>
            <w:r>
              <w:rPr>
                <w:b/>
              </w:rPr>
              <w:t>Budget (ARS)</w:t>
            </w:r>
          </w:p>
        </w:tc>
        <w:tc>
          <w:tcPr>
            <w:tcW w:type="dxa" w:w="1872"/>
          </w:tcPr>
          <w:p>
            <w:r/>
            <w:r>
              <w:rPr>
                <w:b/>
              </w:rPr>
              <w:t>Priority (EA)</w:t>
            </w:r>
          </w:p>
        </w:tc>
        <w:tc>
          <w:tcPr>
            <w:tcW w:type="dxa" w:w="1872"/>
          </w:tcPr>
          <w:p>
            <w:r/>
            <w:r>
              <w:rPr>
                <w:b/>
              </w:rPr>
              <w:t>Env.–adaptation impact</w:t>
            </w:r>
          </w:p>
        </w:tc>
      </w:tr>
      <w:tr>
        <w:tc>
          <w:tcPr>
            <w:tcW w:type="dxa" w:w="1872"/>
          </w:tcPr>
          <w:p>
            <w:r/>
            <w:r>
              <w:t>1274</w:t>
            </w:r>
          </w:p>
        </w:tc>
        <w:tc>
          <w:tcPr>
            <w:tcW w:type="dxa" w:w="1872"/>
          </w:tcPr>
          <w:p>
            <w:r/>
            <w:r>
              <w:t>Cacique Guaymallén canal bridge (metrotranvía / San Martín, E–W)</w:t>
            </w:r>
          </w:p>
        </w:tc>
        <w:tc>
          <w:tcPr>
            <w:tcW w:type="dxa" w:w="1872"/>
          </w:tcPr>
          <w:p>
            <w:r/>
            <w:r>
              <w:t>2,000,000,000</w:t>
            </w:r>
          </w:p>
        </w:tc>
        <w:tc>
          <w:tcPr>
            <w:tcW w:type="dxa" w:w="1872"/>
          </w:tcPr>
          <w:p>
            <w:r/>
            <w:r>
              <w:t>1 (80%)</w:t>
            </w:r>
          </w:p>
        </w:tc>
        <w:tc>
          <w:tcPr>
            <w:tcW w:type="dxa" w:w="1872"/>
          </w:tcPr>
          <w:p>
            <w:r/>
            <w:r>
              <w:t>Med–high (drainage + transit)</w:t>
            </w:r>
          </w:p>
        </w:tc>
      </w:tr>
      <w:tr>
        <w:tc>
          <w:tcPr>
            <w:tcW w:type="dxa" w:w="1872"/>
          </w:tcPr>
          <w:p>
            <w:r/>
            <w:r>
              <w:t>395</w:t>
            </w:r>
          </w:p>
        </w:tc>
        <w:tc>
          <w:tcPr>
            <w:tcW w:type="dxa" w:w="1872"/>
          </w:tcPr>
          <w:p>
            <w:r/>
            <w:r>
              <w:t>Centrality, Ciudad de Luján (incl. aluvional drainage)</w:t>
            </w:r>
          </w:p>
        </w:tc>
        <w:tc>
          <w:tcPr>
            <w:tcW w:type="dxa" w:w="1872"/>
          </w:tcPr>
          <w:p>
            <w:r/>
            <w:r>
              <w:t>1,500,000,000</w:t>
            </w:r>
          </w:p>
        </w:tc>
        <w:tc>
          <w:tcPr>
            <w:tcW w:type="dxa" w:w="1872"/>
          </w:tcPr>
          <w:p>
            <w:r/>
            <w:r>
              <w:t>1 (80%)</w:t>
            </w:r>
          </w:p>
        </w:tc>
        <w:tc>
          <w:tcPr>
            <w:tcW w:type="dxa" w:w="1872"/>
          </w:tcPr>
          <w:p>
            <w:r/>
            <w:r>
              <w:t>High (flood drainage + mobility)</w:t>
            </w:r>
          </w:p>
        </w:tc>
      </w:tr>
      <w:tr>
        <w:tc>
          <w:tcPr>
            <w:tcW w:type="dxa" w:w="1872"/>
          </w:tcPr>
          <w:p>
            <w:r/>
            <w:r>
              <w:t>773</w:t>
            </w:r>
          </w:p>
        </w:tc>
        <w:tc>
          <w:tcPr>
            <w:tcW w:type="dxa" w:w="1872"/>
          </w:tcPr>
          <w:p>
            <w:r/>
            <w:r>
              <w:t>Saenz Peña–La Carrodilla / Ruta 15 centrality</w:t>
            </w:r>
          </w:p>
        </w:tc>
        <w:tc>
          <w:tcPr>
            <w:tcW w:type="dxa" w:w="1872"/>
          </w:tcPr>
          <w:p>
            <w:r/>
            <w:r>
              <w:t>1,500,000,000</w:t>
            </w:r>
          </w:p>
        </w:tc>
        <w:tc>
          <w:tcPr>
            <w:tcW w:type="dxa" w:w="1872"/>
          </w:tcPr>
          <w:p>
            <w:r/>
            <w:r>
              <w:t>1 (80%)</w:t>
            </w:r>
          </w:p>
        </w:tc>
        <w:tc>
          <w:tcPr>
            <w:tcW w:type="dxa" w:w="1872"/>
          </w:tcPr>
          <w:p>
            <w:r/>
            <w:r>
              <w:t>Medium</w:t>
            </w:r>
          </w:p>
        </w:tc>
      </w:tr>
      <w:tr>
        <w:tc>
          <w:tcPr>
            <w:tcW w:type="dxa" w:w="1872"/>
          </w:tcPr>
          <w:p>
            <w:r/>
            <w:r>
              <w:t>865</w:t>
            </w:r>
          </w:p>
        </w:tc>
        <w:tc>
          <w:tcPr>
            <w:tcW w:type="dxa" w:w="1872"/>
          </w:tcPr>
          <w:p>
            <w:r/>
            <w:r>
              <w:t>Microplazas (≈10 of 20)</w:t>
            </w:r>
          </w:p>
        </w:tc>
        <w:tc>
          <w:tcPr>
            <w:tcW w:type="dxa" w:w="1872"/>
          </w:tcPr>
          <w:p>
            <w:r/>
            <w:r>
              <w:t>1,200,000,000</w:t>
            </w:r>
          </w:p>
        </w:tc>
        <w:tc>
          <w:tcPr>
            <w:tcW w:type="dxa" w:w="1872"/>
          </w:tcPr>
          <w:p>
            <w:r/>
            <w:r>
              <w:t>1 (80%)</w:t>
            </w:r>
          </w:p>
        </w:tc>
        <w:tc>
          <w:tcPr>
            <w:tcW w:type="dxa" w:w="1872"/>
          </w:tcPr>
          <w:p>
            <w:r/>
            <w:r>
              <w:t>High (green space)</w:t>
            </w:r>
          </w:p>
        </w:tc>
      </w:tr>
      <w:tr>
        <w:tc>
          <w:tcPr>
            <w:tcW w:type="dxa" w:w="1872"/>
          </w:tcPr>
          <w:p>
            <w:r/>
            <w:r>
              <w:t>993</w:t>
            </w:r>
          </w:p>
        </w:tc>
        <w:tc>
          <w:tcPr>
            <w:tcW w:type="dxa" w:w="1872"/>
          </w:tcPr>
          <w:p>
            <w:r/>
            <w:r>
              <w:t>Speed reducers / safe crossings</w:t>
            </w:r>
          </w:p>
        </w:tc>
        <w:tc>
          <w:tcPr>
            <w:tcW w:type="dxa" w:w="1872"/>
          </w:tcPr>
          <w:p>
            <w:r/>
            <w:r>
              <w:t>350,000,000</w:t>
            </w:r>
          </w:p>
        </w:tc>
        <w:tc>
          <w:tcPr>
            <w:tcW w:type="dxa" w:w="1872"/>
          </w:tcPr>
          <w:p>
            <w:r/>
            <w:r>
              <w:t>2 (20%)</w:t>
            </w:r>
          </w:p>
        </w:tc>
        <w:tc>
          <w:tcPr>
            <w:tcW w:type="dxa" w:w="1872"/>
          </w:tcPr>
          <w:p>
            <w:r/>
            <w:r>
              <w:t>Low</w:t>
            </w:r>
          </w:p>
        </w:tc>
      </w:tr>
      <w:tr>
        <w:tc>
          <w:tcPr>
            <w:tcW w:type="dxa" w:w="1872"/>
          </w:tcPr>
          <w:p>
            <w:r/>
            <w:r>
              <w:t>994</w:t>
            </w:r>
          </w:p>
        </w:tc>
        <w:tc>
          <w:tcPr>
            <w:tcW w:type="dxa" w:w="1872"/>
          </w:tcPr>
          <w:p>
            <w:r/>
            <w:r>
              <w:t>Secure monitored infrastructure points (5 stops)</w:t>
            </w:r>
          </w:p>
        </w:tc>
        <w:tc>
          <w:tcPr>
            <w:tcW w:type="dxa" w:w="1872"/>
          </w:tcPr>
          <w:p>
            <w:r/>
            <w:r>
              <w:t>200,000,000</w:t>
            </w:r>
          </w:p>
        </w:tc>
        <w:tc>
          <w:tcPr>
            <w:tcW w:type="dxa" w:w="1872"/>
          </w:tcPr>
          <w:p>
            <w:r/>
            <w:r>
              <w:t>2 (20%)</w:t>
            </w:r>
          </w:p>
        </w:tc>
        <w:tc>
          <w:tcPr>
            <w:tcW w:type="dxa" w:w="1872"/>
          </w:tcPr>
          <w:p>
            <w:r/>
            <w:r>
              <w:t>Low</w:t>
            </w:r>
          </w:p>
        </w:tc>
      </w:tr>
      <w:tr>
        <w:tc>
          <w:tcPr>
            <w:tcW w:type="dxa" w:w="1872"/>
          </w:tcPr>
          <w:p>
            <w:r/>
            <w:r>
              <w:t>464</w:t>
            </w:r>
          </w:p>
        </w:tc>
        <w:tc>
          <w:tcPr>
            <w:tcW w:type="dxa" w:w="1872"/>
          </w:tcPr>
          <w:p>
            <w:r/>
            <w:r>
              <w:t>Connected bus shelters</w:t>
            </w:r>
          </w:p>
        </w:tc>
        <w:tc>
          <w:tcPr>
            <w:tcW w:type="dxa" w:w="1872"/>
          </w:tcPr>
          <w:p>
            <w:r/>
            <w:r>
              <w:t>33,750,000</w:t>
            </w:r>
          </w:p>
        </w:tc>
        <w:tc>
          <w:tcPr>
            <w:tcW w:type="dxa" w:w="1872"/>
          </w:tcPr>
          <w:p>
            <w:r/>
            <w:r>
              <w:t>2 (20%)</w:t>
            </w:r>
          </w:p>
        </w:tc>
        <w:tc>
          <w:tcPr>
            <w:tcW w:type="dxa" w:w="1872"/>
          </w:tcPr>
          <w:p>
            <w:r/>
            <w:r>
              <w:t>Medium (transit)</w:t>
            </w:r>
          </w:p>
        </w:tc>
      </w:tr>
      <w:tr>
        <w:tc>
          <w:tcPr>
            <w:tcW w:type="dxa" w:w="1872"/>
          </w:tcPr>
          <w:p>
            <w:r/>
            <w:r>
              <w:t>452</w:t>
            </w:r>
          </w:p>
        </w:tc>
        <w:tc>
          <w:tcPr>
            <w:tcW w:type="dxa" w:w="1872"/>
          </w:tcPr>
          <w:p>
            <w:r/>
            <w:r>
              <w:t>Sidewalks Zapiola &amp; Pueyrredón (1,750 m)</w:t>
            </w:r>
          </w:p>
        </w:tc>
        <w:tc>
          <w:tcPr>
            <w:tcW w:type="dxa" w:w="1872"/>
          </w:tcPr>
          <w:p>
            <w:r/>
            <w:r>
              <w:t>30,562,500</w:t>
            </w:r>
          </w:p>
        </w:tc>
        <w:tc>
          <w:tcPr>
            <w:tcW w:type="dxa" w:w="1872"/>
          </w:tcPr>
          <w:p>
            <w:r/>
            <w:r>
              <w:t>2 (20%)</w:t>
            </w:r>
          </w:p>
        </w:tc>
        <w:tc>
          <w:tcPr>
            <w:tcW w:type="dxa" w:w="1872"/>
          </w:tcPr>
          <w:p>
            <w:r/>
            <w:r>
              <w:t>Medium (walkability)</w:t>
            </w:r>
          </w:p>
        </w:tc>
      </w:tr>
      <w:tr>
        <w:tc>
          <w:tcPr>
            <w:tcW w:type="dxa" w:w="1872"/>
          </w:tcPr>
          <w:p>
            <w:r/>
            <w:r>
              <w:t>575</w:t>
            </w:r>
          </w:p>
        </w:tc>
        <w:tc>
          <w:tcPr>
            <w:tcW w:type="dxa" w:w="1872"/>
          </w:tcPr>
          <w:p>
            <w:r/>
            <w:r>
              <w:t>Boulevard Tierra del Fuego (400 m)</w:t>
            </w:r>
          </w:p>
        </w:tc>
        <w:tc>
          <w:tcPr>
            <w:tcW w:type="dxa" w:w="1872"/>
          </w:tcPr>
          <w:p>
            <w:r/>
            <w:r>
              <w:t>24,570,000</w:t>
            </w:r>
          </w:p>
        </w:tc>
        <w:tc>
          <w:tcPr>
            <w:tcW w:type="dxa" w:w="1872"/>
          </w:tcPr>
          <w:p>
            <w:r/>
            <w:r>
              <w:t>2 (20%)</w:t>
            </w:r>
          </w:p>
        </w:tc>
        <w:tc>
          <w:tcPr>
            <w:tcW w:type="dxa" w:w="1872"/>
          </w:tcPr>
          <w:p>
            <w:r/>
            <w:r>
              <w:t>Med–high (green corridor)</w:t>
            </w:r>
          </w:p>
        </w:tc>
      </w:tr>
      <w:tr>
        <w:tc>
          <w:tcPr>
            <w:tcW w:type="dxa" w:w="1872"/>
          </w:tcPr>
          <w:p>
            <w:r/>
            <w:r>
              <w:t>463</w:t>
            </w:r>
          </w:p>
        </w:tc>
        <w:tc>
          <w:tcPr>
            <w:tcW w:type="dxa" w:w="1872"/>
          </w:tcPr>
          <w:p>
            <w:r/>
            <w:r>
              <w:t>Polideportivo sidewalk (600 m)</w:t>
            </w:r>
          </w:p>
        </w:tc>
        <w:tc>
          <w:tcPr>
            <w:tcW w:type="dxa" w:w="1872"/>
          </w:tcPr>
          <w:p>
            <w:r/>
            <w:r>
              <w:t>15,000,000</w:t>
            </w:r>
          </w:p>
        </w:tc>
        <w:tc>
          <w:tcPr>
            <w:tcW w:type="dxa" w:w="1872"/>
          </w:tcPr>
          <w:p>
            <w:r/>
            <w:r>
              <w:t>2 (20%)</w:t>
            </w:r>
          </w:p>
        </w:tc>
        <w:tc>
          <w:tcPr>
            <w:tcW w:type="dxa" w:w="1872"/>
          </w:tcPr>
          <w:p>
            <w:r/>
            <w:r>
              <w:t>Medium</w:t>
            </w:r>
          </w:p>
        </w:tc>
      </w:tr>
      <w:tr>
        <w:tc>
          <w:tcPr>
            <w:tcW w:type="dxa" w:w="1872"/>
          </w:tcPr>
          <w:p>
            <w:r/>
            <w:r/>
          </w:p>
        </w:tc>
        <w:tc>
          <w:tcPr>
            <w:tcW w:type="dxa" w:w="1872"/>
          </w:tcPr>
          <w:p>
            <w:r/>
            <w:r>
              <w:t>Total funded programme</w:t>
            </w:r>
          </w:p>
        </w:tc>
        <w:tc>
          <w:tcPr>
            <w:tcW w:type="dxa" w:w="1872"/>
          </w:tcPr>
          <w:p>
            <w:r/>
            <w:r>
              <w:t>6,853,882,500</w:t>
            </w:r>
          </w:p>
        </w:tc>
        <w:tc>
          <w:tcPr>
            <w:tcW w:type="dxa" w:w="1872"/>
          </w:tcPr>
          <w:p>
            <w:r/>
            <w:r/>
          </w:p>
        </w:tc>
        <w:tc>
          <w:tcPr>
            <w:tcW w:type="dxa" w:w="1872"/>
          </w:tcPr>
          <w:p>
            <w:r/>
            <w:r/>
          </w:p>
        </w:tc>
      </w:tr>
      <w:tr>
        <w:tc>
          <w:tcPr>
            <w:tcW w:type="dxa" w:w="1872"/>
          </w:tcPr>
          <w:p>
            <w:r/>
            <w:r/>
          </w:p>
        </w:tc>
        <w:tc>
          <w:tcPr>
            <w:tcW w:type="dxa" w:w="1872"/>
          </w:tcPr>
          <w:p>
            <w:r/>
            <w:r>
              <w:t>Adaptation-relevant (high / med–high impact)</w:t>
            </w:r>
          </w:p>
        </w:tc>
        <w:tc>
          <w:tcPr>
            <w:tcW w:type="dxa" w:w="1872"/>
          </w:tcPr>
          <w:p>
            <w:r/>
            <w:r>
              <w:t>4,724,570,000</w:t>
            </w:r>
          </w:p>
        </w:tc>
        <w:tc>
          <w:tcPr>
            <w:tcW w:type="dxa" w:w="1872"/>
          </w:tcPr>
          <w:p>
            <w:r/>
            <w:r>
              <w:t>≈69%</w:t>
            </w:r>
          </w:p>
        </w:tc>
        <w:tc>
          <w:tcPr>
            <w:tcW w:type="dxa" w:w="1872"/>
          </w:tcPr>
          <w:p>
            <w:r/>
            <w:r/>
          </w:p>
        </w:tc>
      </w:tr>
      <w:tr>
        <w:tc>
          <w:tcPr>
            <w:tcW w:type="dxa" w:w="1872"/>
          </w:tcPr>
          <w:p>
            <w:r/>
            <w:r/>
          </w:p>
        </w:tc>
        <w:tc>
          <w:tcPr>
            <w:tcW w:type="dxa" w:w="1872"/>
          </w:tcPr>
          <w:p>
            <w:r/>
            <w:r>
              <w:t>Betterment-eligible, priority-weighted (excl. ID 1274)</w:t>
            </w:r>
          </w:p>
        </w:tc>
        <w:tc>
          <w:tcPr>
            <w:tcW w:type="dxa" w:w="1872"/>
          </w:tcPr>
          <w:p>
            <w:r/>
            <w:r>
              <w:t>3,490,776,500</w:t>
            </w:r>
          </w:p>
        </w:tc>
        <w:tc>
          <w:tcPr>
            <w:tcW w:type="dxa" w:w="1872"/>
          </w:tcPr>
          <w:p>
            <w:r/>
            <w:r/>
          </w:p>
        </w:tc>
        <w:tc>
          <w:tcPr>
            <w:tcW w:type="dxa" w:w="1872"/>
          </w:tcPr>
          <w:p>
            <w:r/>
            <w:r/>
          </w:p>
        </w:tc>
      </w:tr>
    </w:tbl>
    <w:p>
      <w:r>
        <w:rPr>
          <w:i/>
          <w:sz w:val="18"/>
        </w:rPr>
        <w:t>Table 4: Municipally-funded 2026 public-works programme — the betterment-levy cost base, classified by planning priority (EA) and environmental–adaptation impact. A further seven projects (bike-lane network and repaving) are financed within the operating pavement budget and carry no separate line. Source: Plan de Obras, “Obras y Espacios Públicos — Proyectos a ejecutar 2026.”</w:t>
      </w:r>
    </w:p>
    <w:p>
      <w:r>
        <w:t>A separate set of works is financed or executed by the Province of Mendoza rather than the municipality—principally a new Río Mendoza road bridge and two pedestrian overpasses on the Acceso Sur (Table 5). These carry no municipal budget line and are excluded from the betterment base, since the municipality cannot levy betterment on works it does not finance. They are reported separately for completeness and because they shape the corridor’s accessibility and, with it, the land-value gradient that the value-capture instruments ultimately tax.</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ID</w:t>
            </w:r>
          </w:p>
        </w:tc>
        <w:tc>
          <w:tcPr>
            <w:tcW w:type="dxa" w:w="2340"/>
          </w:tcPr>
          <w:p>
            <w:r/>
            <w:r>
              <w:rPr>
                <w:b/>
              </w:rPr>
              <w:t>Project</w:t>
            </w:r>
          </w:p>
        </w:tc>
        <w:tc>
          <w:tcPr>
            <w:tcW w:type="dxa" w:w="2340"/>
          </w:tcPr>
          <w:p>
            <w:r/>
            <w:r>
              <w:rPr>
                <w:b/>
              </w:rPr>
              <w:t>Executing body</w:t>
            </w:r>
          </w:p>
        </w:tc>
        <w:tc>
          <w:tcPr>
            <w:tcW w:type="dxa" w:w="2340"/>
          </w:tcPr>
          <w:p>
            <w:r/>
            <w:r>
              <w:rPr>
                <w:b/>
              </w:rPr>
              <w:t>Env.–adaptation impact</w:t>
            </w:r>
          </w:p>
        </w:tc>
      </w:tr>
      <w:tr>
        <w:tc>
          <w:tcPr>
            <w:tcW w:type="dxa" w:w="2340"/>
          </w:tcPr>
          <w:p>
            <w:r/>
            <w:r>
              <w:t>466</w:t>
            </w:r>
          </w:p>
        </w:tc>
        <w:tc>
          <w:tcPr>
            <w:tcW w:type="dxa" w:w="2340"/>
          </w:tcPr>
          <w:p>
            <w:r/>
            <w:r>
              <w:t>Nuevo Puente Río Mendoza + Ciclovía San Martín</w:t>
            </w:r>
          </w:p>
        </w:tc>
        <w:tc>
          <w:tcPr>
            <w:tcW w:type="dxa" w:w="2340"/>
          </w:tcPr>
          <w:p>
            <w:r/>
            <w:r>
              <w:t>Province (DPV)</w:t>
            </w:r>
          </w:p>
        </w:tc>
        <w:tc>
          <w:tcPr>
            <w:tcW w:type="dxa" w:w="2340"/>
          </w:tcPr>
          <w:p>
            <w:r/>
            <w:r>
              <w:t>Medium (connectivity + bike lane)</w:t>
            </w:r>
          </w:p>
        </w:tc>
      </w:tr>
      <w:tr>
        <w:tc>
          <w:tcPr>
            <w:tcW w:type="dxa" w:w="2340"/>
          </w:tcPr>
          <w:p>
            <w:r/>
            <w:r>
              <w:t>467</w:t>
            </w:r>
          </w:p>
        </w:tc>
        <w:tc>
          <w:tcPr>
            <w:tcW w:type="dxa" w:w="2340"/>
          </w:tcPr>
          <w:p>
            <w:r/>
            <w:r>
              <w:t>Pedestrian overpass — Acceso Sur &amp; Malabia</w:t>
            </w:r>
          </w:p>
        </w:tc>
        <w:tc>
          <w:tcPr>
            <w:tcW w:type="dxa" w:w="2340"/>
          </w:tcPr>
          <w:p>
            <w:r/>
            <w:r>
              <w:t>Province</w:t>
            </w:r>
          </w:p>
        </w:tc>
        <w:tc>
          <w:tcPr>
            <w:tcW w:type="dxa" w:w="2340"/>
          </w:tcPr>
          <w:p>
            <w:r/>
            <w:r>
              <w:t>Low–medium (safe crossing)</w:t>
            </w:r>
          </w:p>
        </w:tc>
      </w:tr>
      <w:tr>
        <w:tc>
          <w:tcPr>
            <w:tcW w:type="dxa" w:w="2340"/>
          </w:tcPr>
          <w:p>
            <w:r/>
            <w:r>
              <w:t>468</w:t>
            </w:r>
          </w:p>
        </w:tc>
        <w:tc>
          <w:tcPr>
            <w:tcW w:type="dxa" w:w="2340"/>
          </w:tcPr>
          <w:p>
            <w:r/>
            <w:r>
              <w:t>Pedestrian overpass — Acceso Sur &amp; Castro Barros</w:t>
            </w:r>
          </w:p>
        </w:tc>
        <w:tc>
          <w:tcPr>
            <w:tcW w:type="dxa" w:w="2340"/>
          </w:tcPr>
          <w:p>
            <w:r/>
            <w:r>
              <w:t>Province</w:t>
            </w:r>
          </w:p>
        </w:tc>
        <w:tc>
          <w:tcPr>
            <w:tcW w:type="dxa" w:w="2340"/>
          </w:tcPr>
          <w:p>
            <w:r/>
            <w:r>
              <w:t>Low–medium (safe crossing)</w:t>
            </w:r>
          </w:p>
        </w:tc>
      </w:tr>
    </w:tbl>
    <w:p>
      <w:r>
        <w:rPr>
          <w:i/>
          <w:sz w:val="18"/>
        </w:rPr>
        <w:t>Table 5: Works financed or executed by the Province of Mendoza — listed separately and excluded from the municipal betterment-levy base.</w:t>
      </w:r>
    </w:p>
    <w:p>
      <w:r>
        <w:t>The value-capture instruments—development-rights sales and differential rent capture—are spatially targeted to the areas the municipality intends to densify (Table 6). Two stand out. The first is the transit corridor along the metrotranvía / Liniers–San Martín axis, whose east–west integration is the programme’s single largest work; transit-oriented densification here simultaneously raises land value (the base these instruments tax) and supports low-carbon mobility. The second is the network of urban centralities—Ciudad de Luján and the La Carrodilla–Mayor Drummond axis—which coincide with the +200 percent vacant-land priority infill zones, producing one coherent spatial signal: the same places where idle land is most heavily penalised are where additional building rights are sold and rezoning value is captured. The development-rights and rezoning pipeline assumed below is therefore concentrated in these zones.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Densification zone</w:t>
            </w:r>
          </w:p>
        </w:tc>
        <w:tc>
          <w:tcPr>
            <w:tcW w:type="dxa" w:w="2340"/>
          </w:tcPr>
          <w:p>
            <w:r/>
            <w:r>
              <w:rPr>
                <w:b/>
              </w:rPr>
              <w:t>Type</w:t>
            </w:r>
          </w:p>
        </w:tc>
        <w:tc>
          <w:tcPr>
            <w:tcW w:type="dxa" w:w="2340"/>
          </w:tcPr>
          <w:p>
            <w:r/>
            <w:r>
              <w:rPr>
                <w:b/>
              </w:rPr>
              <w:t>Value-capture instruments</w:t>
            </w:r>
          </w:p>
        </w:tc>
        <w:tc>
          <w:tcPr>
            <w:tcW w:type="dxa" w:w="2340"/>
          </w:tcPr>
          <w:p>
            <w:r/>
            <w:r>
              <w:rPr>
                <w:b/>
              </w:rPr>
              <w:t>Adaptation / spatial link</w:t>
            </w:r>
          </w:p>
        </w:tc>
      </w:tr>
      <w:tr>
        <w:tc>
          <w:tcPr>
            <w:tcW w:type="dxa" w:w="2340"/>
          </w:tcPr>
          <w:p>
            <w:r/>
            <w:r>
              <w:t>Metrotranvía / Liniers–San Martín corridor</w:t>
            </w:r>
          </w:p>
        </w:tc>
        <w:tc>
          <w:tcPr>
            <w:tcW w:type="dxa" w:w="2340"/>
          </w:tcPr>
          <w:p>
            <w:r/>
            <w:r>
              <w:t>Transit corridor</w:t>
            </w:r>
          </w:p>
        </w:tc>
        <w:tc>
          <w:tcPr>
            <w:tcW w:type="dxa" w:w="2340"/>
          </w:tcPr>
          <w:p>
            <w:r/>
            <w:r>
              <w:t>Suelo Creado, PVA</w:t>
            </w:r>
          </w:p>
        </w:tc>
        <w:tc>
          <w:tcPr>
            <w:tcW w:type="dxa" w:w="2340"/>
          </w:tcPr>
          <w:p>
            <w:r/>
            <w:r>
              <w:t>TOD; low-carbon mobility; E–W integration (ID 1274)</w:t>
            </w:r>
          </w:p>
        </w:tc>
      </w:tr>
      <w:tr>
        <w:tc>
          <w:tcPr>
            <w:tcW w:type="dxa" w:w="2340"/>
          </w:tcPr>
          <w:p>
            <w:r/>
            <w:r>
              <w:t>Ciudad de Luján centrality</w:t>
            </w:r>
          </w:p>
        </w:tc>
        <w:tc>
          <w:tcPr>
            <w:tcW w:type="dxa" w:w="2340"/>
          </w:tcPr>
          <w:p>
            <w:r/>
            <w:r>
              <w:t>Urban centrality</w:t>
            </w:r>
          </w:p>
        </w:tc>
        <w:tc>
          <w:tcPr>
            <w:tcW w:type="dxa" w:w="2340"/>
          </w:tcPr>
          <w:p>
            <w:r/>
            <w:r>
              <w:t>Suelo Creado, PVA; vacant-land +200%</w:t>
            </w:r>
          </w:p>
        </w:tc>
        <w:tc>
          <w:tcPr>
            <w:tcW w:type="dxa" w:w="2340"/>
          </w:tcPr>
          <w:p>
            <w:r/>
            <w:r>
              <w:t>Compact infill; aluvional drainage upgrade (ID 395)</w:t>
            </w:r>
          </w:p>
        </w:tc>
      </w:tr>
      <w:tr>
        <w:tc>
          <w:tcPr>
            <w:tcW w:type="dxa" w:w="2340"/>
          </w:tcPr>
          <w:p>
            <w:r/>
            <w:r>
              <w:t>La Carrodilla–Mayor Drummond</w:t>
            </w:r>
          </w:p>
        </w:tc>
        <w:tc>
          <w:tcPr>
            <w:tcW w:type="dxa" w:w="2340"/>
          </w:tcPr>
          <w:p>
            <w:r/>
            <w:r>
              <w:t>Centrality / priority infill</w:t>
            </w:r>
          </w:p>
        </w:tc>
        <w:tc>
          <w:tcPr>
            <w:tcW w:type="dxa" w:w="2340"/>
          </w:tcPr>
          <w:p>
            <w:r/>
            <w:r>
              <w:t>Suelo Creado, PVA; vacant-land +200%</w:t>
            </w:r>
          </w:p>
        </w:tc>
        <w:tc>
          <w:tcPr>
            <w:tcW w:type="dxa" w:w="2340"/>
          </w:tcPr>
          <w:p>
            <w:r/>
            <w:r>
              <w:t>Centrality (ID 773); designated urban voids</w:t>
            </w:r>
          </w:p>
        </w:tc>
      </w:tr>
    </w:tbl>
    <w:p>
      <w:r>
        <w:rPr>
          <w:i/>
          <w:sz w:val="18"/>
        </w:rPr>
        <w:t>Table 6: Priority densification zones where the development-rights and differential-rent instruments apply, with their transit and adaptation rationale.</w:t>
      </w:r>
    </w:p>
    <w:p>
      <w:r>
        <w:t>Within these zones, development-rights sales and differential rent capture are calibrated against the municipal land-value map, which records undeveloped land prices ranging from under USD 10 per square metre in the rural piedmont to more than USD 150 per square metre in consolidated urban zones. Pricing additional buildable area at 20 to 40 percent of zone land value (≈50–300 UT/m²) and assuming an annual pipeline of 2,000 to 20,000 m² of development rights yields a development-rights potential of ARS 24 to 1,410 million per year (USD 0.02–1.13 million). Applying analogous unit values to 5,000 to 50,000 m² of annual additional buildable demand created by rezoning gives a differential-rent potential of ARS 35 to 2,350 million per year (USD 0.03–1.89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0.7 million (Low), USD 1.7 million (Base), and USD 4.4 million (High) per year (Table 7). Combined with the roughly USD 0.97 million of realized operational revenue, the framework’s total annual revenue potential is on the order of USD 1.7 million (Low) to USD 5.4 million (High), with a baseline near USD 2.6 million. At the baseline, the betterment levy—anchored in the real, budgeted works programme—is the single largest prospective contributor, ahead of the already-operational water-and-sewer charge; the differential-rent instrument becomes the largest only in the optimistic scenario. This ordering is grounded in observed municipal data rather than assumed shares.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3.49 B eligible (EA-weighted) × 25–50%</w:t>
            </w:r>
          </w:p>
        </w:tc>
        <w:tc>
          <w:tcPr>
            <w:tcW w:type="dxa" w:w="1872"/>
          </w:tcPr>
          <w:p>
            <w:r/>
            <w:r>
              <w:t>0.70 M</w:t>
            </w:r>
          </w:p>
        </w:tc>
        <w:tc>
          <w:tcPr>
            <w:tcW w:type="dxa" w:w="1872"/>
          </w:tcPr>
          <w:p>
            <w:r/>
            <w:r>
              <w:t>1.12 M</w:t>
            </w:r>
          </w:p>
        </w:tc>
        <w:tc>
          <w:tcPr>
            <w:tcW w:type="dxa" w:w="1872"/>
          </w:tcPr>
          <w:p>
            <w:r/>
            <w:r>
              <w:t>1.40 M</w:t>
            </w:r>
          </w:p>
        </w:tc>
      </w:tr>
      <w:tr>
        <w:tc>
          <w:tcPr>
            <w:tcW w:type="dxa" w:w="1872"/>
          </w:tcPr>
          <w:p>
            <w:r/>
            <w:r>
              <w:t>Differential rent capture (PVA)</w:t>
            </w:r>
          </w:p>
        </w:tc>
        <w:tc>
          <w:tcPr>
            <w:tcW w:type="dxa" w:w="1872"/>
          </w:tcPr>
          <w:p>
            <w:r/>
            <w:r>
              <w:t>Land-value map; densification zones; 5–50k m² × 30–200 UT/m²</w:t>
            </w:r>
          </w:p>
        </w:tc>
        <w:tc>
          <w:tcPr>
            <w:tcW w:type="dxa" w:w="1872"/>
          </w:tcPr>
          <w:p>
            <w:r/>
            <w:r>
              <w:t>0.03 M</w:t>
            </w:r>
          </w:p>
        </w:tc>
        <w:tc>
          <w:tcPr>
            <w:tcW w:type="dxa" w:w="1872"/>
          </w:tcPr>
          <w:p>
            <w:r/>
            <w:r>
              <w:t>0.30 M</w:t>
            </w:r>
          </w:p>
        </w:tc>
        <w:tc>
          <w:tcPr>
            <w:tcW w:type="dxa" w:w="1872"/>
          </w:tcPr>
          <w:p>
            <w:r/>
            <w:r>
              <w:t>1.89 M</w:t>
            </w:r>
          </w:p>
        </w:tc>
      </w:tr>
      <w:tr>
        <w:tc>
          <w:tcPr>
            <w:tcW w:type="dxa" w:w="1872"/>
          </w:tcPr>
          <w:p>
            <w:r/>
            <w:r>
              <w:t>Development-rights sales (Suelo Creado)</w:t>
            </w:r>
          </w:p>
        </w:tc>
        <w:tc>
          <w:tcPr>
            <w:tcW w:type="dxa" w:w="1872"/>
          </w:tcPr>
          <w:p>
            <w:r/>
            <w:r>
              <w:t>Land-value map; densification zones; 2–20k m² × 50–300 UT/m²</w:t>
            </w:r>
          </w:p>
        </w:tc>
        <w:tc>
          <w:tcPr>
            <w:tcW w:type="dxa" w:w="1872"/>
          </w:tcPr>
          <w:p>
            <w:r/>
            <w:r>
              <w:t>0.02 M</w:t>
            </w:r>
          </w:p>
        </w:tc>
        <w:tc>
          <w:tcPr>
            <w:tcW w:type="dxa" w:w="1872"/>
          </w:tcPr>
          <w:p>
            <w:r/>
            <w:r>
              <w:t>0.23 M</w:t>
            </w:r>
          </w:p>
        </w:tc>
        <w:tc>
          <w:tcPr>
            <w:tcW w:type="dxa" w:w="1872"/>
          </w:tcPr>
          <w:p>
            <w:r/>
            <w:r>
              <w:t>1.13 M</w:t>
            </w:r>
          </w:p>
        </w:tc>
      </w:tr>
      <w:tr>
        <w:tc>
          <w:tcPr>
            <w:tcW w:type="dxa" w:w="1872"/>
          </w:tcPr>
          <w:p>
            <w:r/>
            <w:r>
              <w:t>Subtotal — value capture (ex-ante)</w:t>
            </w:r>
          </w:p>
        </w:tc>
        <w:tc>
          <w:tcPr>
            <w:tcW w:type="dxa" w:w="1872"/>
          </w:tcPr>
          <w:p>
            <w:r/>
            <w:r/>
          </w:p>
        </w:tc>
        <w:tc>
          <w:tcPr>
            <w:tcW w:type="dxa" w:w="1872"/>
          </w:tcPr>
          <w:p>
            <w:r/>
            <w:r>
              <w:t>0.75 M</w:t>
            </w:r>
          </w:p>
        </w:tc>
        <w:tc>
          <w:tcPr>
            <w:tcW w:type="dxa" w:w="1872"/>
          </w:tcPr>
          <w:p>
            <w:r/>
            <w:r>
              <w:t>1.65 M</w:t>
            </w:r>
          </w:p>
        </w:tc>
        <w:tc>
          <w:tcPr>
            <w:tcW w:type="dxa" w:w="1872"/>
          </w:tcPr>
          <w:p>
            <w:r/>
            <w:r>
              <w:t>4.42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1.72 M</w:t>
            </w:r>
          </w:p>
        </w:tc>
        <w:tc>
          <w:tcPr>
            <w:tcW w:type="dxa" w:w="1872"/>
          </w:tcPr>
          <w:p>
            <w:r/>
            <w:r>
              <w:t>2.62 M</w:t>
            </w:r>
          </w:p>
        </w:tc>
        <w:tc>
          <w:tcPr>
            <w:tcW w:type="dxa" w:w="1872"/>
          </w:tcPr>
          <w:p>
            <w:r/>
            <w:r>
              <w:t>5.39 M</w:t>
            </w:r>
          </w:p>
        </w:tc>
      </w:tr>
    </w:tbl>
    <w:p>
      <w:r>
        <w:rPr>
          <w:i/>
          <w:sz w:val="18"/>
        </w:rPr>
        <w:t>Table 7: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2.6 million therefore covers some 4 to 5 percent of this single deficit per year on a pay-as-you-go basis. It is the Trust Fund’s leverage logic that closes the gap: with the Leverage Account accumulating dedicated reserves and a predictable, audited revenue stream that can be pledged as security, a green-bond issuance of three to four times annual revenue (roughly USD 8 to 10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2"/>
      </w:pPr>
      <w:r>
        <w:t>7.5 Aligning Investment with the Priority Index</w:t>
      </w:r>
    </w:p>
    <w:p>
      <w:r>
        <w:t>A revenue framework is only as good as the rule that allocates the proceeds. The priority index is explicitly designed to direct investment to “the zones that most require it,” scoring each district against desired values on a five-level sufficiency scale—A (≥90%, outstanding), B (70–89%), C (50–69%), D (25–49%, insufficient), and E (&lt;25%, very insufficient)—where a lower score signals a higher investment priority. A first subindex, Espacios Verdes y Biodiversidad (green space and biodiversity), was computed at district level as of October 2025, which lets us begin to test whether the 2026 works are going where the index says they are most needed. The remaining subindices—mobility and services, compactness and functionality, proximity to community services, equity and community, and basic/water infrastructure—are still being assembled, so the reading here is partial and should be revisited once the full index is computed.</w:t>
      </w:r>
    </w:p>
    <w:p>
      <w:r>
        <w:t>On green space, the districts furthest from the standard—those the index would prioritise—are Vistalba, Las Compuertas, and the Industrial district (level E), followed by Chacras de Coria, Agrelo, Mayor Drummond, and Vertientes del Pedemonte (level D). The consolidated centres of Ciudad and La Puntilla already score A, and Carrodilla and Potrerillos score B (Table 8). The need is therefore concentrated in the urban-edge and lower-income districts, not in the historic centre.</w:t>
      </w:r>
    </w:p>
    <w:tbl>
      <w:tblPr>
        <w:tblW w:type="auto" w:w="0"/>
        <w:tblLook w:firstColumn="1" w:firstRow="1" w:lastColumn="0" w:lastRow="0" w:noHBand="0" w:noVBand="1" w:val="04A0"/>
      </w:tblPr>
      <w:tblGrid>
        <w:gridCol w:w="3120"/>
        <w:gridCol w:w="3120"/>
        <w:gridCol w:w="3120"/>
      </w:tblGrid>
      <w:tr>
        <w:tc>
          <w:tcPr>
            <w:tcW w:type="dxa" w:w="3120"/>
          </w:tcPr>
          <w:p>
            <w:r/>
            <w:r>
              <w:rPr>
                <w:b/>
              </w:rPr>
              <w:t>Green-space sufficiency</w:t>
            </w:r>
          </w:p>
        </w:tc>
        <w:tc>
          <w:tcPr>
            <w:tcW w:type="dxa" w:w="3120"/>
          </w:tcPr>
          <w:p>
            <w:r/>
            <w:r>
              <w:rPr>
                <w:b/>
              </w:rPr>
              <w:t>Districts</w:t>
            </w:r>
          </w:p>
        </w:tc>
        <w:tc>
          <w:tcPr>
            <w:tcW w:type="dxa" w:w="3120"/>
          </w:tcPr>
          <w:p>
            <w:r/>
            <w:r>
              <w:rPr>
                <w:b/>
              </w:rPr>
              <w:t>Investment priority</w:t>
            </w:r>
          </w:p>
        </w:tc>
      </w:tr>
      <w:tr>
        <w:tc>
          <w:tcPr>
            <w:tcW w:type="dxa" w:w="3120"/>
          </w:tcPr>
          <w:p>
            <w:r/>
            <w:r>
              <w:t>A — Outstanding (≥90%)</w:t>
            </w:r>
          </w:p>
        </w:tc>
        <w:tc>
          <w:tcPr>
            <w:tcW w:type="dxa" w:w="3120"/>
          </w:tcPr>
          <w:p>
            <w:r/>
            <w:r>
              <w:t>La Puntilla, Ciudad</w:t>
            </w:r>
          </w:p>
        </w:tc>
        <w:tc>
          <w:tcPr>
            <w:tcW w:type="dxa" w:w="3120"/>
          </w:tcPr>
          <w:p>
            <w:r/>
            <w:r>
              <w:t>Low</w:t>
            </w:r>
          </w:p>
        </w:tc>
      </w:tr>
      <w:tr>
        <w:tc>
          <w:tcPr>
            <w:tcW w:type="dxa" w:w="3120"/>
          </w:tcPr>
          <w:p>
            <w:r/>
            <w:r>
              <w:t>B — Very sufficient (70–89%)</w:t>
            </w:r>
          </w:p>
        </w:tc>
        <w:tc>
          <w:tcPr>
            <w:tcW w:type="dxa" w:w="3120"/>
          </w:tcPr>
          <w:p>
            <w:r/>
            <w:r>
              <w:t>Potrerillos, Carrodilla</w:t>
            </w:r>
          </w:p>
        </w:tc>
        <w:tc>
          <w:tcPr>
            <w:tcW w:type="dxa" w:w="3120"/>
          </w:tcPr>
          <w:p>
            <w:r/>
            <w:r>
              <w:t>Low</w:t>
            </w:r>
          </w:p>
        </w:tc>
      </w:tr>
      <w:tr>
        <w:tc>
          <w:tcPr>
            <w:tcW w:type="dxa" w:w="3120"/>
          </w:tcPr>
          <w:p>
            <w:r/>
            <w:r>
              <w:t>C — Sufficient (50–69%)</w:t>
            </w:r>
          </w:p>
        </w:tc>
        <w:tc>
          <w:tcPr>
            <w:tcW w:type="dxa" w:w="3120"/>
          </w:tcPr>
          <w:p>
            <w:r/>
            <w:r>
              <w:t>Perdriel, Cacheuta, El Carrizal, Ugarteche</w:t>
            </w:r>
          </w:p>
        </w:tc>
        <w:tc>
          <w:tcPr>
            <w:tcW w:type="dxa" w:w="3120"/>
          </w:tcPr>
          <w:p>
            <w:r/>
            <w:r>
              <w:t>Medium</w:t>
            </w:r>
          </w:p>
        </w:tc>
      </w:tr>
      <w:tr>
        <w:tc>
          <w:tcPr>
            <w:tcW w:type="dxa" w:w="3120"/>
          </w:tcPr>
          <w:p>
            <w:r/>
            <w:r>
              <w:t>D — Insufficient (25–49%)</w:t>
            </w:r>
          </w:p>
        </w:tc>
        <w:tc>
          <w:tcPr>
            <w:tcW w:type="dxa" w:w="3120"/>
          </w:tcPr>
          <w:p>
            <w:r/>
            <w:r>
              <w:t>Chacras de Coria, Agrelo, Mayor Drummond, Vertientes del Pedemonte</w:t>
            </w:r>
          </w:p>
        </w:tc>
        <w:tc>
          <w:tcPr>
            <w:tcW w:type="dxa" w:w="3120"/>
          </w:tcPr>
          <w:p>
            <w:r/>
            <w:r>
              <w:t>High</w:t>
            </w:r>
          </w:p>
        </w:tc>
      </w:tr>
      <w:tr>
        <w:tc>
          <w:tcPr>
            <w:tcW w:type="dxa" w:w="3120"/>
          </w:tcPr>
          <w:p>
            <w:r/>
            <w:r>
              <w:t>E — Very insufficient (&lt;25%)</w:t>
            </w:r>
          </w:p>
        </w:tc>
        <w:tc>
          <w:tcPr>
            <w:tcW w:type="dxa" w:w="3120"/>
          </w:tcPr>
          <w:p>
            <w:r/>
            <w:r>
              <w:t>Vistalba, Las Compuertas, Industrial</w:t>
            </w:r>
          </w:p>
        </w:tc>
        <w:tc>
          <w:tcPr>
            <w:tcW w:type="dxa" w:w="3120"/>
          </w:tcPr>
          <w:p>
            <w:r/>
            <w:r>
              <w:t>Highest</w:t>
            </w:r>
          </w:p>
        </w:tc>
      </w:tr>
    </w:tbl>
    <w:p>
      <w:r>
        <w:rPr>
          <w:i/>
          <w:sz w:val="18"/>
        </w:rPr>
        <w:t>Table 8: Green-space and biodiversity subindex by district (priority index, October 2025). Lower sufficiency = higher investment priority. Source: Laboratorio de Políticas Públicas, Municipalidad de Luján de Cuyo.</w:t>
      </w:r>
    </w:p>
    <w:p>
      <w:r>
        <w:t>Mapping the 2026 works onto these districts reveals a partial misalignment (Table 9). The two largest place-based investments—the Ciudad de Luján centrality (ID 395, ARS 1.5 billion) and the La Carrodilla centrality (ID 773, ARS 1.5 billion)—fall in districts that already score A and B on green space; their justification is compactness, stormwater drainage, and value capture rather than green-space equity. Mayor Drummond, a level-D district, does receive a sidewalk upgrade (ID 452) and is a value-capture/densification target, which aligns. But the highest-priority green-space districts—Vistalba, Las Compuertas, and Industrial—receive no dedicated 2026 green investment. The decisive instrument is the microplazas programme (ID 865, ARS 1.2 billion, roughly twenty squares): as the single largest green item and a department-wide line, its allocation determines alignment. Directing those squares to the level-D and level-E districts would turn a latent misalignment into a close fit between the index and the investment.</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2026 work (ID)</w:t>
            </w:r>
          </w:p>
        </w:tc>
        <w:tc>
          <w:tcPr>
            <w:tcW w:type="dxa" w:w="2340"/>
          </w:tcPr>
          <w:p>
            <w:r/>
            <w:r>
              <w:rPr>
                <w:b/>
              </w:rPr>
              <w:t>District(s)</w:t>
            </w:r>
          </w:p>
        </w:tc>
        <w:tc>
          <w:tcPr>
            <w:tcW w:type="dxa" w:w="2340"/>
          </w:tcPr>
          <w:p>
            <w:r/>
            <w:r>
              <w:rPr>
                <w:b/>
              </w:rPr>
              <w:t>Green-space level</w:t>
            </w:r>
          </w:p>
        </w:tc>
        <w:tc>
          <w:tcPr>
            <w:tcW w:type="dxa" w:w="2340"/>
          </w:tcPr>
          <w:p>
            <w:r/>
            <w:r>
              <w:rPr>
                <w:b/>
              </w:rPr>
              <w:t>Alignment with green priority</w:t>
            </w:r>
          </w:p>
        </w:tc>
      </w:tr>
      <w:tr>
        <w:tc>
          <w:tcPr>
            <w:tcW w:type="dxa" w:w="2340"/>
          </w:tcPr>
          <w:p>
            <w:r/>
            <w:r>
              <w:t>Centrality (395)</w:t>
            </w:r>
          </w:p>
        </w:tc>
        <w:tc>
          <w:tcPr>
            <w:tcW w:type="dxa" w:w="2340"/>
          </w:tcPr>
          <w:p>
            <w:r/>
            <w:r>
              <w:t>Ciudad</w:t>
            </w:r>
          </w:p>
        </w:tc>
        <w:tc>
          <w:tcPr>
            <w:tcW w:type="dxa" w:w="2340"/>
          </w:tcPr>
          <w:p>
            <w:r/>
            <w:r>
              <w:t>A</w:t>
            </w:r>
          </w:p>
        </w:tc>
        <w:tc>
          <w:tcPr>
            <w:tcW w:type="dxa" w:w="2340"/>
          </w:tcPr>
          <w:p>
            <w:r/>
            <w:r>
              <w:t>Low — justified by drainage/compactness, not green need</w:t>
            </w:r>
          </w:p>
        </w:tc>
      </w:tr>
      <w:tr>
        <w:tc>
          <w:tcPr>
            <w:tcW w:type="dxa" w:w="2340"/>
          </w:tcPr>
          <w:p>
            <w:r/>
            <w:r>
              <w:t>Centrality (773)</w:t>
            </w:r>
          </w:p>
        </w:tc>
        <w:tc>
          <w:tcPr>
            <w:tcW w:type="dxa" w:w="2340"/>
          </w:tcPr>
          <w:p>
            <w:r/>
            <w:r>
              <w:t>Carrodilla</w:t>
            </w:r>
          </w:p>
        </w:tc>
        <w:tc>
          <w:tcPr>
            <w:tcW w:type="dxa" w:w="2340"/>
          </w:tcPr>
          <w:p>
            <w:r/>
            <w:r>
              <w:t>B</w:t>
            </w:r>
          </w:p>
        </w:tc>
        <w:tc>
          <w:tcPr>
            <w:tcW w:type="dxa" w:w="2340"/>
          </w:tcPr>
          <w:p>
            <w:r/>
            <w:r>
              <w:t>Low — justified by value capture</w:t>
            </w:r>
          </w:p>
        </w:tc>
      </w:tr>
      <w:tr>
        <w:tc>
          <w:tcPr>
            <w:tcW w:type="dxa" w:w="2340"/>
          </w:tcPr>
          <w:p>
            <w:r/>
            <w:r>
              <w:t>Microplazas (865)</w:t>
            </w:r>
          </w:p>
        </w:tc>
        <w:tc>
          <w:tcPr>
            <w:tcW w:type="dxa" w:w="2340"/>
          </w:tcPr>
          <w:p>
            <w:r/>
            <w:r>
              <w:t>Department-wide</w:t>
            </w:r>
          </w:p>
        </w:tc>
        <w:tc>
          <w:tcPr>
            <w:tcW w:type="dxa" w:w="2340"/>
          </w:tcPr>
          <w:p>
            <w:r/>
            <w:r>
              <w:t>Varies</w:t>
            </w:r>
          </w:p>
        </w:tc>
        <w:tc>
          <w:tcPr>
            <w:tcW w:type="dxa" w:w="2340"/>
          </w:tcPr>
          <w:p>
            <w:r/>
            <w:r>
              <w:t>Decisive — align by targeting level D/E districts</w:t>
            </w:r>
          </w:p>
        </w:tc>
      </w:tr>
      <w:tr>
        <w:tc>
          <w:tcPr>
            <w:tcW w:type="dxa" w:w="2340"/>
          </w:tcPr>
          <w:p>
            <w:r/>
            <w:r>
              <w:t>Boulevard T. del Fuego (575)</w:t>
            </w:r>
          </w:p>
        </w:tc>
        <w:tc>
          <w:tcPr>
            <w:tcW w:type="dxa" w:w="2340"/>
          </w:tcPr>
          <w:p>
            <w:r/>
            <w:r>
              <w:t>Bardas Blancas (Ciudad/Industrial edge)</w:t>
            </w:r>
          </w:p>
        </w:tc>
        <w:tc>
          <w:tcPr>
            <w:tcW w:type="dxa" w:w="2340"/>
          </w:tcPr>
          <w:p>
            <w:r/>
            <w:r>
              <w:t>D–E (edge)</w:t>
            </w:r>
          </w:p>
        </w:tc>
        <w:tc>
          <w:tcPr>
            <w:tcW w:type="dxa" w:w="2340"/>
          </w:tcPr>
          <w:p>
            <w:r/>
            <w:r>
              <w:t>Potential — near high-priority area</w:t>
            </w:r>
          </w:p>
        </w:tc>
      </w:tr>
      <w:tr>
        <w:tc>
          <w:tcPr>
            <w:tcW w:type="dxa" w:w="2340"/>
          </w:tcPr>
          <w:p>
            <w:r/>
            <w:r>
              <w:t>Sidewalk Zapiola/Drummond (452)</w:t>
            </w:r>
          </w:p>
        </w:tc>
        <w:tc>
          <w:tcPr>
            <w:tcW w:type="dxa" w:w="2340"/>
          </w:tcPr>
          <w:p>
            <w:r/>
            <w:r>
              <w:t>Mayor Drummond</w:t>
            </w:r>
          </w:p>
        </w:tc>
        <w:tc>
          <w:tcPr>
            <w:tcW w:type="dxa" w:w="2340"/>
          </w:tcPr>
          <w:p>
            <w:r/>
            <w:r>
              <w:t>D</w:t>
            </w:r>
          </w:p>
        </w:tc>
        <w:tc>
          <w:tcPr>
            <w:tcW w:type="dxa" w:w="2340"/>
          </w:tcPr>
          <w:p>
            <w:r/>
            <w:r>
              <w:t>Aligned</w:t>
            </w:r>
          </w:p>
        </w:tc>
      </w:tr>
      <w:tr>
        <w:tc>
          <w:tcPr>
            <w:tcW w:type="dxa" w:w="2340"/>
          </w:tcPr>
          <w:p>
            <w:r/>
            <w:r>
              <w:t>Polideportivo sidewalk (463)</w:t>
            </w:r>
          </w:p>
        </w:tc>
        <w:tc>
          <w:tcPr>
            <w:tcW w:type="dxa" w:w="2340"/>
          </w:tcPr>
          <w:p>
            <w:r/>
            <w:r>
              <w:t>Ciudad</w:t>
            </w:r>
          </w:p>
        </w:tc>
        <w:tc>
          <w:tcPr>
            <w:tcW w:type="dxa" w:w="2340"/>
          </w:tcPr>
          <w:p>
            <w:r/>
            <w:r>
              <w:t>A</w:t>
            </w:r>
          </w:p>
        </w:tc>
        <w:tc>
          <w:tcPr>
            <w:tcW w:type="dxa" w:w="2340"/>
          </w:tcPr>
          <w:p>
            <w:r/>
            <w:r>
              <w:t>Low</w:t>
            </w:r>
          </w:p>
        </w:tc>
      </w:tr>
      <w:tr>
        <w:tc>
          <w:tcPr>
            <w:tcW w:type="dxa" w:w="2340"/>
          </w:tcPr>
          <w:p>
            <w:r/>
            <w:r>
              <w:t>Canal bridge / metrotranvía (1274)</w:t>
            </w:r>
          </w:p>
        </w:tc>
        <w:tc>
          <w:tcPr>
            <w:tcW w:type="dxa" w:w="2340"/>
          </w:tcPr>
          <w:p>
            <w:r/>
            <w:r>
              <w:t>Ciudad / corridor</w:t>
            </w:r>
          </w:p>
        </w:tc>
        <w:tc>
          <w:tcPr>
            <w:tcW w:type="dxa" w:w="2340"/>
          </w:tcPr>
          <w:p>
            <w:r/>
            <w:r>
              <w:t>A</w:t>
            </w:r>
          </w:p>
        </w:tc>
        <w:tc>
          <w:tcPr>
            <w:tcW w:type="dxa" w:w="2340"/>
          </w:tcPr>
          <w:p>
            <w:r/>
            <w:r>
              <w:t>Mobility, not green</w:t>
            </w:r>
          </w:p>
        </w:tc>
      </w:tr>
    </w:tbl>
    <w:p>
      <w:r>
        <w:rPr>
          <w:i/>
          <w:sz w:val="18"/>
        </w:rPr>
        <w:t>Table 9: 2026 works mapped to district-level green-space priority. “Alignment” asks whether the work is located where the green-space subindex signals the greatest need.</w:t>
      </w:r>
    </w:p>
    <w:p>
      <w:r>
        <w:t>This exercise surfaces the core spatial logic of the framework. Value-capture revenue is generated where land values are highest—the consolidated, transit-served districts (Chacras de Coria, Vistalba, Carrodilla, Ciudad) that are also the densification zones of Section 7.3. Yet several of those same districts (Vistalba, Chacras de Coria) rank poorly on green space, and the index’s equity subindex will likely flag the peripheral, lower-income districts (Industrial, Las Compuertas) as the most deprived. The Trust Fund is precisely the mechanism that reconciles the two: it lets the municipality capture value where it is created and redirect it, through the index, to where need is greatest—rather than recycling it only into the districts that generated it. Embedding the index in the Trust Fund’s allocation rule therefore does double duty: it satisfies the bankability requirement for evidence-based prioritisation, and it guards against the regressive tendency to invest only in already well-served areas.</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