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Cover Letter</w:t>
      </w:r>
    </w:p>
    <w:p>
      <w:pPr>
        <w:spacing w:after="120" w:line="276" w:lineRule="auto"/>
      </w:pPr>
      <w:r>
        <w:t>To: Sarah Lewis, Managing Editor, Journal of City Climate Policy &amp; Economy (slewis@c40.org)</w:t>
      </w:r>
    </w:p>
    <w:p>
      <w:pPr>
        <w:spacing w:after="120" w:line="276" w:lineRule="auto"/>
      </w:pPr>
      <w:r>
        <w:t>Re: Original Research submission — Special Issue, “Financing Sustainable Cities: Mobilising Capital for Equitable, Resilient and Low-Carbon Urban Futures.”</w:t>
      </w:r>
    </w:p>
    <w:p>
      <w:pPr>
        <w:spacing w:after="120" w:line="276" w:lineRule="auto"/>
      </w:pPr>
      <w:r>
        <w:t>Dear Sarah,</w:t>
      </w:r>
    </w:p>
    <w:p>
      <w:pPr>
        <w:spacing w:after="120" w:line="276" w:lineRule="auto"/>
      </w:pPr>
      <w:r>
        <w:t>Please find attached an Original Research submission, “Financing Water-Resilient Cities through Multi-Instrument Land Value Capture: Evidence from Luján de Cuyo, Argentina,” together with the required structured abstract, Summary for Policymakers, and disclosures. The paper presents both realized revenue and ex ante estimates for a six-instrument land value capture (LVC) package channelled through a municipal Trust Fund (Fideicomiso) and governed by a Sustainable Urbanism Priority Index, currently before the Concejo Deliberante of Luján de Cuyo (Mendoza, Argentina).</w:t>
      </w:r>
    </w:p>
    <w:p>
      <w:pPr>
        <w:spacing w:after="120" w:line="276" w:lineRule="auto"/>
      </w:pPr>
      <w:r>
        <w:t>The case speaks to two priorities in the call. First, it builds the point of tangency between the land value capture and climate-finance literatures that Dunning and Lord (2020) identify as missing. Second, it documents LVC outside the coastal-flooding contexts where the evidence has clustered: a Majority-World, slow-onset, water-scarcity setting under binding hydrological and macroeconomic constraints. The analysis foregrounds incidence—who pays and who benefits—and shows how the Fideicomiso’s indicator-based disbursement rule guards against regressive outcomes. Unusually for an ex ante case, two of the instruments already operate and collect revenue, anchoring the projections in observed municipal data. The research forms part of a 12-month case study supported by the Lincoln Institute of Land Policy. A companion Policy Guidelines piece for municipal finance teams is available if it would strengthen the issue.</w:t>
      </w:r>
    </w:p>
    <w:p>
      <w:pPr>
        <w:spacing w:after="120" w:line="276" w:lineRule="auto"/>
      </w:pPr>
      <w:r>
        <w:t>The manuscript is original, not previously published, and not under consideration elsewhere. I am the corresponding and sole author (cgoytia@utdt.edu).</w:t>
      </w:r>
    </w:p>
    <w:p>
      <w:pPr>
        <w:spacing w:after="120" w:line="276" w:lineRule="auto"/>
      </w:pPr>
      <w:r>
        <w:t>With thanks,</w:t>
      </w:r>
    </w:p>
    <w:p>
      <w:pPr>
        <w:spacing w:after="120" w:line="276" w:lineRule="auto"/>
      </w:pPr>
      <w:r>
        <w:t>Cynthia Goytia, Ph.D. — Director, CIPUV, Universidad Torcuato Di Tella, Buenos Aires.</w:t>
      </w:r>
    </w:p>
    <w:p>
      <w:r>
        <w:br w:type="page"/>
      </w:r>
    </w:p>
    <w:p>
      <w:pPr>
        <w:jc w:val="center"/>
      </w:pPr>
      <w:r>
        <w:rPr>
          <w:b/>
          <w:i w:val="0"/>
          <w:sz w:val="34"/>
        </w:rPr>
        <w:t>Financing Water-Resilient Cities through Multi-Instrument Land Value Capture: Evidence from Luján de Cuyo, Argentina</w:t>
      </w:r>
    </w:p>
    <w:p>
      <w:pPr>
        <w:jc w:val="center"/>
      </w:pPr>
      <w:r>
        <w:rPr>
          <w:b w:val="0"/>
          <w:i/>
          <w:sz w:val="18"/>
        </w:rPr>
        <w:t>Running title: Land value capture for water-resilient cities</w:t>
      </w:r>
    </w:p>
    <w:p>
      <w:pPr>
        <w:jc w:val="center"/>
      </w:pPr>
      <w:r>
        <w:rPr>
          <w:b w:val="0"/>
          <w:i w:val="0"/>
          <w:sz w:val="24"/>
        </w:rPr>
        <w:t>Cynthia Goytia, Ph.D.</w:t>
      </w:r>
    </w:p>
    <w:p>
      <w:pPr>
        <w:jc w:val="center"/>
      </w:pPr>
      <w:r>
        <w:rPr>
          <w:b w:val="0"/>
          <w:i/>
          <w:sz w:val="18"/>
        </w:rPr>
        <w:t>Center for Urban and Real Estate Research (CIPUV), Universidad Torcuato Di Tella, Av. Figueroa Alcorta 7350, Buenos Aires, Argentina</w:t>
      </w:r>
    </w:p>
    <w:p>
      <w:pPr>
        <w:jc w:val="center"/>
      </w:pPr>
      <w:r>
        <w:rPr>
          <w:b w:val="0"/>
          <w:i/>
          <w:sz w:val="18"/>
        </w:rPr>
        <w:t>Corresponding author: Cynthia Goytia — cgoytia@utdt.edu</w:t>
      </w:r>
    </w:p>
    <w:p>
      <w:pPr>
        <w:jc w:val="center"/>
      </w:pPr>
      <w:r>
        <w:rPr>
          <w:b w:val="0"/>
          <w:i/>
          <w:sz w:val="18"/>
        </w:rPr>
        <w:t>Article type: Original Research · Special Issue: Financing Sustainable Cities (JCCPE)</w:t>
      </w:r>
    </w:p>
    <w:p/>
    <w:p>
      <w:pPr>
        <w:pStyle w:val="Heading1"/>
      </w:pPr>
      <w:r>
        <w:t>Abstract</w:t>
      </w:r>
    </w:p>
    <w:p>
      <w:pPr>
        <w:spacing w:after="120"/>
      </w:pPr>
      <w:r>
        <w:rPr>
          <w:b/>
        </w:rPr>
        <w:t xml:space="preserve">Background. </w:t>
      </w:r>
      <w:r>
        <w:t>Municipalities lead climate action but lack the financial tools, autonomy, and access to capital to deliver it—and the finance that does flow follows institutional capability, not exposure, favouring large metropolises over the intermediate cities most at risk (Clifton et al., 2025). Land value capture (LVC) has evolved apart from climate finance (Dunning and Lord, 2020), and its few climate applications cluster in coastal-flooding contexts, leaving water-scarce Majority-World cities undocumented.</w:t>
      </w:r>
    </w:p>
    <w:p>
      <w:pPr>
        <w:spacing w:after="120"/>
      </w:pPr>
      <w:r>
        <w:rPr>
          <w:b/>
        </w:rPr>
        <w:t xml:space="preserve">Methods. </w:t>
      </w:r>
      <w:r>
        <w:t>We present a single-case study of Luján de Cuyo (Mendoza, Argentina; ~175,000 residents), a semi-arid city legislating a coordinated six-instrument LVC package, ring-fenced in a municipal trust fund (Fideicomiso) and allocated by a district-level Sustainable Urbanism Priority Index. Drawing on municipal collection records, the 2026 public-works programme, the buildability code, and land- and built-value maps, we separate realized revenue from deterministic ex ante estimates and analyse incidence—who pays, who benefits.</w:t>
      </w:r>
    </w:p>
    <w:p>
      <w:pPr>
        <w:spacing w:after="120"/>
      </w:pPr>
      <w:r>
        <w:rPr>
          <w:b/>
        </w:rPr>
        <w:t xml:space="preserve">Results. </w:t>
      </w:r>
      <w:r>
        <w:t>Two instruments already operate: a surcharge on 5,315 idle parcels and a water-and-sewer charge whose real collections rose elevenfold in 2021–2025. The full package could raise USD 1.8–5.6 million per year (central ≈ USD 3 million) before leverage, with roughly USD 1 million already collected; ring-fenced, the stream anchors grant-matching and green-bond repayment. Binding disbursement to the index steers investment toward districts with least green space, water, and services, guarding against regressive outcomes.</w:t>
      </w:r>
    </w:p>
    <w:p>
      <w:pPr>
        <w:spacing w:after="120"/>
      </w:pPr>
      <w:r>
        <w:rPr>
          <w:b/>
        </w:rPr>
        <w:t xml:space="preserve">Conclusions. </w:t>
      </w:r>
      <w:r>
        <w:t>A ring-fenced, indicator-governed LVC trust fund is a bankability bridge: it turns the land-use windfall into matched, repayable, equitably allocated adaptation finance with low-carbon co-benefits—a replicable template for water-stressed Majority-World cities.</w:t>
      </w:r>
    </w:p>
    <w:p>
      <w:r>
        <w:rPr>
          <w:b/>
        </w:rPr>
        <w:t xml:space="preserve">Keywords: </w:t>
      </w:r>
      <w:r>
        <w:t>land value capture; climate adaptation finance; municipal trust funds; water scarcity; low-carbon co-benefits; Majority-World cities; incidence and equity; Argentina</w:t>
      </w:r>
    </w:p>
    <w:p>
      <w:pPr>
        <w:pStyle w:val="Heading1"/>
      </w:pPr>
      <w:r>
        <w:t>Summary for Policymakers</w:t>
      </w:r>
    </w:p>
    <w:p>
      <w:pPr>
        <w:pStyle w:val="ListBullet"/>
        <w:spacing w:after="40"/>
      </w:pPr>
      <w:r>
        <w:t>A ring-fenced, indicator-governed trust fund (fideicomiso) is a city’s gateway to international climate finance: it supplies both the counterpart (matching) funds and the repayment security that grants, green bonds, and facilities such as CAF, the IDB, and the Green Climate Fund require.</w:t>
      </w:r>
    </w:p>
    <w:p>
      <w:pPr>
        <w:pStyle w:val="ListBullet"/>
        <w:spacing w:after="40"/>
      </w:pPr>
      <w:r>
        <w:t>Coordinate instruments as a package and sequence by capacity: start with a vacant-land surcharge and a service-capacity charge, which can collect quickly, then add the value-capture instruments.</w:t>
      </w:r>
    </w:p>
    <w:p>
      <w:pPr>
        <w:pStyle w:val="ListBullet"/>
        <w:spacing w:after="40"/>
      </w:pPr>
      <w:r>
        <w:t>Earmark every charge to the fund by ordinance and index its base to inflation, or the proceeds dissipate into the general budget and lose their leverage.</w:t>
      </w:r>
    </w:p>
    <w:p>
      <w:pPr>
        <w:pStyle w:val="ListBullet"/>
        <w:spacing w:after="40"/>
      </w:pPr>
      <w:r>
        <w:t>Bind spending to a district-level priority index that foregrounds incidence—who pays, who benefits—so value captured in high-value districts funds need in deprived ones.</w:t>
      </w:r>
    </w:p>
    <w:p>
      <w:pPr>
        <w:pStyle w:val="ListBullet"/>
        <w:spacing w:after="40"/>
      </w:pPr>
      <w:r>
        <w:t>Water-scarcity adaptation is financeable with land-based revenue: binding hydrological limits reinforce the capitalisation logic of LVC.</w:t>
      </w:r>
    </w:p>
    <w:p>
      <w:pPr>
        <w:pStyle w:val="ListBullet"/>
        <w:spacing w:after="40"/>
      </w:pPr>
      <w:r>
        <w:t>The compact, transit-oriented growth the instruments reward also cuts emissions, so adaptation finance and low-carbon development advance with the same lever.</w:t>
      </w:r>
    </w:p>
    <w:p>
      <w:pPr>
        <w:pStyle w:val="ListBullet"/>
        <w:spacing w:after="40"/>
      </w:pPr>
      <w:r>
        <w:t>In Luján de Cuyo two instruments already collect about USD 1 million a year; the full package could raise USD 1.8–5.6 million a year before leverage.</w:t>
      </w:r>
    </w:p>
    <w:p>
      <w:pPr>
        <w:pStyle w:val="Heading1"/>
      </w:pPr>
      <w:r>
        <w:t>Background</w:t>
      </w:r>
    </w:p>
    <w:p>
      <w:pPr>
        <w:pStyle w:val="Heading2"/>
      </w:pPr>
      <w:r>
        <w:t>A finance problem disguised as an engineering problem</w:t>
      </w:r>
    </w:p>
    <w:p>
      <w:pPr>
        <w:spacing w:after="120" w:line="276" w:lineRule="auto"/>
      </w:pPr>
      <w:r>
        <w:t>Adaptation is usually framed as a question of engineering: build the seawall, lay the larger pipe, plant the trees. For most cities the binding constraint is not knowing what to build but finding the money to build it. The United Nations Environment Programme puts developing-country adaptation needs at USD 215–387 billion per year this decade and finds that actual flows cover a small fraction. For cities the shortfall is starker still: urban climate finance roughly doubled to about USD 831 billion by 2022, yet the Cities Climate Finance Leadership Alliance reckons it must rise more than fivefold this decade, and that cities in emerging and developing economies alone need on the order of USD 147 billion a year for adaptation by 2030 (CCFLA, 2024). The shortfall is not evenly distributed. Coastal megacities and national capitals commission feasibility studies, issue debt, and negotiate with multilateral funds; the intermediate cities of the Majority World, where much of the planet’s urban growth is now happening, cannot. They lack the credit ratings, the technical staff, and—most quietly fatal—the documented, dedicated revenue that international financiers treat as the price of admission.</w:t>
      </w:r>
    </w:p>
    <w:p>
      <w:pPr>
        <w:spacing w:after="120" w:line="276" w:lineRule="auto"/>
      </w:pPr>
      <w:r>
        <w:t>This bias is not hypothetical; it is the observed pattern. Examining European Investment Bank climate lending in 2021–2023, Clifton et al. (2025) find that finance flowed disproportionately to large metropolitan regions—the places with the deepest institutions, the thickest pipelines, and the most technical capacity—rather than to the regions most exposed to the transition. Climate money follows capability more than need, producing a two-speed transition. If that bias holds in Europe, it holds with greater force across the Majority World. The lesson reframes the task: the binding problem for an intermediate city is not the scarcity of global capital but its own inability to compete for it. Build the capability—the revenue, the pipeline, the evidence—and the geography of climate finance can begin to shift.</w:t>
      </w:r>
    </w:p>
    <w:p>
      <w:pPr>
        <w:spacing w:after="120" w:line="276" w:lineRule="auto"/>
      </w:pPr>
      <w:r>
        <w:t>Building that capability begins with a resource these cities already own but rarely capture: the rise in land value that public action and urban growth create. Land prices are the urban economy’s information system; they capitalise, into one observable number, the value of access, infrastructure, regulation, and amenity. When a city paves a road, extends a water main, or rezones a vineyard for housing, it transfers wealth to whoever owns the affected land. Henry George saw the implication a century and a half ago, and the modern economics of capitalisation (Glaeser, 2011; Duranton &amp; Puga, 2015) has sharpened it: much urban land value is “unearned” by the owner, which makes it an unusually efficient and unusually fair base for public revenue.</w:t>
      </w:r>
    </w:p>
    <w:p>
      <w:pPr>
        <w:spacing w:after="120" w:line="276" w:lineRule="auto"/>
      </w:pPr>
      <w:r>
        <w:t>In a water-stressed region the windfall and the damage are joined at the hip. In Luján de Cuyo a hectare of vineyard rezoned for subdivision can multiply in value several-fold; the same conversion seals a permeable surface, removes a recharge area, swaps irrigation demand for higher-per-capita domestic demand, and erases a carbon sink. Private gain and collective cost are produced by one and the same act. We call this the water–land value paradox: development capitalises a premium that depends on water security while undermining the water security on which the premium depends. The paradox is also the opportunity—capturing a slice of the development-generated increment to finance water and green infrastructure closes the loop between the activity that creates the adaptation cost and the instrument that pays for the response.</w:t>
      </w:r>
    </w:p>
    <w:p>
      <w:pPr>
        <w:spacing w:after="120" w:line="276" w:lineRule="auto"/>
      </w:pPr>
      <w:r>
        <w:t>Crucially, the same design that finances adaptation also lowers emissions—which matters for a special issue concerned with low-carbon as well as resilient futures. The instruments reward compact, transit-oriented growth: the development-rights and rezoning charges are concentrated on the metrotranvía corridor and the urban centralities, while the vacant-land surcharge pushes infill rather than sprawl. Denser, transit-served development cuts vehicle travel and per-capita energy and water use, and it spares the agricultural and piedmont land whose conversion would otherwise release soil carbon and erase recharge. Adaptation finance and mitigation, in this design, are the same lever pulled once.</w:t>
      </w:r>
    </w:p>
    <w:p>
      <w:pPr>
        <w:pStyle w:val="Heading2"/>
      </w:pPr>
      <w:r>
        <w:t>Literature and the gap</w:t>
      </w:r>
    </w:p>
    <w:p>
      <w:pPr>
        <w:spacing w:after="120" w:line="276" w:lineRule="auto"/>
      </w:pPr>
      <w:r>
        <w:t>Land value capture recovers for the public some of the land-value increment created by public investment, regulation, or growth. Latin America has experimented with it for the better part of a century, from Colombia’s contribución de valorización to São Paulo’s auctioned building-rights certificates (CEPACs) and Brazil’s 2001 City Statute, and the toolkit is now well catalogued (Smolka, 2013; OECD &amp; Lincoln Institute, 2022). The recurring lesson is that the gap is not legal authorisation but execution: weak valuation, landowner resistance, and thin administrative capacity hollow out instruments that look powerful on paper—constraints that bite hardest in intermediate cities, understudied relative to the metropolises that supply most of the evidence.</w:t>
      </w:r>
    </w:p>
    <w:p>
      <w:pPr>
        <w:spacing w:after="120" w:line="276" w:lineRule="auto"/>
      </w:pPr>
      <w:r>
        <w:t>Latin America offers both the template and the cautionary tale. Bogotá has financed major road and public-space programmes through betterment contributions (contribución de valorización); São Paulo auctions additional building rights as tradable certificates (CEPACs); and Brazil’s 2001 City Statute codified a broad menu now emulated across the region. Yet implementation is uneven: Smolka (2013) documents a persistent gap between legal authorisation and effective deployment, rooted in weak valuation, landowner resistance, and limited administrative capacity. These constraints are sharpest in intermediate cities, which combine fast peri-urban growth with thin technical staff—precisely the cities the evidence base neglects. Luján de Cuyo is therefore not a scaled-down metropolis but a distinct, and more representative, setting.</w:t>
      </w:r>
    </w:p>
    <w:p>
      <w:pPr>
        <w:spacing w:after="120" w:line="276" w:lineRule="auto"/>
      </w:pPr>
      <w:r>
        <w:t>The adaptation-finance literature, in turn, converges on a single diagnosis: the problem is less the absence of capital than the absence of bankable projects to absorb it. Adaptation goods are non-excludable and hard to monetise; municipal balance sheets are opaque or unrated; and the documentation thresholds of facilities such as the Green Climate Fund exceed what most intermediate cities can produce. The consensus—visible in the Coalition for Urban Transitions’ creditworthiness agenda and in C40’s analysis of urban adaptation, which finds that cities mobilise private investment when they can show clear revenue models, investable pipelines, and strong enabling conditions (C40 Cities &amp; GCoM, 2026)—is that own-source revenue is the hinge. Yet the LVC and climate-finance literatures have run on separate tracks; Dunning and Lord (2020) note the missing point of tangency between them. What the field lacks is a concrete, documented mechanism for generating such revenue at the intermediate-city scale and coupling it to adaptation. This paper supplies one.</w:t>
      </w:r>
    </w:p>
    <w:p>
      <w:pPr>
        <w:spacing w:after="120" w:line="276" w:lineRule="auto"/>
      </w:pPr>
      <w:r>
        <w:t>Access to reliable water is itself capitalised into land values—premiums of roughly 8 to 25 percent are reported for arid and semi-arid settings—and scarcity discounts them. Where irrigated farmland converts to housing, the price jump reflects both the change in permitted use and an implicit bet on continued water availability, even as the conversion degrades the hydrological system that justifies the bet. Coupling land value capture to adaptation is therefore not merely administratively convenient but economically coherent: the instrument taxes the very transaction that produces the externality and channels the proceeds to the investments that offset it. Treated this way, land value capture is not a revenue tool bolted onto a climate plan but an element of climate governance—linking land-use regulation, fiscal policy, and adaptation within one institutional architecture.</w:t>
      </w:r>
    </w:p>
    <w:p>
      <w:pPr>
        <w:pStyle w:val="Heading2"/>
      </w:pPr>
      <w:r>
        <w:t>Case and research questions</w:t>
      </w:r>
    </w:p>
    <w:p>
      <w:pPr>
        <w:spacing w:after="120" w:line="276" w:lineRule="auto"/>
      </w:pPr>
      <w:r>
        <w:t>Luján de Cuyo sits at the foot of the Andes in Mendoza, in one of the world’s great wine regions and one of its drier inhabited landscapes—annual precipitation near 200 millimetres. Everything productive depends on Andean snowmelt routed through an irrigation network older than the republic. Two trends are colliding: the snowpack has thinned over three decades of warming, while the population has grown fast—the 2022 census counts about 175,000 residents, roughly 46 percent more than in 2010. Growth is eating the irrigated periphery, and each converted hectare adds domestic water demand while subtracting the permeability that recharges the aquifer. We ask three questions. First, can a coordinated set of LVC instruments generate dedicated adaptation revenue in an intermediate, water-stressed, Majority-World city? Second, what institutional architecture turns that revenue into access to international climate finance? Third—central to this journal’s concern that climate finance can entrench inequity—how can the allocation of the proceeds embed incidence and equity, directing investment to the districts that most need it while the charges fall on those who capture the windfall?</w:t>
      </w:r>
    </w:p>
    <w:p>
      <w:pPr>
        <w:pStyle w:val="Heading1"/>
      </w:pPr>
      <w:r>
        <w:t>Methods</w:t>
      </w:r>
    </w:p>
    <w:p>
      <w:pPr>
        <w:spacing w:after="120" w:line="276" w:lineRule="auto"/>
      </w:pPr>
      <w:r>
        <w:t>This is a single-case study, a design suited to documenting an institutional innovation in depth while it is still observable. Argentina’s federal arrangement gives Mendoza’s municipalities real authority over zoning, building permits, and local charges, while the province retains water rights and trunk infrastructure. Over 2023–2026 Luján de Cuyo used that authority to assemble an integrated system—an Ordinance of Urban-Economy Instruments; a Municipal Land and Real-Estate Bank and an earmarked Urban-Economy Fund (Ordinances 15081 and 15093 of 2025); an administration trust to pool the flows; a draft buildability code (COS 2026); and a district-level priority index—several components of which already operate. The case is therefore unusually well suited to study because the instruments are not hypothetical.</w:t>
      </w:r>
    </w:p>
    <w:p>
      <w:pPr>
        <w:spacing w:after="120" w:line="276" w:lineRule="auto"/>
      </w:pPr>
      <w:r>
        <w:t>The evidence is primary municipal material gathered between 2018 and 2026: the ordinances and draft instruments code; the 2026 public-works programme; the 2026 tax roll and vacant-land padrón; collection records for the operational charges; the municipal land-value, built-value, and fiscal-assessment maps; the draft COS 2026 buildability schedule and a comparative zoning analysis; and the priority-index methodology with its first district-level results. We separate two footings throughout. Realized revenue is what the two operational instruments actually collect, drawn from municipal records. Ex-ante potential, for the designed instruments, is a transparent deterministic build-up that applies the ordinance’s own formulas to real parameters—works costs, land and built values, buildability—rather than to assumed transaction volumes; because no transactions yet exist, the point estimates are illustrative, reported as conservative, baseline, and optimistic scenarios, and we are candid about the one genuinely unobserved parameter, the future take-up of instruments not yet in force. All peso figures are expressed in inflation- and exchange-rate-adjusted US dollars; the Tax Unit (Unidad Tributaria, UT) is set at its 2026 value (ARS 235) and conversions use the 2025 average rate (ARS 1,244.17/USD). Incidence is treated as a design variable: for each instrument we identify who bears the charge, and we test whether planned investment reaches the districts the index ranks as most in need.</w:t>
      </w:r>
    </w:p>
    <w:p>
      <w:pPr>
        <w:spacing w:after="120" w:line="276" w:lineRule="auto"/>
      </w:pPr>
      <w:r>
        <w:t>Each designed instrument is sized from a different real parameter, and we state the rule in each case. The betterment levy is the cost of the eligible 2026 public works multiplied by a cost-recovery share of 25–50 percent, within the ordinance’s legal ceiling. Development-rights sales are the additional buildable area absorbed each year—a take-up applied to the ceiling set by the new buildability code—multiplied by a price per square metre expressed in Tax Units and benchmarked to the municipal built-value map. Differential rent capture is sized analogously on the rezoning-driven share of that buildable demand. Realized figures, by contrast, require no assumption: they are the amounts the two operational instruments actually collected, deflated and converted. Throughout, we prefer the conservative end of plausible ranges, so the headline figures are best read as a floor.</w:t>
      </w:r>
    </w:p>
    <w:p>
      <w:pPr>
        <w:spacing w:after="120" w:line="276" w:lineRule="auto"/>
      </w:pPr>
      <w:r>
        <w:t>A single-case design is appropriate because the object of study is an institutional configuration—six instruments, a trust fund, and an allocation index—observed as it is assembled; the aim is analytical generalisation to comparable water-stressed intermediate cities, not statistical inference. We triangulate across document types (ordinances, tax rolls, works programmes, valuation maps, and the index methodology) and, where a figure is realized, cross-check ordinance text against collection records. The central methodological discipline is to keep realized revenue and ex ante potential in separate columns and never to let the second borrow the credibility of the first.</w:t>
      </w:r>
    </w:p>
    <w:p>
      <w:pPr>
        <w:pStyle w:val="Heading1"/>
      </w:pPr>
      <w:r>
        <w:t>Results</w:t>
      </w:r>
    </w:p>
    <w:p>
      <w:pPr>
        <w:spacing w:after="120" w:line="276" w:lineRule="auto"/>
      </w:pPr>
      <w:r>
        <w:t>We first document the framework the case reveals—the six instruments, the trust fund, and the priority index—then report the revenue, incidence, and alignment results.</w:t>
      </w:r>
    </w:p>
    <w:p>
      <w:pPr>
        <w:pStyle w:val="Heading2"/>
      </w:pPr>
      <w:r>
        <w:t>The six instruments</w:t>
      </w:r>
    </w:p>
    <w:p>
      <w:pPr>
        <w:spacing w:after="120" w:line="276" w:lineRule="auto"/>
      </w:pPr>
      <w:r>
        <w:t>The framework coordinates six instruments, each catching the increment at a different point in the development cycle and designed to work as a system rather than a menu (Table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Instrument</w:t>
            </w:r>
          </w:p>
        </w:tc>
        <w:tc>
          <w:tcPr>
            <w:tcW w:type="dxa" w:w="2160"/>
          </w:tcPr>
          <w:p>
            <w:r/>
            <w:r>
              <w:rPr>
                <w:b/>
                <w:sz w:val="18"/>
              </w:rPr>
              <w:t>Trigger</w:t>
            </w:r>
          </w:p>
        </w:tc>
        <w:tc>
          <w:tcPr>
            <w:tcW w:type="dxa" w:w="2160"/>
          </w:tcPr>
          <w:p>
            <w:r/>
            <w:r>
              <w:rPr>
                <w:b/>
                <w:sz w:val="18"/>
              </w:rPr>
              <w:t>Capture rate</w:t>
            </w:r>
          </w:p>
        </w:tc>
        <w:tc>
          <w:tcPr>
            <w:tcW w:type="dxa" w:w="2160"/>
          </w:tcPr>
          <w:p>
            <w:r/>
            <w:r>
              <w:rPr>
                <w:b/>
                <w:sz w:val="18"/>
              </w:rPr>
              <w:t>Climate function</w:t>
            </w:r>
          </w:p>
        </w:tc>
      </w:tr>
      <w:tr>
        <w:tc>
          <w:tcPr>
            <w:tcW w:type="dxa" w:w="2160"/>
          </w:tcPr>
          <w:p>
            <w:r/>
            <w:r>
              <w:rPr>
                <w:sz w:val="18"/>
              </w:rPr>
              <w:t>Betterment contributions</w:t>
            </w:r>
          </w:p>
        </w:tc>
        <w:tc>
          <w:tcPr>
            <w:tcW w:type="dxa" w:w="2160"/>
          </w:tcPr>
          <w:p>
            <w:r/>
            <w:r>
              <w:rPr>
                <w:sz w:val="18"/>
              </w:rPr>
              <w:t>Public infrastructure investment</w:t>
            </w:r>
          </w:p>
        </w:tc>
        <w:tc>
          <w:tcPr>
            <w:tcW w:type="dxa" w:w="2160"/>
          </w:tcPr>
          <w:p>
            <w:r/>
            <w:r>
              <w:rPr>
                <w:sz w:val="18"/>
              </w:rPr>
              <w:t>30-50% of uplift</w:t>
            </w:r>
          </w:p>
        </w:tc>
        <w:tc>
          <w:tcPr>
            <w:tcW w:type="dxa" w:w="2160"/>
          </w:tcPr>
          <w:p>
            <w:r/>
            <w:r>
              <w:rPr>
                <w:sz w:val="18"/>
              </w:rPr>
              <w:t>Finances and demonstrates returns on water works</w:t>
            </w:r>
          </w:p>
        </w:tc>
      </w:tr>
      <w:tr>
        <w:tc>
          <w:tcPr>
            <w:tcW w:type="dxa" w:w="2160"/>
          </w:tcPr>
          <w:p>
            <w:r/>
            <w:r>
              <w:rPr>
                <w:sz w:val="18"/>
              </w:rPr>
              <w:t>Differential rent capture</w:t>
            </w:r>
          </w:p>
        </w:tc>
        <w:tc>
          <w:tcPr>
            <w:tcW w:type="dxa" w:w="2160"/>
          </w:tcPr>
          <w:p>
            <w:r/>
            <w:r>
              <w:rPr>
                <w:sz w:val="18"/>
              </w:rPr>
              <w:t>Rezoning of agricultural to urban use</w:t>
            </w:r>
          </w:p>
        </w:tc>
        <w:tc>
          <w:tcPr>
            <w:tcW w:type="dxa" w:w="2160"/>
          </w:tcPr>
          <w:p>
            <w:r/>
            <w:r>
              <w:rPr>
                <w:sz w:val="18"/>
              </w:rPr>
              <w:t>30-50% of differential</w:t>
            </w:r>
          </w:p>
        </w:tc>
        <w:tc>
          <w:tcPr>
            <w:tcW w:type="dxa" w:w="2160"/>
          </w:tcPr>
          <w:p>
            <w:r/>
            <w:r>
              <w:rPr>
                <w:sz w:val="18"/>
              </w:rPr>
              <w:t>Links conversion cost to adaptation revenue</w:t>
            </w:r>
          </w:p>
        </w:tc>
      </w:tr>
      <w:tr>
        <w:tc>
          <w:tcPr>
            <w:tcW w:type="dxa" w:w="2160"/>
          </w:tcPr>
          <w:p>
            <w:r/>
            <w:r>
              <w:rPr>
                <w:sz w:val="18"/>
              </w:rPr>
              <w:t>Vacant-land charges</w:t>
            </w:r>
          </w:p>
        </w:tc>
        <w:tc>
          <w:tcPr>
            <w:tcW w:type="dxa" w:w="2160"/>
          </w:tcPr>
          <w:p>
            <w:r/>
            <w:r>
              <w:rPr>
                <w:sz w:val="18"/>
              </w:rPr>
              <w:t>Idle serviced parcels</w:t>
            </w:r>
          </w:p>
        </w:tc>
        <w:tc>
          <w:tcPr>
            <w:tcW w:type="dxa" w:w="2160"/>
          </w:tcPr>
          <w:p>
            <w:r/>
            <w:r>
              <w:rPr>
                <w:sz w:val="18"/>
              </w:rPr>
              <w:t>Progressive surcharge</w:t>
            </w:r>
          </w:p>
        </w:tc>
        <w:tc>
          <w:tcPr>
            <w:tcW w:type="dxa" w:w="2160"/>
          </w:tcPr>
          <w:p>
            <w:r/>
            <w:r>
              <w:rPr>
                <w:sz w:val="18"/>
              </w:rPr>
              <w:t>Promotes compact growth; curbs sprawl</w:t>
            </w:r>
          </w:p>
        </w:tc>
      </w:tr>
      <w:tr>
        <w:tc>
          <w:tcPr>
            <w:tcW w:type="dxa" w:w="2160"/>
          </w:tcPr>
          <w:p>
            <w:r/>
            <w:r>
              <w:rPr>
                <w:sz w:val="18"/>
              </w:rPr>
              <w:t>Development-rights sales</w:t>
            </w:r>
          </w:p>
        </w:tc>
        <w:tc>
          <w:tcPr>
            <w:tcW w:type="dxa" w:w="2160"/>
          </w:tcPr>
          <w:p>
            <w:r/>
            <w:r>
              <w:rPr>
                <w:sz w:val="18"/>
              </w:rPr>
              <w:t>Building above the base line</w:t>
            </w:r>
          </w:p>
        </w:tc>
        <w:tc>
          <w:tcPr>
            <w:tcW w:type="dxa" w:w="2160"/>
          </w:tcPr>
          <w:p>
            <w:r/>
            <w:r>
              <w:rPr>
                <w:sz w:val="18"/>
              </w:rPr>
              <w:t>Market-priced (COS 2026)</w:t>
            </w:r>
          </w:p>
        </w:tc>
        <w:tc>
          <w:tcPr>
            <w:tcW w:type="dxa" w:w="2160"/>
          </w:tcPr>
          <w:p>
            <w:r/>
            <w:r>
              <w:rPr>
                <w:sz w:val="18"/>
              </w:rPr>
              <w:t>Channels density; rewards water efficiency</w:t>
            </w:r>
          </w:p>
        </w:tc>
      </w:tr>
      <w:tr>
        <w:tc>
          <w:tcPr>
            <w:tcW w:type="dxa" w:w="2160"/>
          </w:tcPr>
          <w:p>
            <w:r/>
            <w:r>
              <w:rPr>
                <w:sz w:val="18"/>
              </w:rPr>
              <w:t>Tax incentives</w:t>
            </w:r>
          </w:p>
        </w:tc>
        <w:tc>
          <w:tcPr>
            <w:tcW w:type="dxa" w:w="2160"/>
          </w:tcPr>
          <w:p>
            <w:r/>
            <w:r>
              <w:rPr>
                <w:sz w:val="18"/>
              </w:rPr>
              <w:t>Climate-responsive features</w:t>
            </w:r>
          </w:p>
        </w:tc>
        <w:tc>
          <w:tcPr>
            <w:tcW w:type="dxa" w:w="2160"/>
          </w:tcPr>
          <w:p>
            <w:r/>
            <w:r>
              <w:rPr>
                <w:sz w:val="18"/>
              </w:rPr>
              <w:t>Variable relief</w:t>
            </w:r>
          </w:p>
        </w:tc>
        <w:tc>
          <w:tcPr>
            <w:tcW w:type="dxa" w:w="2160"/>
          </w:tcPr>
          <w:p>
            <w:r/>
            <w:r>
              <w:rPr>
                <w:sz w:val="18"/>
              </w:rPr>
              <w:t>Internalises the conversion externality</w:t>
            </w:r>
          </w:p>
        </w:tc>
      </w:tr>
      <w:tr>
        <w:tc>
          <w:tcPr>
            <w:tcW w:type="dxa" w:w="2160"/>
          </w:tcPr>
          <w:p>
            <w:r/>
            <w:r>
              <w:rPr>
                <w:sz w:val="18"/>
              </w:rPr>
              <w:t>Transferable dev. rights</w:t>
            </w:r>
          </w:p>
        </w:tc>
        <w:tc>
          <w:tcPr>
            <w:tcW w:type="dxa" w:w="2160"/>
          </w:tcPr>
          <w:p>
            <w:r/>
            <w:r>
              <w:rPr>
                <w:sz w:val="18"/>
              </w:rPr>
              <w:t>Development in receiving zones</w:t>
            </w:r>
          </w:p>
        </w:tc>
        <w:tc>
          <w:tcPr>
            <w:tcW w:type="dxa" w:w="2160"/>
          </w:tcPr>
          <w:p>
            <w:r/>
            <w:r>
              <w:rPr>
                <w:sz w:val="18"/>
              </w:rPr>
              <w:t>Market-determined</w:t>
            </w:r>
          </w:p>
        </w:tc>
        <w:tc>
          <w:tcPr>
            <w:tcW w:type="dxa" w:w="2160"/>
          </w:tcPr>
          <w:p>
            <w:r/>
            <w:r>
              <w:rPr>
                <w:sz w:val="18"/>
              </w:rPr>
              <w:t>Protects recharge zones without purchase</w:t>
            </w:r>
          </w:p>
        </w:tc>
      </w:tr>
    </w:tbl>
    <w:p>
      <w:pPr>
        <w:spacing w:after="200"/>
      </w:pPr>
      <w:r>
        <w:rPr>
          <w:i/>
          <w:sz w:val="18"/>
        </w:rPr>
        <w:t>Table 1. The six instruments, their triggers, and their adaptation functions.</w:t>
      </w:r>
    </w:p>
    <w:p>
      <w:pPr>
        <w:spacing w:after="120" w:line="276" w:lineRule="auto"/>
      </w:pPr>
      <w:r>
        <w:t>Betterment contributions recover 30 to 50 percent of the assessed uplift that a public work confers on nearby property, with benefit zones drawn by GIS and water-related revenue earmarked to the adaptation fund; the instrument both finances the work and demonstrates, in cash, that the work paid. Differential rent capture taxes the uplift from rezoning—again 30 to 50 percent of the before/after differential—linking, in a single instrument, the conversion of permeable agricultural land that creates the adaptation cost to the payment that funds the response. A progressive vacant-land surcharge falls on serviced but idle parcels, pushing development inward, penalising speculation, and—because it rides on the existing tax roll—collecting almost immediately.</w:t>
      </w:r>
    </w:p>
    <w:p>
      <w:pPr>
        <w:spacing w:after="120" w:line="276" w:lineRule="auto"/>
      </w:pPr>
      <w:r>
        <w:t>Development-rights sales adapt the Brazilian CEPAC model to an intermediate-city scale, pricing the right to build above a base floor-area line up to a defined maximum and offering density bonuses for water-efficient design. Tax incentives reward permeable surfaces, tree retention, and green-building standards, creating a gradient in which conversion without adaptation features pays the full charge while adaptation-aligned projects earn relief. Transferable development rights protect recharge zones and farmland through the market rather than the budget. Two design rules matter more than the exact rates: index every base to inflation, which in a volatile economy is the difference between a live instrument and a dead one; and earmark every peso to the trust fund by ordinance at the moment the instrument is created, before the general budget learns to depend on it.</w:t>
      </w:r>
    </w:p>
    <w:p>
      <w:pPr>
        <w:pStyle w:val="Heading2"/>
      </w:pPr>
      <w:r>
        <w:t>The trust fund as a matching-funds and repayment vehicle</w:t>
      </w:r>
    </w:p>
    <w:p>
      <w:pPr>
        <w:spacing w:after="120" w:line="276" w:lineRule="auto"/>
      </w:pPr>
      <w:r>
        <w:t>Routing every instrument’s proceeds through a dedicated trust fund (fideicomiso), legally distinct from the general budget, is the decision that makes the rest work: a ring-fenced, audited pool is the collateral a financier can see, and legal separation protects it from reallocation during fiscal stress. In Luján de Cuyo this is already law—Ordinances 15081 and 15093 of 2025 created the Land and Real-Estate Bank (BMTI) and the Urban-Economy Fund (FEULDC), with an administration trust to pool the flows.</w:t>
      </w:r>
    </w:p>
    <w:p>
      <w:pPr>
        <w:spacing w:after="120" w:line="276" w:lineRule="auto"/>
      </w:pPr>
      <w:r>
        <w:t>The fund splits net revenue into three sub-accounts: an Infrastructure Investment Account (about 60 percent) for capital works in water efficiency, aquifer recharge, stormwater, and green infrastructure; a Maintenance and Operations Account (about 25 percent), the line that grant-funded projects most often forget; and a Leverage Account (about 15 percent) that accumulates the counterpart reserve external facilities require. Governance is part of the collateral: a board pairing the executive—mayor, planning director, comptroller—with two external trustees, a qualified-majority rule that blocks unilateral diversion, and published independent audits.</w:t>
      </w:r>
    </w:p>
    <w:p>
      <w:pPr>
        <w:spacing w:after="120" w:line="276" w:lineRule="auto"/>
      </w:pPr>
      <w:r>
        <w:t>The structure solves the two conditions that most often disqualify intermediate-city projects from green finance: no counterpart funds and no credible repayment source. On matching funds, the Leverage Account compounds a dedicated reserve—about USD 0.45 million a year at a USD 3 million baseline—enough within two or three years to anchor the 10-30 percent counterpart that bilateral facilities and the Green Climate Fund’s Simplified Approval Process expect. On repayment, the same predictable, segregated flows service debt: the water-and-sewer series below is exactly the kind of ring-fenced cash flow against which a debt-service-coverage ratio can be computed and a bond rated. A green-bond issuance of three to four times annual revenue—on the order of USD 9-12 million at the baseline, and more as the package matures—is serviceable from the dedicated streams. The fideicomiso thus converts locally captured land value into matched, repayable, and ultimately larger flows of international climate finance, building credibility for progressively larger facilities (CAF, the IDB, the World Bank, the Green Climate Fund) one delivered project at a time.</w:t>
      </w:r>
    </w:p>
    <w:p>
      <w:pPr>
        <w:spacing w:after="120" w:line="276" w:lineRule="auto"/>
      </w:pPr>
      <w:r>
        <w:t>Transparency is not housekeeping here; it is the collateral. Independent annual audits, quarterly statements published on the municipal website, and a board on which two external trustees sit alongside the executive give a lender something to underwrite and residents something to trust. The same openness underpins the political bargain discussed below: when the public can trace a rezoning charge to a named project in a named district, the instrument reads as adaptation finance rather than as a discretionary tax.</w:t>
      </w:r>
    </w:p>
    <w:p>
      <w:pPr>
        <w:pStyle w:val="Heading2"/>
      </w:pPr>
      <w:r>
        <w:t>The priority index</w:t>
      </w:r>
    </w:p>
    <w:p>
      <w:pPr>
        <w:spacing w:after="120" w:line="276" w:lineRule="auto"/>
      </w:pPr>
      <w:r>
        <w:t>A revenue framework is only as good as the rule that spends the money. The municipality’s Índice de Ciudad Deseada is a composite, district-level index spanning six dimensions and some two dozen indicators (Table 2): green space and biodiversity; mobility and services; compactness and functionality; accessibility to community services; equity and community; and basic infrastructure—the dimension closest to the water-stress framing, capturing water demand (demanda hídrica), network connectivity, and the energy use of public space. Water enters the index three times—as green infrastructure, as the water-demand indicator, and through compactness, which lowers per-capita demand—and every indicator is computed by district, so the framework knows not only what is short but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Dimension</w:t>
            </w:r>
          </w:p>
        </w:tc>
        <w:tc>
          <w:tcPr>
            <w:tcW w:type="dxa" w:w="2880"/>
          </w:tcPr>
          <w:p>
            <w:r/>
            <w:r>
              <w:rPr>
                <w:b/>
                <w:sz w:val="18"/>
              </w:rPr>
              <w:t>Sample indicators</w:t>
            </w:r>
          </w:p>
        </w:tc>
        <w:tc>
          <w:tcPr>
            <w:tcW w:type="dxa" w:w="2880"/>
          </w:tcPr>
          <w:p>
            <w:r/>
            <w:r>
              <w:rPr>
                <w:b/>
                <w:sz w:val="18"/>
              </w:rPr>
              <w:t>Climate / water relevance</w:t>
            </w:r>
          </w:p>
        </w:tc>
      </w:tr>
      <w:tr>
        <w:tc>
          <w:tcPr>
            <w:tcW w:type="dxa" w:w="2880"/>
          </w:tcPr>
          <w:p>
            <w:r/>
            <w:r>
              <w:rPr>
                <w:sz w:val="18"/>
              </w:rPr>
              <w:t>Green space &amp; biodiversity</w:t>
            </w:r>
          </w:p>
        </w:tc>
        <w:tc>
          <w:tcPr>
            <w:tcW w:type="dxa" w:w="2880"/>
          </w:tcPr>
          <w:p>
            <w:r/>
            <w:r>
              <w:rPr>
                <w:sz w:val="18"/>
              </w:rPr>
              <w:t>Public green-space %, 5-min access, m2/inhabitant</w:t>
            </w:r>
          </w:p>
        </w:tc>
        <w:tc>
          <w:tcPr>
            <w:tcW w:type="dxa" w:w="2880"/>
          </w:tcPr>
          <w:p>
            <w:r/>
            <w:r>
              <w:rPr>
                <w:sz w:val="18"/>
              </w:rPr>
              <w:t>Heat-island mitigation; climate refuges</w:t>
            </w:r>
          </w:p>
        </w:tc>
      </w:tr>
      <w:tr>
        <w:tc>
          <w:tcPr>
            <w:tcW w:type="dxa" w:w="2880"/>
          </w:tcPr>
          <w:p>
            <w:r/>
            <w:r>
              <w:rPr>
                <w:sz w:val="18"/>
              </w:rPr>
              <w:t>Mobility &amp; services</w:t>
            </w:r>
          </w:p>
        </w:tc>
        <w:tc>
          <w:tcPr>
            <w:tcW w:type="dxa" w:w="2880"/>
          </w:tcPr>
          <w:p>
            <w:r/>
            <w:r>
              <w:rPr>
                <w:sz w:val="18"/>
              </w:rPr>
              <w:t>Proximity to Metrotranvía/bus; cycle access</w:t>
            </w:r>
          </w:p>
        </w:tc>
        <w:tc>
          <w:tcPr>
            <w:tcW w:type="dxa" w:w="2880"/>
          </w:tcPr>
          <w:p>
            <w:r/>
            <w:r>
              <w:rPr>
                <w:sz w:val="18"/>
              </w:rPr>
              <w:t>Low-carbon mobility</w:t>
            </w:r>
          </w:p>
        </w:tc>
      </w:tr>
      <w:tr>
        <w:tc>
          <w:tcPr>
            <w:tcW w:type="dxa" w:w="2880"/>
          </w:tcPr>
          <w:p>
            <w:r/>
            <w:r>
              <w:rPr>
                <w:sz w:val="18"/>
              </w:rPr>
              <w:t>Compactness &amp; functionality</w:t>
            </w:r>
          </w:p>
        </w:tc>
        <w:tc>
          <w:tcPr>
            <w:tcW w:type="dxa" w:w="2880"/>
          </w:tcPr>
          <w:p>
            <w:r/>
            <w:r>
              <w:rPr>
                <w:sz w:val="18"/>
              </w:rPr>
              <w:t>Density, street permeability, vacant dwellings, air quality</w:t>
            </w:r>
          </w:p>
        </w:tc>
        <w:tc>
          <w:tcPr>
            <w:tcW w:type="dxa" w:w="2880"/>
          </w:tcPr>
          <w:p>
            <w:r/>
            <w:r>
              <w:rPr>
                <w:sz w:val="18"/>
              </w:rPr>
              <w:t>Curbs sprawl and per-capita water demand</w:t>
            </w:r>
          </w:p>
        </w:tc>
      </w:tr>
      <w:tr>
        <w:tc>
          <w:tcPr>
            <w:tcW w:type="dxa" w:w="2880"/>
          </w:tcPr>
          <w:p>
            <w:r/>
            <w:r>
              <w:rPr>
                <w:sz w:val="18"/>
              </w:rPr>
              <w:t>Accessibility to services</w:t>
            </w:r>
          </w:p>
        </w:tc>
        <w:tc>
          <w:tcPr>
            <w:tcW w:type="dxa" w:w="2880"/>
          </w:tcPr>
          <w:p>
            <w:r/>
            <w:r>
              <w:rPr>
                <w:sz w:val="18"/>
              </w:rPr>
              <w:t>Access to education, health, sport, culture, retail</w:t>
            </w:r>
          </w:p>
        </w:tc>
        <w:tc>
          <w:tcPr>
            <w:tcW w:type="dxa" w:w="2880"/>
          </w:tcPr>
          <w:p>
            <w:r/>
            <w:r>
              <w:rPr>
                <w:sz w:val="18"/>
              </w:rPr>
              <w:t>15-minute city; spatial equity</w:t>
            </w:r>
          </w:p>
        </w:tc>
      </w:tr>
      <w:tr>
        <w:tc>
          <w:tcPr>
            <w:tcW w:type="dxa" w:w="2880"/>
          </w:tcPr>
          <w:p>
            <w:r/>
            <w:r>
              <w:rPr>
                <w:sz w:val="18"/>
              </w:rPr>
              <w:t>Equity &amp; community</w:t>
            </w:r>
          </w:p>
        </w:tc>
        <w:tc>
          <w:tcPr>
            <w:tcW w:type="dxa" w:w="2880"/>
          </w:tcPr>
          <w:p>
            <w:r/>
            <w:r>
              <w:rPr>
                <w:sz w:val="18"/>
              </w:rPr>
              <w:t>Overcrowding, housing quality, schooling, health</w:t>
            </w:r>
          </w:p>
        </w:tc>
        <w:tc>
          <w:tcPr>
            <w:tcW w:type="dxa" w:w="2880"/>
          </w:tcPr>
          <w:p>
            <w:r/>
            <w:r>
              <w:rPr>
                <w:sz w:val="18"/>
              </w:rPr>
              <w:t>Targets vulnerable households</w:t>
            </w:r>
          </w:p>
        </w:tc>
      </w:tr>
      <w:tr>
        <w:tc>
          <w:tcPr>
            <w:tcW w:type="dxa" w:w="2880"/>
          </w:tcPr>
          <w:p>
            <w:r/>
            <w:r>
              <w:rPr>
                <w:sz w:val="18"/>
              </w:rPr>
              <w:t>Basic infrastructure</w:t>
            </w:r>
          </w:p>
        </w:tc>
        <w:tc>
          <w:tcPr>
            <w:tcW w:type="dxa" w:w="2880"/>
          </w:tcPr>
          <w:p>
            <w:r/>
            <w:r>
              <w:rPr>
                <w:sz w:val="18"/>
              </w:rPr>
              <w:t>Water demand, network connectivity, green points, public-space energy</w:t>
            </w:r>
          </w:p>
        </w:tc>
        <w:tc>
          <w:tcPr>
            <w:tcW w:type="dxa" w:w="2880"/>
          </w:tcPr>
          <w:p>
            <w:r/>
            <w:r>
              <w:rPr>
                <w:sz w:val="18"/>
              </w:rPr>
              <w:t>Water security; resource efficiency</w:t>
            </w:r>
          </w:p>
        </w:tc>
      </w:tr>
    </w:tbl>
    <w:p>
      <w:pPr>
        <w:spacing w:after="200"/>
      </w:pPr>
      <w:r>
        <w:rPr>
          <w:i/>
          <w:sz w:val="18"/>
        </w:rPr>
        <w:t>Table 2. The six dimensions of the priority index, with sample indicators, scored per district on a five-level sufficiency scale (A, &gt;=90%, to E, &lt;25%; a lower grade means a higher investment priority). Source: Municipalidad de Luján de Cuyo, Laboratorio de Políticas Públicas. UT, Unidad Tributaria.</w:t>
      </w:r>
    </w:p>
    <w:p>
      <w:pPr>
        <w:pStyle w:val="Heading2"/>
      </w:pPr>
      <w:r>
        <w:t>Realized revenue: the two operational instruments</w:t>
      </w:r>
    </w:p>
    <w:p>
      <w:pPr>
        <w:spacing w:after="120" w:line="276" w:lineRule="auto"/>
      </w:pPr>
      <w:r>
        <w:t>The clearest proof that land-based revenue can scale is the water-and-sewer feasibility contribution, levied to secure service capacity for new development. Collections climbed from USD 60,699 in 2021 to USD 690,497 in 2025—an elevenfold real increase, a compound annual growth rate of 83.7 percent once inflation and devaluation are stripped out (Table 3)—through one of the most turbulent macroeconomic episodes in Argentine memory. The vacant-land surcharge supplies the second data point: the 2026 roll identifies 5,315 idle parcels (4,996 at a 100-percent surcharge, 319 at 200 percent in priority urban voids), adding about ARS 493 million to the 2026 emission and yielding, net of collection losses, roughly ARS 345 million (USD 277,539). Together the two operational instruments already yield on the order of USD 0.97 million a year—audited, bankable revenue that exists before a single value-capture instrument is sanctioned.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Year</w:t>
            </w:r>
          </w:p>
        </w:tc>
        <w:tc>
          <w:tcPr>
            <w:tcW w:type="dxa" w:w="2160"/>
          </w:tcPr>
          <w:p>
            <w:r/>
            <w:r>
              <w:rPr>
                <w:b/>
                <w:sz w:val="18"/>
              </w:rPr>
              <w:t>Water &amp; sewer contribution (USD)</w:t>
            </w:r>
          </w:p>
        </w:tc>
        <w:tc>
          <w:tcPr>
            <w:tcW w:type="dxa" w:w="2160"/>
          </w:tcPr>
          <w:p>
            <w:r/>
            <w:r>
              <w:rPr>
                <w:b/>
                <w:sz w:val="18"/>
              </w:rPr>
              <w:t>Vacant-land surcharge (USD)</w:t>
            </w:r>
          </w:p>
        </w:tc>
        <w:tc>
          <w:tcPr>
            <w:tcW w:type="dxa" w:w="2160"/>
          </w:tcPr>
          <w:p>
            <w:r/>
            <w:r>
              <w:rPr>
                <w:b/>
                <w:sz w:val="18"/>
              </w:rPr>
              <w:t>Total (USD)</w:t>
            </w:r>
          </w:p>
        </w:tc>
      </w:tr>
      <w:tr>
        <w:tc>
          <w:tcPr>
            <w:tcW w:type="dxa" w:w="2160"/>
          </w:tcPr>
          <w:p>
            <w:r/>
            <w:r>
              <w:rPr>
                <w:sz w:val="18"/>
              </w:rPr>
              <w:t>2021</w:t>
            </w:r>
          </w:p>
        </w:tc>
        <w:tc>
          <w:tcPr>
            <w:tcW w:type="dxa" w:w="2160"/>
          </w:tcPr>
          <w:p>
            <w:r/>
            <w:r>
              <w:rPr>
                <w:sz w:val="18"/>
              </w:rPr>
              <w:t>60,699</w:t>
            </w:r>
          </w:p>
        </w:tc>
        <w:tc>
          <w:tcPr>
            <w:tcW w:type="dxa" w:w="2160"/>
          </w:tcPr>
          <w:p>
            <w:r/>
            <w:r>
              <w:rPr>
                <w:sz w:val="18"/>
              </w:rPr>
              <w:t>-</w:t>
            </w:r>
          </w:p>
        </w:tc>
        <w:tc>
          <w:tcPr>
            <w:tcW w:type="dxa" w:w="2160"/>
          </w:tcPr>
          <w:p>
            <w:r/>
            <w:r>
              <w:rPr>
                <w:sz w:val="18"/>
              </w:rPr>
              <w:t>60,699</w:t>
            </w:r>
          </w:p>
        </w:tc>
      </w:tr>
      <w:tr>
        <w:tc>
          <w:tcPr>
            <w:tcW w:type="dxa" w:w="2160"/>
          </w:tcPr>
          <w:p>
            <w:r/>
            <w:r>
              <w:rPr>
                <w:sz w:val="18"/>
              </w:rPr>
              <w:t>2022</w:t>
            </w:r>
          </w:p>
        </w:tc>
        <w:tc>
          <w:tcPr>
            <w:tcW w:type="dxa" w:w="2160"/>
          </w:tcPr>
          <w:p>
            <w:r/>
            <w:r>
              <w:rPr>
                <w:sz w:val="18"/>
              </w:rPr>
              <w:t>97,212</w:t>
            </w:r>
          </w:p>
        </w:tc>
        <w:tc>
          <w:tcPr>
            <w:tcW w:type="dxa" w:w="2160"/>
          </w:tcPr>
          <w:p>
            <w:r/>
            <w:r>
              <w:rPr>
                <w:sz w:val="18"/>
              </w:rPr>
              <w:t>-</w:t>
            </w:r>
          </w:p>
        </w:tc>
        <w:tc>
          <w:tcPr>
            <w:tcW w:type="dxa" w:w="2160"/>
          </w:tcPr>
          <w:p>
            <w:r/>
            <w:r>
              <w:rPr>
                <w:sz w:val="18"/>
              </w:rPr>
              <w:t>97,212</w:t>
            </w:r>
          </w:p>
        </w:tc>
      </w:tr>
      <w:tr>
        <w:tc>
          <w:tcPr>
            <w:tcW w:type="dxa" w:w="2160"/>
          </w:tcPr>
          <w:p>
            <w:r/>
            <w:r>
              <w:rPr>
                <w:sz w:val="18"/>
              </w:rPr>
              <w:t>2023</w:t>
            </w:r>
          </w:p>
        </w:tc>
        <w:tc>
          <w:tcPr>
            <w:tcW w:type="dxa" w:w="2160"/>
          </w:tcPr>
          <w:p>
            <w:r/>
            <w:r>
              <w:rPr>
                <w:sz w:val="18"/>
              </w:rPr>
              <w:t>168,756</w:t>
            </w:r>
          </w:p>
        </w:tc>
        <w:tc>
          <w:tcPr>
            <w:tcW w:type="dxa" w:w="2160"/>
          </w:tcPr>
          <w:p>
            <w:r/>
            <w:r>
              <w:rPr>
                <w:sz w:val="18"/>
              </w:rPr>
              <w:t>-</w:t>
            </w:r>
          </w:p>
        </w:tc>
        <w:tc>
          <w:tcPr>
            <w:tcW w:type="dxa" w:w="2160"/>
          </w:tcPr>
          <w:p>
            <w:r/>
            <w:r>
              <w:rPr>
                <w:sz w:val="18"/>
              </w:rPr>
              <w:t>168,756</w:t>
            </w:r>
          </w:p>
        </w:tc>
      </w:tr>
      <w:tr>
        <w:tc>
          <w:tcPr>
            <w:tcW w:type="dxa" w:w="2160"/>
          </w:tcPr>
          <w:p>
            <w:r/>
            <w:r>
              <w:rPr>
                <w:sz w:val="18"/>
              </w:rPr>
              <w:t>2024</w:t>
            </w:r>
          </w:p>
        </w:tc>
        <w:tc>
          <w:tcPr>
            <w:tcW w:type="dxa" w:w="2160"/>
          </w:tcPr>
          <w:p>
            <w:r/>
            <w:r>
              <w:rPr>
                <w:sz w:val="18"/>
              </w:rPr>
              <w:t>246,004</w:t>
            </w:r>
          </w:p>
        </w:tc>
        <w:tc>
          <w:tcPr>
            <w:tcW w:type="dxa" w:w="2160"/>
          </w:tcPr>
          <w:p>
            <w:r/>
            <w:r>
              <w:rPr>
                <w:sz w:val="18"/>
              </w:rPr>
              <w:t>-</w:t>
            </w:r>
          </w:p>
        </w:tc>
        <w:tc>
          <w:tcPr>
            <w:tcW w:type="dxa" w:w="2160"/>
          </w:tcPr>
          <w:p>
            <w:r/>
            <w:r>
              <w:rPr>
                <w:sz w:val="18"/>
              </w:rPr>
              <w:t>246,004</w:t>
            </w:r>
          </w:p>
        </w:tc>
      </w:tr>
      <w:tr>
        <w:tc>
          <w:tcPr>
            <w:tcW w:type="dxa" w:w="2160"/>
          </w:tcPr>
          <w:p>
            <w:r/>
            <w:r>
              <w:rPr>
                <w:sz w:val="18"/>
              </w:rPr>
              <w:t>2025</w:t>
            </w:r>
          </w:p>
        </w:tc>
        <w:tc>
          <w:tcPr>
            <w:tcW w:type="dxa" w:w="2160"/>
          </w:tcPr>
          <w:p>
            <w:r/>
            <w:r>
              <w:rPr>
                <w:sz w:val="18"/>
              </w:rPr>
              <w:t>690,497</w:t>
            </w:r>
          </w:p>
        </w:tc>
        <w:tc>
          <w:tcPr>
            <w:tcW w:type="dxa" w:w="2160"/>
          </w:tcPr>
          <w:p>
            <w:r/>
            <w:r>
              <w:rPr>
                <w:sz w:val="18"/>
              </w:rPr>
              <w:t>-</w:t>
            </w:r>
          </w:p>
        </w:tc>
        <w:tc>
          <w:tcPr>
            <w:tcW w:type="dxa" w:w="2160"/>
          </w:tcPr>
          <w:p>
            <w:r/>
            <w:r>
              <w:rPr>
                <w:sz w:val="18"/>
              </w:rPr>
              <w:t>690,497</w:t>
            </w:r>
          </w:p>
        </w:tc>
      </w:tr>
      <w:tr>
        <w:tc>
          <w:tcPr>
            <w:tcW w:type="dxa" w:w="2160"/>
          </w:tcPr>
          <w:p>
            <w:r/>
            <w:r>
              <w:rPr>
                <w:sz w:val="18"/>
              </w:rPr>
              <w:t>2026 (est.)</w:t>
            </w:r>
          </w:p>
        </w:tc>
        <w:tc>
          <w:tcPr>
            <w:tcW w:type="dxa" w:w="2160"/>
          </w:tcPr>
          <w:p>
            <w:r/>
            <w:r>
              <w:rPr>
                <w:sz w:val="18"/>
              </w:rPr>
              <w:t>-</w:t>
            </w:r>
          </w:p>
        </w:tc>
        <w:tc>
          <w:tcPr>
            <w:tcW w:type="dxa" w:w="2160"/>
          </w:tcPr>
          <w:p>
            <w:r/>
            <w:r>
              <w:rPr>
                <w:sz w:val="18"/>
              </w:rPr>
              <w:t>277,539</w:t>
            </w:r>
          </w:p>
        </w:tc>
        <w:tc>
          <w:tcPr>
            <w:tcW w:type="dxa" w:w="2160"/>
          </w:tcPr>
          <w:p>
            <w:r/>
            <w:r>
              <w:rPr>
                <w:sz w:val="18"/>
              </w:rPr>
              <w:t>277,539</w:t>
            </w:r>
          </w:p>
        </w:tc>
      </w:tr>
    </w:tbl>
    <w:p>
      <w:pPr>
        <w:spacing w:after="200"/>
      </w:pPr>
      <w:r>
        <w:rPr>
          <w:i/>
          <w:sz w:val="18"/>
        </w:rPr>
        <w:t>Table 3. Realized revenue from the two operational instruments (FX- and inflation-adjusted USD). Water &amp; sewer real CAGR 2021-2025 = 83.7%. Source: municipal records and 2026 padrón; INDEC and official ARS/USD series. CAGR, compound annual growth rate; FX, foreign exchange.</w:t>
      </w:r>
    </w:p>
    <w:p>
      <w:pPr>
        <w:spacing w:after="120" w:line="276" w:lineRule="auto"/>
      </w:pPr>
      <w:r>
        <w:t>The eleven-fold rise is not an accounting artefact: it survives deflation by the consumer-price index and conversion at the official exchange rate, so it reflects real growth in the charge’s purchasing power, not merely peso inflation. Three forces drive it—sustained development pressure on the irrigated periphery, an instrument base indexed to keep pace with prices, and steady improvement in billing and collection. The lesson for other cities is that a land-linked charge, properly indexed and administered, can become a material revenue line within a single mandate, even amid extreme macroeconomic volatility; the framework’s feasibility is demonstrated, not merely projected.</w:t>
      </w:r>
    </w:p>
    <w:p>
      <w:pPr>
        <w:spacing w:after="120" w:line="276" w:lineRule="auto"/>
      </w:pPr>
      <w:r>
        <w:t>Two robustness notes are warranted. First, the series is reported both in constant 2025 pesos and in US dollars at the official exchange rate; valued at the parallel rate the dollar levels would be lower, but the real growth—measured in pesos before conversion—would be similar, so the elevenfold rise reflects purchasing power rather than an exchange-rate artefact. Second, the increase is quantity as well as price: the charge’s unit base is indexed, but the number of chargeable connections rose with the development pressure documented above, so the trend is not a mere tariff revaluation. The point is not the exact multiple but the direction and durability: a land-linked own-source charge grew in real terms through extreme macroeconomic turbulence.</w:t>
      </w:r>
    </w:p>
    <w:p>
      <w:pPr>
        <w:pStyle w:val="Heading2"/>
      </w:pPr>
      <w:r>
        <w:t>Ex-ante potential of the value-capture instruments</w:t>
      </w:r>
    </w:p>
    <w:p>
      <w:pPr>
        <w:spacing w:after="120" w:line="276" w:lineRule="auto"/>
      </w:pPr>
      <w:r>
        <w:t>The betterment levy is sized against the city’s real 2026 public-works programme (Table 4), which budgets about ARS 6.85 billion (USD 5.5 million) across ten municipally funded projects. Works of high or medium-high environmental impact—stormwater drainage in the Ciudad de Luján centrality, green microplazas, the Tierra del Fuego boulevard, and the canal bridge carrying the metrotranvía connection—account for roughly ARS 4.7 billion, about 69 percent of the programme, so a betterment levy earmarked to the adaptation fund largely recovers the cost of works that are themselves adaptation. Applying the programme’s planning-priority weights and setting aside the network-level canal bridge leaves a betterment-eligible base of about ARS 3.49 billion (USD 2.81 million); recovering 25 to 50 percent yields roughly USD 0.70-1.40 million a year.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Project</w:t>
            </w:r>
          </w:p>
        </w:tc>
        <w:tc>
          <w:tcPr>
            <w:tcW w:type="dxa" w:w="1728"/>
          </w:tcPr>
          <w:p>
            <w:r/>
            <w:r>
              <w:rPr>
                <w:b/>
                <w:sz w:val="18"/>
              </w:rPr>
              <w:t>Budget (ARS)</w:t>
            </w:r>
          </w:p>
        </w:tc>
        <w:tc>
          <w:tcPr>
            <w:tcW w:type="dxa" w:w="1728"/>
          </w:tcPr>
          <w:p>
            <w:r/>
            <w:r>
              <w:rPr>
                <w:b/>
                <w:sz w:val="18"/>
              </w:rPr>
              <w:t>Priority (EA)</w:t>
            </w:r>
          </w:p>
        </w:tc>
        <w:tc>
          <w:tcPr>
            <w:tcW w:type="dxa" w:w="1728"/>
          </w:tcPr>
          <w:p>
            <w:r/>
            <w:r>
              <w:rPr>
                <w:b/>
                <w:sz w:val="18"/>
              </w:rPr>
              <w:t>Env.-adaptation impact</w:t>
            </w:r>
          </w:p>
        </w:tc>
      </w:tr>
      <w:tr>
        <w:tc>
          <w:tcPr>
            <w:tcW w:type="dxa" w:w="1728"/>
          </w:tcPr>
          <w:p>
            <w:r/>
            <w:r>
              <w:rPr>
                <w:sz w:val="18"/>
              </w:rPr>
              <w:t>1274</w:t>
            </w:r>
          </w:p>
        </w:tc>
        <w:tc>
          <w:tcPr>
            <w:tcW w:type="dxa" w:w="1728"/>
          </w:tcPr>
          <w:p>
            <w:r/>
            <w:r>
              <w:rPr>
                <w:sz w:val="18"/>
              </w:rPr>
              <w:t>Cacique Guaymallén canal bridge (metrotranvía / San Martín)</w:t>
            </w:r>
          </w:p>
        </w:tc>
        <w:tc>
          <w:tcPr>
            <w:tcW w:type="dxa" w:w="1728"/>
          </w:tcPr>
          <w:p>
            <w:r/>
            <w:r>
              <w:rPr>
                <w:sz w:val="18"/>
              </w:rPr>
              <w:t>2,000,000,000</w:t>
            </w:r>
          </w:p>
        </w:tc>
        <w:tc>
          <w:tcPr>
            <w:tcW w:type="dxa" w:w="1728"/>
          </w:tcPr>
          <w:p>
            <w:r/>
            <w:r>
              <w:rPr>
                <w:sz w:val="18"/>
              </w:rPr>
              <w:t>1 (80%)</w:t>
            </w:r>
          </w:p>
        </w:tc>
        <w:tc>
          <w:tcPr>
            <w:tcW w:type="dxa" w:w="1728"/>
          </w:tcPr>
          <w:p>
            <w:r/>
            <w:r>
              <w:rPr>
                <w:sz w:val="18"/>
              </w:rPr>
              <w:t>Med-high (drainage + transit)</w:t>
            </w:r>
          </w:p>
        </w:tc>
      </w:tr>
      <w:tr>
        <w:tc>
          <w:tcPr>
            <w:tcW w:type="dxa" w:w="1728"/>
          </w:tcPr>
          <w:p>
            <w:r/>
            <w:r>
              <w:rPr>
                <w:sz w:val="18"/>
              </w:rPr>
              <w:t>395</w:t>
            </w:r>
          </w:p>
        </w:tc>
        <w:tc>
          <w:tcPr>
            <w:tcW w:type="dxa" w:w="1728"/>
          </w:tcPr>
          <w:p>
            <w:r/>
            <w:r>
              <w:rPr>
                <w:sz w:val="18"/>
              </w:rPr>
              <w:t>Centrality, Ciudad de Luján (incl. aluvional drainage)</w:t>
            </w:r>
          </w:p>
        </w:tc>
        <w:tc>
          <w:tcPr>
            <w:tcW w:type="dxa" w:w="1728"/>
          </w:tcPr>
          <w:p>
            <w:r/>
            <w:r>
              <w:rPr>
                <w:sz w:val="18"/>
              </w:rPr>
              <w:t>1,500,000,000</w:t>
            </w:r>
          </w:p>
        </w:tc>
        <w:tc>
          <w:tcPr>
            <w:tcW w:type="dxa" w:w="1728"/>
          </w:tcPr>
          <w:p>
            <w:r/>
            <w:r>
              <w:rPr>
                <w:sz w:val="18"/>
              </w:rPr>
              <w:t>1 (80%)</w:t>
            </w:r>
          </w:p>
        </w:tc>
        <w:tc>
          <w:tcPr>
            <w:tcW w:type="dxa" w:w="1728"/>
          </w:tcPr>
          <w:p>
            <w:r/>
            <w:r>
              <w:rPr>
                <w:sz w:val="18"/>
              </w:rPr>
              <w:t>High (flood drainage + mobility)</w:t>
            </w:r>
          </w:p>
        </w:tc>
      </w:tr>
      <w:tr>
        <w:tc>
          <w:tcPr>
            <w:tcW w:type="dxa" w:w="1728"/>
          </w:tcPr>
          <w:p>
            <w:r/>
            <w:r>
              <w:rPr>
                <w:sz w:val="18"/>
              </w:rPr>
              <w:t>773</w:t>
            </w:r>
          </w:p>
        </w:tc>
        <w:tc>
          <w:tcPr>
            <w:tcW w:type="dxa" w:w="1728"/>
          </w:tcPr>
          <w:p>
            <w:r/>
            <w:r>
              <w:rPr>
                <w:sz w:val="18"/>
              </w:rPr>
              <w:t>Saenz Peña-La Carrodilla / Ruta 15 centrality</w:t>
            </w:r>
          </w:p>
        </w:tc>
        <w:tc>
          <w:tcPr>
            <w:tcW w:type="dxa" w:w="1728"/>
          </w:tcPr>
          <w:p>
            <w:r/>
            <w:r>
              <w:rPr>
                <w:sz w:val="18"/>
              </w:rPr>
              <w:t>1,500,000,000</w:t>
            </w:r>
          </w:p>
        </w:tc>
        <w:tc>
          <w:tcPr>
            <w:tcW w:type="dxa" w:w="1728"/>
          </w:tcPr>
          <w:p>
            <w:r/>
            <w:r>
              <w:rPr>
                <w:sz w:val="18"/>
              </w:rPr>
              <w:t>1 (80%)</w:t>
            </w:r>
          </w:p>
        </w:tc>
        <w:tc>
          <w:tcPr>
            <w:tcW w:type="dxa" w:w="1728"/>
          </w:tcPr>
          <w:p>
            <w:r/>
            <w:r>
              <w:rPr>
                <w:sz w:val="18"/>
              </w:rPr>
              <w:t>Medium</w:t>
            </w:r>
          </w:p>
        </w:tc>
      </w:tr>
      <w:tr>
        <w:tc>
          <w:tcPr>
            <w:tcW w:type="dxa" w:w="1728"/>
          </w:tcPr>
          <w:p>
            <w:r/>
            <w:r>
              <w:rPr>
                <w:sz w:val="18"/>
              </w:rPr>
              <w:t>865</w:t>
            </w:r>
          </w:p>
        </w:tc>
        <w:tc>
          <w:tcPr>
            <w:tcW w:type="dxa" w:w="1728"/>
          </w:tcPr>
          <w:p>
            <w:r/>
            <w:r>
              <w:rPr>
                <w:sz w:val="18"/>
              </w:rPr>
              <w:t>Microplazas (~10 of 20)</w:t>
            </w:r>
          </w:p>
        </w:tc>
        <w:tc>
          <w:tcPr>
            <w:tcW w:type="dxa" w:w="1728"/>
          </w:tcPr>
          <w:p>
            <w:r/>
            <w:r>
              <w:rPr>
                <w:sz w:val="18"/>
              </w:rPr>
              <w:t>1,200,000,000</w:t>
            </w:r>
          </w:p>
        </w:tc>
        <w:tc>
          <w:tcPr>
            <w:tcW w:type="dxa" w:w="1728"/>
          </w:tcPr>
          <w:p>
            <w:r/>
            <w:r>
              <w:rPr>
                <w:sz w:val="18"/>
              </w:rPr>
              <w:t>1 (80%)</w:t>
            </w:r>
          </w:p>
        </w:tc>
        <w:tc>
          <w:tcPr>
            <w:tcW w:type="dxa" w:w="1728"/>
          </w:tcPr>
          <w:p>
            <w:r/>
            <w:r>
              <w:rPr>
                <w:sz w:val="18"/>
              </w:rPr>
              <w:t>High (green space)</w:t>
            </w:r>
          </w:p>
        </w:tc>
      </w:tr>
      <w:tr>
        <w:tc>
          <w:tcPr>
            <w:tcW w:type="dxa" w:w="1728"/>
          </w:tcPr>
          <w:p>
            <w:r/>
            <w:r>
              <w:rPr>
                <w:sz w:val="18"/>
              </w:rPr>
              <w:t>993</w:t>
            </w:r>
          </w:p>
        </w:tc>
        <w:tc>
          <w:tcPr>
            <w:tcW w:type="dxa" w:w="1728"/>
          </w:tcPr>
          <w:p>
            <w:r/>
            <w:r>
              <w:rPr>
                <w:sz w:val="18"/>
              </w:rPr>
              <w:t>Speed reducers / safe crossings</w:t>
            </w:r>
          </w:p>
        </w:tc>
        <w:tc>
          <w:tcPr>
            <w:tcW w:type="dxa" w:w="1728"/>
          </w:tcPr>
          <w:p>
            <w:r/>
            <w:r>
              <w:rPr>
                <w:sz w:val="18"/>
              </w:rPr>
              <w:t>350,000,000</w:t>
            </w:r>
          </w:p>
        </w:tc>
        <w:tc>
          <w:tcPr>
            <w:tcW w:type="dxa" w:w="1728"/>
          </w:tcPr>
          <w:p>
            <w:r/>
            <w:r>
              <w:rPr>
                <w:sz w:val="18"/>
              </w:rPr>
              <w:t>2 (20%)</w:t>
            </w:r>
          </w:p>
        </w:tc>
        <w:tc>
          <w:tcPr>
            <w:tcW w:type="dxa" w:w="1728"/>
          </w:tcPr>
          <w:p>
            <w:r/>
            <w:r>
              <w:rPr>
                <w:sz w:val="18"/>
              </w:rPr>
              <w:t>Low</w:t>
            </w:r>
          </w:p>
        </w:tc>
      </w:tr>
      <w:tr>
        <w:tc>
          <w:tcPr>
            <w:tcW w:type="dxa" w:w="1728"/>
          </w:tcPr>
          <w:p>
            <w:r/>
            <w:r>
              <w:rPr>
                <w:sz w:val="18"/>
              </w:rPr>
              <w:t>994</w:t>
            </w:r>
          </w:p>
        </w:tc>
        <w:tc>
          <w:tcPr>
            <w:tcW w:type="dxa" w:w="1728"/>
          </w:tcPr>
          <w:p>
            <w:r/>
            <w:r>
              <w:rPr>
                <w:sz w:val="18"/>
              </w:rPr>
              <w:t>Secure monitored infrastructure points (5 stops)</w:t>
            </w:r>
          </w:p>
        </w:tc>
        <w:tc>
          <w:tcPr>
            <w:tcW w:type="dxa" w:w="1728"/>
          </w:tcPr>
          <w:p>
            <w:r/>
            <w:r>
              <w:rPr>
                <w:sz w:val="18"/>
              </w:rPr>
              <w:t>200,000,000</w:t>
            </w:r>
          </w:p>
        </w:tc>
        <w:tc>
          <w:tcPr>
            <w:tcW w:type="dxa" w:w="1728"/>
          </w:tcPr>
          <w:p>
            <w:r/>
            <w:r>
              <w:rPr>
                <w:sz w:val="18"/>
              </w:rPr>
              <w:t>2 (20%)</w:t>
            </w:r>
          </w:p>
        </w:tc>
        <w:tc>
          <w:tcPr>
            <w:tcW w:type="dxa" w:w="1728"/>
          </w:tcPr>
          <w:p>
            <w:r/>
            <w:r>
              <w:rPr>
                <w:sz w:val="18"/>
              </w:rPr>
              <w:t>Low</w:t>
            </w:r>
          </w:p>
        </w:tc>
      </w:tr>
      <w:tr>
        <w:tc>
          <w:tcPr>
            <w:tcW w:type="dxa" w:w="1728"/>
          </w:tcPr>
          <w:p>
            <w:r/>
            <w:r>
              <w:rPr>
                <w:sz w:val="18"/>
              </w:rPr>
              <w:t>464</w:t>
            </w:r>
          </w:p>
        </w:tc>
        <w:tc>
          <w:tcPr>
            <w:tcW w:type="dxa" w:w="1728"/>
          </w:tcPr>
          <w:p>
            <w:r/>
            <w:r>
              <w:rPr>
                <w:sz w:val="18"/>
              </w:rPr>
              <w:t>Connected bus shelters</w:t>
            </w:r>
          </w:p>
        </w:tc>
        <w:tc>
          <w:tcPr>
            <w:tcW w:type="dxa" w:w="1728"/>
          </w:tcPr>
          <w:p>
            <w:r/>
            <w:r>
              <w:rPr>
                <w:sz w:val="18"/>
              </w:rPr>
              <w:t>33,750,000</w:t>
            </w:r>
          </w:p>
        </w:tc>
        <w:tc>
          <w:tcPr>
            <w:tcW w:type="dxa" w:w="1728"/>
          </w:tcPr>
          <w:p>
            <w:r/>
            <w:r>
              <w:rPr>
                <w:sz w:val="18"/>
              </w:rPr>
              <w:t>2 (20%)</w:t>
            </w:r>
          </w:p>
        </w:tc>
        <w:tc>
          <w:tcPr>
            <w:tcW w:type="dxa" w:w="1728"/>
          </w:tcPr>
          <w:p>
            <w:r/>
            <w:r>
              <w:rPr>
                <w:sz w:val="18"/>
              </w:rPr>
              <w:t>Medium (transit)</w:t>
            </w:r>
          </w:p>
        </w:tc>
      </w:tr>
      <w:tr>
        <w:tc>
          <w:tcPr>
            <w:tcW w:type="dxa" w:w="1728"/>
          </w:tcPr>
          <w:p>
            <w:r/>
            <w:r>
              <w:rPr>
                <w:sz w:val="18"/>
              </w:rPr>
              <w:t>452</w:t>
            </w:r>
          </w:p>
        </w:tc>
        <w:tc>
          <w:tcPr>
            <w:tcW w:type="dxa" w:w="1728"/>
          </w:tcPr>
          <w:p>
            <w:r/>
            <w:r>
              <w:rPr>
                <w:sz w:val="18"/>
              </w:rPr>
              <w:t>Sidewalks Zapiola &amp; Pueyrredón</w:t>
            </w:r>
          </w:p>
        </w:tc>
        <w:tc>
          <w:tcPr>
            <w:tcW w:type="dxa" w:w="1728"/>
          </w:tcPr>
          <w:p>
            <w:r/>
            <w:r>
              <w:rPr>
                <w:sz w:val="18"/>
              </w:rPr>
              <w:t>30,562,500</w:t>
            </w:r>
          </w:p>
        </w:tc>
        <w:tc>
          <w:tcPr>
            <w:tcW w:type="dxa" w:w="1728"/>
          </w:tcPr>
          <w:p>
            <w:r/>
            <w:r>
              <w:rPr>
                <w:sz w:val="18"/>
              </w:rPr>
              <w:t>2 (20%)</w:t>
            </w:r>
          </w:p>
        </w:tc>
        <w:tc>
          <w:tcPr>
            <w:tcW w:type="dxa" w:w="1728"/>
          </w:tcPr>
          <w:p>
            <w:r/>
            <w:r>
              <w:rPr>
                <w:sz w:val="18"/>
              </w:rPr>
              <w:t>Medium (walkability)</w:t>
            </w:r>
          </w:p>
        </w:tc>
      </w:tr>
      <w:tr>
        <w:tc>
          <w:tcPr>
            <w:tcW w:type="dxa" w:w="1728"/>
          </w:tcPr>
          <w:p>
            <w:r/>
            <w:r>
              <w:rPr>
                <w:sz w:val="18"/>
              </w:rPr>
              <w:t>575</w:t>
            </w:r>
          </w:p>
        </w:tc>
        <w:tc>
          <w:tcPr>
            <w:tcW w:type="dxa" w:w="1728"/>
          </w:tcPr>
          <w:p>
            <w:r/>
            <w:r>
              <w:rPr>
                <w:sz w:val="18"/>
              </w:rPr>
              <w:t>Boulevard Tierra del Fuego</w:t>
            </w:r>
          </w:p>
        </w:tc>
        <w:tc>
          <w:tcPr>
            <w:tcW w:type="dxa" w:w="1728"/>
          </w:tcPr>
          <w:p>
            <w:r/>
            <w:r>
              <w:rPr>
                <w:sz w:val="18"/>
              </w:rPr>
              <w:t>24,570,000</w:t>
            </w:r>
          </w:p>
        </w:tc>
        <w:tc>
          <w:tcPr>
            <w:tcW w:type="dxa" w:w="1728"/>
          </w:tcPr>
          <w:p>
            <w:r/>
            <w:r>
              <w:rPr>
                <w:sz w:val="18"/>
              </w:rPr>
              <w:t>2 (20%)</w:t>
            </w:r>
          </w:p>
        </w:tc>
        <w:tc>
          <w:tcPr>
            <w:tcW w:type="dxa" w:w="1728"/>
          </w:tcPr>
          <w:p>
            <w:r/>
            <w:r>
              <w:rPr>
                <w:sz w:val="18"/>
              </w:rPr>
              <w:t>Med-high (green corridor)</w:t>
            </w:r>
          </w:p>
        </w:tc>
      </w:tr>
      <w:tr>
        <w:tc>
          <w:tcPr>
            <w:tcW w:type="dxa" w:w="1728"/>
          </w:tcPr>
          <w:p>
            <w:r/>
            <w:r>
              <w:rPr>
                <w:sz w:val="18"/>
              </w:rPr>
              <w:t>463</w:t>
            </w:r>
          </w:p>
        </w:tc>
        <w:tc>
          <w:tcPr>
            <w:tcW w:type="dxa" w:w="1728"/>
          </w:tcPr>
          <w:p>
            <w:r/>
            <w:r>
              <w:rPr>
                <w:sz w:val="18"/>
              </w:rPr>
              <w:t>Polideportivo sidewalk</w:t>
            </w:r>
          </w:p>
        </w:tc>
        <w:tc>
          <w:tcPr>
            <w:tcW w:type="dxa" w:w="1728"/>
          </w:tcPr>
          <w:p>
            <w:r/>
            <w:r>
              <w:rPr>
                <w:sz w:val="18"/>
              </w:rPr>
              <w:t>15,000,000</w:t>
            </w:r>
          </w:p>
        </w:tc>
        <w:tc>
          <w:tcPr>
            <w:tcW w:type="dxa" w:w="1728"/>
          </w:tcPr>
          <w:p>
            <w:r/>
            <w:r>
              <w:rPr>
                <w:sz w:val="18"/>
              </w:rPr>
              <w:t>2 (20%)</w:t>
            </w:r>
          </w:p>
        </w:tc>
        <w:tc>
          <w:tcPr>
            <w:tcW w:type="dxa" w:w="1728"/>
          </w:tcPr>
          <w:p>
            <w:r/>
            <w:r>
              <w:rPr>
                <w:sz w:val="18"/>
              </w:rPr>
              <w:t>Medium</w:t>
            </w:r>
          </w:p>
        </w:tc>
      </w:tr>
      <w:tr>
        <w:tc>
          <w:tcPr>
            <w:tcW w:type="dxa" w:w="1728"/>
          </w:tcPr>
          <w:p>
            <w:r/>
            <w:r>
              <w:rPr>
                <w:sz w:val="18"/>
              </w:rPr>
            </w:r>
          </w:p>
        </w:tc>
        <w:tc>
          <w:tcPr>
            <w:tcW w:type="dxa" w:w="1728"/>
          </w:tcPr>
          <w:p>
            <w:r/>
            <w:r>
              <w:rPr>
                <w:sz w:val="18"/>
              </w:rPr>
              <w:t>Total funded programme</w:t>
            </w:r>
          </w:p>
        </w:tc>
        <w:tc>
          <w:tcPr>
            <w:tcW w:type="dxa" w:w="1728"/>
          </w:tcPr>
          <w:p>
            <w:r/>
            <w:r>
              <w:rPr>
                <w:sz w:val="18"/>
              </w:rPr>
              <w:t>6,853,882,500</w:t>
            </w:r>
          </w:p>
        </w:tc>
        <w:tc>
          <w:tcPr>
            <w:tcW w:type="dxa" w:w="1728"/>
          </w:tcPr>
          <w:p>
            <w:r/>
            <w:r>
              <w:rPr>
                <w:sz w:val="18"/>
              </w:rPr>
            </w:r>
          </w:p>
        </w:tc>
        <w:tc>
          <w:tcPr>
            <w:tcW w:type="dxa" w:w="1728"/>
          </w:tcPr>
          <w:p>
            <w:r/>
            <w:r>
              <w:rPr>
                <w:sz w:val="18"/>
              </w:rPr>
            </w:r>
          </w:p>
        </w:tc>
      </w:tr>
      <w:tr>
        <w:tc>
          <w:tcPr>
            <w:tcW w:type="dxa" w:w="1728"/>
          </w:tcPr>
          <w:p>
            <w:r/>
            <w:r>
              <w:rPr>
                <w:sz w:val="18"/>
              </w:rPr>
            </w:r>
          </w:p>
        </w:tc>
        <w:tc>
          <w:tcPr>
            <w:tcW w:type="dxa" w:w="1728"/>
          </w:tcPr>
          <w:p>
            <w:r/>
            <w:r>
              <w:rPr>
                <w:sz w:val="18"/>
              </w:rPr>
              <w:t>Betterment-eligible, priority-weighted (excl. ID 1274)</w:t>
            </w:r>
          </w:p>
        </w:tc>
        <w:tc>
          <w:tcPr>
            <w:tcW w:type="dxa" w:w="1728"/>
          </w:tcPr>
          <w:p>
            <w:r/>
            <w:r>
              <w:rPr>
                <w:sz w:val="18"/>
              </w:rPr>
              <w:t>3,490,776,500</w:t>
            </w:r>
          </w:p>
        </w:tc>
        <w:tc>
          <w:tcPr>
            <w:tcW w:type="dxa" w:w="1728"/>
          </w:tcPr>
          <w:p>
            <w:r/>
            <w:r>
              <w:rPr>
                <w:sz w:val="18"/>
              </w:rPr>
            </w:r>
          </w:p>
        </w:tc>
        <w:tc>
          <w:tcPr>
            <w:tcW w:type="dxa" w:w="1728"/>
          </w:tcPr>
          <w:p>
            <w:r/>
            <w:r>
              <w:rPr>
                <w:sz w:val="18"/>
              </w:rPr>
            </w:r>
          </w:p>
        </w:tc>
      </w:tr>
    </w:tbl>
    <w:p>
      <w:pPr>
        <w:spacing w:after="200"/>
      </w:pPr>
      <w:r>
        <w:rPr>
          <w:i/>
          <w:sz w:val="18"/>
        </w:rPr>
        <w:t>Table 4. The municipally funded 2026 public-works programme—the betterment-levy base—by planning priority (EA) and environmental-adaptation impact. Source: Plan de Obras 2026. EA, escenario/planning-priority weight.</w:t>
      </w:r>
    </w:p>
    <w:p>
      <w:pPr>
        <w:spacing w:after="120" w:line="276" w:lineRule="auto"/>
      </w:pPr>
      <w:r>
        <w:t>A separate set of works is financed or executed by the Province of Mendoza, not the municipality (Table 5). The municipality cannot levy betterment on works it does not finance, so these are excluded from the base; we report them because they reshape corridor accessibility and the land-value gradient the other instruments tax.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Project</w:t>
            </w:r>
          </w:p>
        </w:tc>
        <w:tc>
          <w:tcPr>
            <w:tcW w:type="dxa" w:w="2160"/>
          </w:tcPr>
          <w:p>
            <w:r/>
            <w:r>
              <w:rPr>
                <w:b/>
                <w:sz w:val="18"/>
              </w:rPr>
              <w:t>Executing body</w:t>
            </w:r>
          </w:p>
        </w:tc>
        <w:tc>
          <w:tcPr>
            <w:tcW w:type="dxa" w:w="2160"/>
          </w:tcPr>
          <w:p>
            <w:r/>
            <w:r>
              <w:rPr>
                <w:b/>
                <w:sz w:val="18"/>
              </w:rPr>
              <w:t>Env.-adaptation impact</w:t>
            </w:r>
          </w:p>
        </w:tc>
      </w:tr>
      <w:tr>
        <w:tc>
          <w:tcPr>
            <w:tcW w:type="dxa" w:w="2160"/>
          </w:tcPr>
          <w:p>
            <w:r/>
            <w:r>
              <w:rPr>
                <w:sz w:val="18"/>
              </w:rPr>
              <w:t>466</w:t>
            </w:r>
          </w:p>
        </w:tc>
        <w:tc>
          <w:tcPr>
            <w:tcW w:type="dxa" w:w="2160"/>
          </w:tcPr>
          <w:p>
            <w:r/>
            <w:r>
              <w:rPr>
                <w:sz w:val="18"/>
              </w:rPr>
              <w:t>Nuevo Puente Río Mendoza + Ciclovía San Martín</w:t>
            </w:r>
          </w:p>
        </w:tc>
        <w:tc>
          <w:tcPr>
            <w:tcW w:type="dxa" w:w="2160"/>
          </w:tcPr>
          <w:p>
            <w:r/>
            <w:r>
              <w:rPr>
                <w:sz w:val="18"/>
              </w:rPr>
              <w:t>Province (DPV)</w:t>
            </w:r>
          </w:p>
        </w:tc>
        <w:tc>
          <w:tcPr>
            <w:tcW w:type="dxa" w:w="2160"/>
          </w:tcPr>
          <w:p>
            <w:r/>
            <w:r>
              <w:rPr>
                <w:sz w:val="18"/>
              </w:rPr>
              <w:t>Medium (connectivity + bike lane)</w:t>
            </w:r>
          </w:p>
        </w:tc>
      </w:tr>
      <w:tr>
        <w:tc>
          <w:tcPr>
            <w:tcW w:type="dxa" w:w="2160"/>
          </w:tcPr>
          <w:p>
            <w:r/>
            <w:r>
              <w:rPr>
                <w:sz w:val="18"/>
              </w:rPr>
              <w:t>467</w:t>
            </w:r>
          </w:p>
        </w:tc>
        <w:tc>
          <w:tcPr>
            <w:tcW w:type="dxa" w:w="2160"/>
          </w:tcPr>
          <w:p>
            <w:r/>
            <w:r>
              <w:rPr>
                <w:sz w:val="18"/>
              </w:rPr>
              <w:t>Pedestrian overpass - Acceso Sur &amp; Malabia</w:t>
            </w:r>
          </w:p>
        </w:tc>
        <w:tc>
          <w:tcPr>
            <w:tcW w:type="dxa" w:w="2160"/>
          </w:tcPr>
          <w:p>
            <w:r/>
            <w:r>
              <w:rPr>
                <w:sz w:val="18"/>
              </w:rPr>
              <w:t>Province</w:t>
            </w:r>
          </w:p>
        </w:tc>
        <w:tc>
          <w:tcPr>
            <w:tcW w:type="dxa" w:w="2160"/>
          </w:tcPr>
          <w:p>
            <w:r/>
            <w:r>
              <w:rPr>
                <w:sz w:val="18"/>
              </w:rPr>
              <w:t>Low-medium (safe crossing)</w:t>
            </w:r>
          </w:p>
        </w:tc>
      </w:tr>
      <w:tr>
        <w:tc>
          <w:tcPr>
            <w:tcW w:type="dxa" w:w="2160"/>
          </w:tcPr>
          <w:p>
            <w:r/>
            <w:r>
              <w:rPr>
                <w:sz w:val="18"/>
              </w:rPr>
              <w:t>468</w:t>
            </w:r>
          </w:p>
        </w:tc>
        <w:tc>
          <w:tcPr>
            <w:tcW w:type="dxa" w:w="2160"/>
          </w:tcPr>
          <w:p>
            <w:r/>
            <w:r>
              <w:rPr>
                <w:sz w:val="18"/>
              </w:rPr>
              <w:t>Pedestrian overpass - Acceso Sur &amp; Castro Barros</w:t>
            </w:r>
          </w:p>
        </w:tc>
        <w:tc>
          <w:tcPr>
            <w:tcW w:type="dxa" w:w="2160"/>
          </w:tcPr>
          <w:p>
            <w:r/>
            <w:r>
              <w:rPr>
                <w:sz w:val="18"/>
              </w:rPr>
              <w:t>Province</w:t>
            </w:r>
          </w:p>
        </w:tc>
        <w:tc>
          <w:tcPr>
            <w:tcW w:type="dxa" w:w="2160"/>
          </w:tcPr>
          <w:p>
            <w:r/>
            <w:r>
              <w:rPr>
                <w:sz w:val="18"/>
              </w:rPr>
              <w:t>Low-medium (safe crossing)</w:t>
            </w:r>
          </w:p>
        </w:tc>
      </w:tr>
    </w:tbl>
    <w:p>
      <w:pPr>
        <w:spacing w:after="200"/>
      </w:pPr>
      <w:r>
        <w:rPr>
          <w:i/>
          <w:sz w:val="18"/>
        </w:rPr>
        <w:t>Table 5. Works financed or executed by the Province of Mendoza, excluded from the municipal betterment base. DPV, Dirección Provincial de Vialidad.</w:t>
      </w:r>
    </w:p>
    <w:p>
      <w:pPr>
        <w:spacing w:after="120" w:line="276" w:lineRule="auto"/>
      </w:pPr>
      <w:r>
        <w:t>The development-rights and rent-capture instruments are aimed at the densification zones—the metrotranvía/San Martín transit corridor and the Ciudad de Luján and La Carrodilla-Mayor Drummond centralities, which coincide with the priority urban voids carrying the 200-percent surcharge (Table 6). The same places where idle land is most penalised are where building rights are sold and rezoning value captured—one spatial signal, not three.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Densification zone</w:t>
            </w:r>
          </w:p>
        </w:tc>
        <w:tc>
          <w:tcPr>
            <w:tcW w:type="dxa" w:w="2160"/>
          </w:tcPr>
          <w:p>
            <w:r/>
            <w:r>
              <w:rPr>
                <w:b/>
                <w:sz w:val="18"/>
              </w:rPr>
              <w:t>Type</w:t>
            </w:r>
          </w:p>
        </w:tc>
        <w:tc>
          <w:tcPr>
            <w:tcW w:type="dxa" w:w="2160"/>
          </w:tcPr>
          <w:p>
            <w:r/>
            <w:r>
              <w:rPr>
                <w:b/>
                <w:sz w:val="18"/>
              </w:rPr>
              <w:t>Instruments</w:t>
            </w:r>
          </w:p>
        </w:tc>
        <w:tc>
          <w:tcPr>
            <w:tcW w:type="dxa" w:w="2160"/>
          </w:tcPr>
          <w:p>
            <w:r/>
            <w:r>
              <w:rPr>
                <w:b/>
                <w:sz w:val="18"/>
              </w:rPr>
              <w:t>Adaptation / spatial link</w:t>
            </w:r>
          </w:p>
        </w:tc>
      </w:tr>
      <w:tr>
        <w:tc>
          <w:tcPr>
            <w:tcW w:type="dxa" w:w="2160"/>
          </w:tcPr>
          <w:p>
            <w:r/>
            <w:r>
              <w:rPr>
                <w:sz w:val="18"/>
              </w:rPr>
              <w:t>Metrotranvía / San Martín corridor</w:t>
            </w:r>
          </w:p>
        </w:tc>
        <w:tc>
          <w:tcPr>
            <w:tcW w:type="dxa" w:w="2160"/>
          </w:tcPr>
          <w:p>
            <w:r/>
            <w:r>
              <w:rPr>
                <w:sz w:val="18"/>
              </w:rPr>
              <w:t>Transit corridor</w:t>
            </w:r>
          </w:p>
        </w:tc>
        <w:tc>
          <w:tcPr>
            <w:tcW w:type="dxa" w:w="2160"/>
          </w:tcPr>
          <w:p>
            <w:r/>
            <w:r>
              <w:rPr>
                <w:sz w:val="18"/>
              </w:rPr>
              <w:t>Suelo Creado, PVA</w:t>
            </w:r>
          </w:p>
        </w:tc>
        <w:tc>
          <w:tcPr>
            <w:tcW w:type="dxa" w:w="2160"/>
          </w:tcPr>
          <w:p>
            <w:r/>
            <w:r>
              <w:rPr>
                <w:sz w:val="18"/>
              </w:rPr>
              <w:t>TOD; low-carbon mobility</w:t>
            </w:r>
          </w:p>
        </w:tc>
      </w:tr>
      <w:tr>
        <w:tc>
          <w:tcPr>
            <w:tcW w:type="dxa" w:w="2160"/>
          </w:tcPr>
          <w:p>
            <w:r/>
            <w:r>
              <w:rPr>
                <w:sz w:val="18"/>
              </w:rPr>
              <w:t>Ciudad de Luján centrality</w:t>
            </w:r>
          </w:p>
        </w:tc>
        <w:tc>
          <w:tcPr>
            <w:tcW w:type="dxa" w:w="2160"/>
          </w:tcPr>
          <w:p>
            <w:r/>
            <w:r>
              <w:rPr>
                <w:sz w:val="18"/>
              </w:rPr>
              <w:t>Urban centrality</w:t>
            </w:r>
          </w:p>
        </w:tc>
        <w:tc>
          <w:tcPr>
            <w:tcW w:type="dxa" w:w="2160"/>
          </w:tcPr>
          <w:p>
            <w:r/>
            <w:r>
              <w:rPr>
                <w:sz w:val="18"/>
              </w:rPr>
              <w:t>Suelo Creado, PVA; vacant-land +200%</w:t>
            </w:r>
          </w:p>
        </w:tc>
        <w:tc>
          <w:tcPr>
            <w:tcW w:type="dxa" w:w="2160"/>
          </w:tcPr>
          <w:p>
            <w:r/>
            <w:r>
              <w:rPr>
                <w:sz w:val="18"/>
              </w:rPr>
              <w:t>Compact infill; drainage</w:t>
            </w:r>
          </w:p>
        </w:tc>
      </w:tr>
      <w:tr>
        <w:tc>
          <w:tcPr>
            <w:tcW w:type="dxa" w:w="2160"/>
          </w:tcPr>
          <w:p>
            <w:r/>
            <w:r>
              <w:rPr>
                <w:sz w:val="18"/>
              </w:rPr>
              <w:t>La Carrodilla-Mayor Drummond</w:t>
            </w:r>
          </w:p>
        </w:tc>
        <w:tc>
          <w:tcPr>
            <w:tcW w:type="dxa" w:w="2160"/>
          </w:tcPr>
          <w:p>
            <w:r/>
            <w:r>
              <w:rPr>
                <w:sz w:val="18"/>
              </w:rPr>
              <w:t>Centrality / priority infill</w:t>
            </w:r>
          </w:p>
        </w:tc>
        <w:tc>
          <w:tcPr>
            <w:tcW w:type="dxa" w:w="2160"/>
          </w:tcPr>
          <w:p>
            <w:r/>
            <w:r>
              <w:rPr>
                <w:sz w:val="18"/>
              </w:rPr>
              <w:t>Suelo Creado, PVA; vacant-land +200%</w:t>
            </w:r>
          </w:p>
        </w:tc>
        <w:tc>
          <w:tcPr>
            <w:tcW w:type="dxa" w:w="2160"/>
          </w:tcPr>
          <w:p>
            <w:r/>
            <w:r>
              <w:rPr>
                <w:sz w:val="18"/>
              </w:rPr>
              <w:t>Centrality; urban voids</w:t>
            </w:r>
          </w:p>
        </w:tc>
      </w:tr>
    </w:tbl>
    <w:p>
      <w:pPr>
        <w:spacing w:after="200"/>
      </w:pPr>
      <w:r>
        <w:rPr>
          <w:i/>
          <w:sz w:val="18"/>
        </w:rPr>
        <w:t>Table 6. Priority densification zones where the development-rights and differential-rent instruments apply. PVA, Participación en la Valoración de Activos (differential rent capture); TOD, transit-oriented development.</w:t>
      </w:r>
    </w:p>
    <w:p>
      <w:pPr>
        <w:spacing w:after="120" w:line="276" w:lineRule="auto"/>
      </w:pPr>
      <w:r>
        <w:t>Their base is set by the new buildability code (Table 7). The draft COS 2026 replaces a single height limit with two lines: a base of 10 metres (13 in zone ZCM6), buildable without instruments, and a maximum of 36 metres reached only by purchasing additional building rights—about 8.7 extra floors. Across the seven affected zones (4,491 hectares, with floor-area coverage of 75-90 percent), this opens a theoretical ceiling near 295 million m2 of additional buildable area; because that ceiling assumes full take-up, revenue depends on annual absorption, which we set conservatively at 20,000-80,000 m2/yr—under 0.03 percent of the ceiling even at the high end, so the base will not bind for decades.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Zone</w:t>
            </w:r>
          </w:p>
        </w:tc>
        <w:tc>
          <w:tcPr>
            <w:tcW w:type="dxa" w:w="1728"/>
          </w:tcPr>
          <w:p>
            <w:r/>
            <w:r>
              <w:rPr>
                <w:b/>
                <w:sz w:val="18"/>
              </w:rPr>
              <w:t>Area 2022 (ha)</w:t>
            </w:r>
          </w:p>
        </w:tc>
        <w:tc>
          <w:tcPr>
            <w:tcW w:type="dxa" w:w="1728"/>
          </w:tcPr>
          <w:p>
            <w:r/>
            <w:r>
              <w:rPr>
                <w:b/>
                <w:sz w:val="18"/>
              </w:rPr>
              <w:t>FOS (%)</w:t>
            </w:r>
          </w:p>
        </w:tc>
        <w:tc>
          <w:tcPr>
            <w:tcW w:type="dxa" w:w="1728"/>
          </w:tcPr>
          <w:p>
            <w:r/>
            <w:r>
              <w:rPr>
                <w:b/>
                <w:sz w:val="18"/>
              </w:rPr>
              <w:t>Height base -&gt; max (m)</w:t>
            </w:r>
          </w:p>
        </w:tc>
        <w:tc>
          <w:tcPr>
            <w:tcW w:type="dxa" w:w="1728"/>
          </w:tcPr>
          <w:p>
            <w:r/>
            <w:r>
              <w:rPr>
                <w:b/>
                <w:sz w:val="18"/>
              </w:rPr>
              <w:t>Additional buildable ceiling (m2)</w:t>
            </w:r>
          </w:p>
        </w:tc>
      </w:tr>
      <w:tr>
        <w:tc>
          <w:tcPr>
            <w:tcW w:type="dxa" w:w="1728"/>
          </w:tcPr>
          <w:p>
            <w:r/>
            <w:r>
              <w:rPr>
                <w:sz w:val="18"/>
              </w:rPr>
              <w:t>ZRM2</w:t>
            </w:r>
          </w:p>
        </w:tc>
        <w:tc>
          <w:tcPr>
            <w:tcW w:type="dxa" w:w="1728"/>
          </w:tcPr>
          <w:p>
            <w:r/>
            <w:r>
              <w:rPr>
                <w:sz w:val="18"/>
              </w:rPr>
              <w:t>1,356</w:t>
            </w:r>
          </w:p>
        </w:tc>
        <w:tc>
          <w:tcPr>
            <w:tcW w:type="dxa" w:w="1728"/>
          </w:tcPr>
          <w:p>
            <w:r/>
            <w:r>
              <w:rPr>
                <w:sz w:val="18"/>
              </w:rPr>
              <w:t>75</w:t>
            </w:r>
          </w:p>
        </w:tc>
        <w:tc>
          <w:tcPr>
            <w:tcW w:type="dxa" w:w="1728"/>
          </w:tcPr>
          <w:p>
            <w:r/>
            <w:r>
              <w:rPr>
                <w:sz w:val="18"/>
              </w:rPr>
              <w:t>10 -&gt; 36</w:t>
            </w:r>
          </w:p>
        </w:tc>
        <w:tc>
          <w:tcPr>
            <w:tcW w:type="dxa" w:w="1728"/>
          </w:tcPr>
          <w:p>
            <w:r/>
            <w:r>
              <w:rPr>
                <w:sz w:val="18"/>
              </w:rPr>
              <w:t>88,137,947</w:t>
            </w:r>
          </w:p>
        </w:tc>
      </w:tr>
      <w:tr>
        <w:tc>
          <w:tcPr>
            <w:tcW w:type="dxa" w:w="1728"/>
          </w:tcPr>
          <w:p>
            <w:r/>
            <w:r>
              <w:rPr>
                <w:sz w:val="18"/>
              </w:rPr>
              <w:t>ZRM3</w:t>
            </w:r>
          </w:p>
        </w:tc>
        <w:tc>
          <w:tcPr>
            <w:tcW w:type="dxa" w:w="1728"/>
          </w:tcPr>
          <w:p>
            <w:r/>
            <w:r>
              <w:rPr>
                <w:sz w:val="18"/>
              </w:rPr>
              <w:t>1,256</w:t>
            </w:r>
          </w:p>
        </w:tc>
        <w:tc>
          <w:tcPr>
            <w:tcW w:type="dxa" w:w="1728"/>
          </w:tcPr>
          <w:p>
            <w:r/>
            <w:r>
              <w:rPr>
                <w:sz w:val="18"/>
              </w:rPr>
              <w:t>75</w:t>
            </w:r>
          </w:p>
        </w:tc>
        <w:tc>
          <w:tcPr>
            <w:tcW w:type="dxa" w:w="1728"/>
          </w:tcPr>
          <w:p>
            <w:r/>
            <w:r>
              <w:rPr>
                <w:sz w:val="18"/>
              </w:rPr>
              <w:t>10 -&gt; 36</w:t>
            </w:r>
          </w:p>
        </w:tc>
        <w:tc>
          <w:tcPr>
            <w:tcW w:type="dxa" w:w="1728"/>
          </w:tcPr>
          <w:p>
            <w:r/>
            <w:r>
              <w:rPr>
                <w:sz w:val="18"/>
              </w:rPr>
              <w:t>81,668,328</w:t>
            </w:r>
          </w:p>
        </w:tc>
      </w:tr>
      <w:tr>
        <w:tc>
          <w:tcPr>
            <w:tcW w:type="dxa" w:w="1728"/>
          </w:tcPr>
          <w:p>
            <w:r/>
            <w:r>
              <w:rPr>
                <w:sz w:val="18"/>
              </w:rPr>
              <w:t>ZRM1</w:t>
            </w:r>
          </w:p>
        </w:tc>
        <w:tc>
          <w:tcPr>
            <w:tcW w:type="dxa" w:w="1728"/>
          </w:tcPr>
          <w:p>
            <w:r/>
            <w:r>
              <w:rPr>
                <w:sz w:val="18"/>
              </w:rPr>
              <w:t>901</w:t>
            </w:r>
          </w:p>
        </w:tc>
        <w:tc>
          <w:tcPr>
            <w:tcW w:type="dxa" w:w="1728"/>
          </w:tcPr>
          <w:p>
            <w:r/>
            <w:r>
              <w:rPr>
                <w:sz w:val="18"/>
              </w:rPr>
              <w:t>75</w:t>
            </w:r>
          </w:p>
        </w:tc>
        <w:tc>
          <w:tcPr>
            <w:tcW w:type="dxa" w:w="1728"/>
          </w:tcPr>
          <w:p>
            <w:r/>
            <w:r>
              <w:rPr>
                <w:sz w:val="18"/>
              </w:rPr>
              <w:t>10 -&gt; 36</w:t>
            </w:r>
          </w:p>
        </w:tc>
        <w:tc>
          <w:tcPr>
            <w:tcW w:type="dxa" w:w="1728"/>
          </w:tcPr>
          <w:p>
            <w:r/>
            <w:r>
              <w:rPr>
                <w:sz w:val="18"/>
              </w:rPr>
              <w:t>58,596,637</w:t>
            </w:r>
          </w:p>
        </w:tc>
      </w:tr>
      <w:tr>
        <w:tc>
          <w:tcPr>
            <w:tcW w:type="dxa" w:w="1728"/>
          </w:tcPr>
          <w:p>
            <w:r/>
            <w:r>
              <w:rPr>
                <w:sz w:val="18"/>
              </w:rPr>
              <w:t>ZR1</w:t>
            </w:r>
          </w:p>
        </w:tc>
        <w:tc>
          <w:tcPr>
            <w:tcW w:type="dxa" w:w="1728"/>
          </w:tcPr>
          <w:p>
            <w:r/>
            <w:r>
              <w:rPr>
                <w:sz w:val="18"/>
              </w:rPr>
              <w:t>714</w:t>
            </w:r>
          </w:p>
        </w:tc>
        <w:tc>
          <w:tcPr>
            <w:tcW w:type="dxa" w:w="1728"/>
          </w:tcPr>
          <w:p>
            <w:r/>
            <w:r>
              <w:rPr>
                <w:sz w:val="18"/>
              </w:rPr>
              <w:t>75</w:t>
            </w:r>
          </w:p>
        </w:tc>
        <w:tc>
          <w:tcPr>
            <w:tcW w:type="dxa" w:w="1728"/>
          </w:tcPr>
          <w:p>
            <w:r/>
            <w:r>
              <w:rPr>
                <w:sz w:val="18"/>
              </w:rPr>
              <w:t>10 -&gt; 36</w:t>
            </w:r>
          </w:p>
        </w:tc>
        <w:tc>
          <w:tcPr>
            <w:tcW w:type="dxa" w:w="1728"/>
          </w:tcPr>
          <w:p>
            <w:r/>
            <w:r>
              <w:rPr>
                <w:sz w:val="18"/>
              </w:rPr>
              <w:t>46,410,451</w:t>
            </w:r>
          </w:p>
        </w:tc>
      </w:tr>
      <w:tr>
        <w:tc>
          <w:tcPr>
            <w:tcW w:type="dxa" w:w="1728"/>
          </w:tcPr>
          <w:p>
            <w:r/>
            <w:r>
              <w:rPr>
                <w:sz w:val="18"/>
              </w:rPr>
              <w:t>ZCM1</w:t>
            </w:r>
          </w:p>
        </w:tc>
        <w:tc>
          <w:tcPr>
            <w:tcW w:type="dxa" w:w="1728"/>
          </w:tcPr>
          <w:p>
            <w:r/>
            <w:r>
              <w:rPr>
                <w:sz w:val="18"/>
              </w:rPr>
              <w:t>232</w:t>
            </w:r>
          </w:p>
        </w:tc>
        <w:tc>
          <w:tcPr>
            <w:tcW w:type="dxa" w:w="1728"/>
          </w:tcPr>
          <w:p>
            <w:r/>
            <w:r>
              <w:rPr>
                <w:sz w:val="18"/>
              </w:rPr>
              <w:t>89</w:t>
            </w:r>
          </w:p>
        </w:tc>
        <w:tc>
          <w:tcPr>
            <w:tcW w:type="dxa" w:w="1728"/>
          </w:tcPr>
          <w:p>
            <w:r/>
            <w:r>
              <w:rPr>
                <w:sz w:val="18"/>
              </w:rPr>
              <w:t>10 -&gt; 36</w:t>
            </w:r>
          </w:p>
        </w:tc>
        <w:tc>
          <w:tcPr>
            <w:tcW w:type="dxa" w:w="1728"/>
          </w:tcPr>
          <w:p>
            <w:r/>
            <w:r>
              <w:rPr>
                <w:sz w:val="18"/>
              </w:rPr>
              <w:t>17,924,965</w:t>
            </w:r>
          </w:p>
        </w:tc>
      </w:tr>
      <w:tr>
        <w:tc>
          <w:tcPr>
            <w:tcW w:type="dxa" w:w="1728"/>
          </w:tcPr>
          <w:p>
            <w:r/>
            <w:r>
              <w:rPr>
                <w:sz w:val="18"/>
              </w:rPr>
              <w:t>ZC</w:t>
            </w:r>
          </w:p>
        </w:tc>
        <w:tc>
          <w:tcPr>
            <w:tcW w:type="dxa" w:w="1728"/>
          </w:tcPr>
          <w:p>
            <w:r/>
            <w:r>
              <w:rPr>
                <w:sz w:val="18"/>
              </w:rPr>
              <w:t>31</w:t>
            </w:r>
          </w:p>
        </w:tc>
        <w:tc>
          <w:tcPr>
            <w:tcW w:type="dxa" w:w="1728"/>
          </w:tcPr>
          <w:p>
            <w:r/>
            <w:r>
              <w:rPr>
                <w:sz w:val="18"/>
              </w:rPr>
              <w:t>90</w:t>
            </w:r>
          </w:p>
        </w:tc>
        <w:tc>
          <w:tcPr>
            <w:tcW w:type="dxa" w:w="1728"/>
          </w:tcPr>
          <w:p>
            <w:r/>
            <w:r>
              <w:rPr>
                <w:sz w:val="18"/>
              </w:rPr>
              <w:t>10 -&gt; 36</w:t>
            </w:r>
          </w:p>
        </w:tc>
        <w:tc>
          <w:tcPr>
            <w:tcW w:type="dxa" w:w="1728"/>
          </w:tcPr>
          <w:p>
            <w:r/>
            <w:r>
              <w:rPr>
                <w:sz w:val="18"/>
              </w:rPr>
              <w:t>2,413,938</w:t>
            </w:r>
          </w:p>
        </w:tc>
      </w:tr>
      <w:tr>
        <w:tc>
          <w:tcPr>
            <w:tcW w:type="dxa" w:w="1728"/>
          </w:tcPr>
          <w:p>
            <w:r/>
            <w:r>
              <w:rPr>
                <w:sz w:val="18"/>
              </w:rPr>
              <w:t>ZCM6</w:t>
            </w:r>
          </w:p>
        </w:tc>
        <w:tc>
          <w:tcPr>
            <w:tcW w:type="dxa" w:w="1728"/>
          </w:tcPr>
          <w:p>
            <w:r/>
            <w:r>
              <w:rPr>
                <w:sz w:val="18"/>
              </w:rPr>
              <w:t>n/a</w:t>
            </w:r>
          </w:p>
        </w:tc>
        <w:tc>
          <w:tcPr>
            <w:tcW w:type="dxa" w:w="1728"/>
          </w:tcPr>
          <w:p>
            <w:r/>
            <w:r>
              <w:rPr>
                <w:sz w:val="18"/>
              </w:rPr>
              <w:t>-</w:t>
            </w:r>
          </w:p>
        </w:tc>
        <w:tc>
          <w:tcPr>
            <w:tcW w:type="dxa" w:w="1728"/>
          </w:tcPr>
          <w:p>
            <w:r/>
            <w:r>
              <w:rPr>
                <w:sz w:val="18"/>
              </w:rPr>
              <w:t>13 -&gt; 36</w:t>
            </w:r>
          </w:p>
        </w:tc>
        <w:tc>
          <w:tcPr>
            <w:tcW w:type="dxa" w:w="1728"/>
          </w:tcPr>
          <w:p>
            <w:r/>
            <w:r>
              <w:rPr>
                <w:sz w:val="18"/>
              </w:rPr>
              <w:t>n/a</w:t>
            </w:r>
          </w:p>
        </w:tc>
      </w:tr>
      <w:tr>
        <w:tc>
          <w:tcPr>
            <w:tcW w:type="dxa" w:w="1728"/>
          </w:tcPr>
          <w:p>
            <w:r/>
            <w:r>
              <w:rPr>
                <w:sz w:val="18"/>
              </w:rPr>
              <w:t>Total (7 zones)</w:t>
            </w:r>
          </w:p>
        </w:tc>
        <w:tc>
          <w:tcPr>
            <w:tcW w:type="dxa" w:w="1728"/>
          </w:tcPr>
          <w:p>
            <w:r/>
            <w:r>
              <w:rPr>
                <w:sz w:val="18"/>
              </w:rPr>
              <w:t>4,491</w:t>
            </w:r>
          </w:p>
        </w:tc>
        <w:tc>
          <w:tcPr>
            <w:tcW w:type="dxa" w:w="1728"/>
          </w:tcPr>
          <w:p>
            <w:r/>
            <w:r>
              <w:rPr>
                <w:sz w:val="18"/>
              </w:rPr>
              <w:t>-</w:t>
            </w:r>
          </w:p>
        </w:tc>
        <w:tc>
          <w:tcPr>
            <w:tcW w:type="dxa" w:w="1728"/>
          </w:tcPr>
          <w:p>
            <w:r/>
            <w:r>
              <w:rPr>
                <w:sz w:val="18"/>
              </w:rPr>
              <w:t>-</w:t>
            </w:r>
          </w:p>
        </w:tc>
        <w:tc>
          <w:tcPr>
            <w:tcW w:type="dxa" w:w="1728"/>
          </w:tcPr>
          <w:p>
            <w:r/>
            <w:r>
              <w:rPr>
                <w:sz w:val="18"/>
              </w:rPr>
              <w:t>295,152,266</w:t>
            </w:r>
          </w:p>
        </w:tc>
      </w:tr>
    </w:tbl>
    <w:p>
      <w:pPr>
        <w:spacing w:after="200"/>
      </w:pPr>
      <w:r>
        <w:rPr>
          <w:i/>
          <w:sz w:val="18"/>
        </w:rPr>
        <w:t>Table 7. COS 2026 buildability schedule and the resulting ceiling of additional buildable area. The ceiling assumes full take-up and is an upper bound, not an annual figure. Source: draft COS 2026 (Tabla 10) and the 2019-2026 zoning comparison. FOS, Factor de Ocupación del Suelo (floor-area coverage).</w:t>
      </w:r>
    </w:p>
    <w:p>
      <w:pPr>
        <w:spacing w:after="120" w:line="276" w:lineRule="auto"/>
      </w:pPr>
      <w:r>
        <w:t>Valuing this take-up closes the estimate. Floor space sells for roughly USD 300-1,200/m2 in these zones (built-value map), of which the instruments capture a small fraction—Suelo Creado at about 50-250 UT/m2 and rent capture at 30-180 UT/m2. Adding the three designed instruments to the two operational ones, the package’s combined annual potential runs from about USD 1.8 million (Low) to USD 5.6 million (High), centred near USD 3.0 million (Table 8)—of which roughly USD 1 million is already collected. These are deliberately conservative figures tied to current parameters; because the rights ceiling is so large, they are best read as a near-term floor that rises with take-up, not a cap.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Instrument</w:t>
            </w:r>
          </w:p>
        </w:tc>
        <w:tc>
          <w:tcPr>
            <w:tcW w:type="dxa" w:w="1728"/>
          </w:tcPr>
          <w:p>
            <w:r/>
            <w:r>
              <w:rPr>
                <w:b/>
                <w:sz w:val="18"/>
              </w:rPr>
              <w:t>Basis (real municipal data)</w:t>
            </w:r>
          </w:p>
        </w:tc>
        <w:tc>
          <w:tcPr>
            <w:tcW w:type="dxa" w:w="1728"/>
          </w:tcPr>
          <w:p>
            <w:r/>
            <w:r>
              <w:rPr>
                <w:b/>
                <w:sz w:val="18"/>
              </w:rPr>
              <w:t>Low (USD/yr)</w:t>
            </w:r>
          </w:p>
        </w:tc>
        <w:tc>
          <w:tcPr>
            <w:tcW w:type="dxa" w:w="1728"/>
          </w:tcPr>
          <w:p>
            <w:r/>
            <w:r>
              <w:rPr>
                <w:b/>
                <w:sz w:val="18"/>
              </w:rPr>
              <w:t>Base (USD/yr)</w:t>
            </w:r>
          </w:p>
        </w:tc>
        <w:tc>
          <w:tcPr>
            <w:tcW w:type="dxa" w:w="1728"/>
          </w:tcPr>
          <w:p>
            <w:r/>
            <w:r>
              <w:rPr>
                <w:b/>
                <w:sz w:val="18"/>
              </w:rPr>
              <w:t>High (USD/yr)</w:t>
            </w:r>
          </w:p>
        </w:tc>
      </w:tr>
      <w:tr>
        <w:tc>
          <w:tcPr>
            <w:tcW w:type="dxa" w:w="1728"/>
          </w:tcPr>
          <w:p>
            <w:r/>
            <w:r>
              <w:rPr>
                <w:sz w:val="18"/>
              </w:rPr>
              <w:t>Betterment contributions</w:t>
            </w:r>
          </w:p>
        </w:tc>
        <w:tc>
          <w:tcPr>
            <w:tcW w:type="dxa" w:w="1728"/>
          </w:tcPr>
          <w:p>
            <w:r/>
            <w:r>
              <w:rPr>
                <w:sz w:val="18"/>
              </w:rPr>
              <w:t>2026 works programme: ARS 3.49 B eligible x 25-50%</w:t>
            </w:r>
          </w:p>
        </w:tc>
        <w:tc>
          <w:tcPr>
            <w:tcW w:type="dxa" w:w="1728"/>
          </w:tcPr>
          <w:p>
            <w:r/>
            <w:r>
              <w:rPr>
                <w:sz w:val="18"/>
              </w:rPr>
              <w:t>0.70 M</w:t>
            </w:r>
          </w:p>
        </w:tc>
        <w:tc>
          <w:tcPr>
            <w:tcW w:type="dxa" w:w="1728"/>
          </w:tcPr>
          <w:p>
            <w:r/>
            <w:r>
              <w:rPr>
                <w:sz w:val="18"/>
              </w:rPr>
              <w:t>1.12 M</w:t>
            </w:r>
          </w:p>
        </w:tc>
        <w:tc>
          <w:tcPr>
            <w:tcW w:type="dxa" w:w="1728"/>
          </w:tcPr>
          <w:p>
            <w:r/>
            <w:r>
              <w:rPr>
                <w:sz w:val="18"/>
              </w:rPr>
              <w:t>1.40 M</w:t>
            </w:r>
          </w:p>
        </w:tc>
      </w:tr>
      <w:tr>
        <w:tc>
          <w:tcPr>
            <w:tcW w:type="dxa" w:w="1728"/>
          </w:tcPr>
          <w:p>
            <w:r/>
            <w:r>
              <w:rPr>
                <w:sz w:val="18"/>
              </w:rPr>
              <w:t>Development-rights sales</w:t>
            </w:r>
          </w:p>
        </w:tc>
        <w:tc>
          <w:tcPr>
            <w:tcW w:type="dxa" w:w="1728"/>
          </w:tcPr>
          <w:p>
            <w:r/>
            <w:r>
              <w:rPr>
                <w:sz w:val="18"/>
              </w:rPr>
              <w:t>COS 2026 take-up x 50-250 UT/m2</w:t>
            </w:r>
          </w:p>
        </w:tc>
        <w:tc>
          <w:tcPr>
            <w:tcW w:type="dxa" w:w="1728"/>
          </w:tcPr>
          <w:p>
            <w:r/>
            <w:r>
              <w:rPr>
                <w:sz w:val="18"/>
              </w:rPr>
              <w:t>0.09 M</w:t>
            </w:r>
          </w:p>
        </w:tc>
        <w:tc>
          <w:tcPr>
            <w:tcW w:type="dxa" w:w="1728"/>
          </w:tcPr>
          <w:p>
            <w:r/>
            <w:r>
              <w:rPr>
                <w:sz w:val="18"/>
              </w:rPr>
              <w:t>0.57 M</w:t>
            </w:r>
          </w:p>
        </w:tc>
        <w:tc>
          <w:tcPr>
            <w:tcW w:type="dxa" w:w="1728"/>
          </w:tcPr>
          <w:p>
            <w:r/>
            <w:r>
              <w:rPr>
                <w:sz w:val="18"/>
              </w:rPr>
              <w:t>1.89 M</w:t>
            </w:r>
          </w:p>
        </w:tc>
      </w:tr>
      <w:tr>
        <w:tc>
          <w:tcPr>
            <w:tcW w:type="dxa" w:w="1728"/>
          </w:tcPr>
          <w:p>
            <w:r/>
            <w:r>
              <w:rPr>
                <w:sz w:val="18"/>
              </w:rPr>
              <w:t>Differential rent capture</w:t>
            </w:r>
          </w:p>
        </w:tc>
        <w:tc>
          <w:tcPr>
            <w:tcW w:type="dxa" w:w="1728"/>
          </w:tcPr>
          <w:p>
            <w:r/>
            <w:r>
              <w:rPr>
                <w:sz w:val="18"/>
              </w:rPr>
              <w:t>COS 2026 take-up x 30-180 UT/m2</w:t>
            </w:r>
          </w:p>
        </w:tc>
        <w:tc>
          <w:tcPr>
            <w:tcW w:type="dxa" w:w="1728"/>
          </w:tcPr>
          <w:p>
            <w:r/>
            <w:r>
              <w:rPr>
                <w:sz w:val="18"/>
              </w:rPr>
              <w:t>0.06 M</w:t>
            </w:r>
          </w:p>
        </w:tc>
        <w:tc>
          <w:tcPr>
            <w:tcW w:type="dxa" w:w="1728"/>
          </w:tcPr>
          <w:p>
            <w:r/>
            <w:r>
              <w:rPr>
                <w:sz w:val="18"/>
              </w:rPr>
              <w:t>0.38 M</w:t>
            </w:r>
          </w:p>
        </w:tc>
        <w:tc>
          <w:tcPr>
            <w:tcW w:type="dxa" w:w="1728"/>
          </w:tcPr>
          <w:p>
            <w:r/>
            <w:r>
              <w:rPr>
                <w:sz w:val="18"/>
              </w:rPr>
              <w:t>1.36 M</w:t>
            </w:r>
          </w:p>
        </w:tc>
      </w:tr>
      <w:tr>
        <w:tc>
          <w:tcPr>
            <w:tcW w:type="dxa" w:w="1728"/>
          </w:tcPr>
          <w:p>
            <w:r/>
            <w:r>
              <w:rPr>
                <w:sz w:val="18"/>
              </w:rPr>
              <w:t>Subtotal - value capture (ex-ante)</w:t>
            </w:r>
          </w:p>
        </w:tc>
        <w:tc>
          <w:tcPr>
            <w:tcW w:type="dxa" w:w="1728"/>
          </w:tcPr>
          <w:p>
            <w:r/>
            <w:r>
              <w:rPr>
                <w:sz w:val="18"/>
              </w:rPr>
            </w:r>
          </w:p>
        </w:tc>
        <w:tc>
          <w:tcPr>
            <w:tcW w:type="dxa" w:w="1728"/>
          </w:tcPr>
          <w:p>
            <w:r/>
            <w:r>
              <w:rPr>
                <w:sz w:val="18"/>
              </w:rPr>
              <w:t>0.85 M</w:t>
            </w:r>
          </w:p>
        </w:tc>
        <w:tc>
          <w:tcPr>
            <w:tcW w:type="dxa" w:w="1728"/>
          </w:tcPr>
          <w:p>
            <w:r/>
            <w:r>
              <w:rPr>
                <w:sz w:val="18"/>
              </w:rPr>
              <w:t>2.07 M</w:t>
            </w:r>
          </w:p>
        </w:tc>
        <w:tc>
          <w:tcPr>
            <w:tcW w:type="dxa" w:w="1728"/>
          </w:tcPr>
          <w:p>
            <w:r/>
            <w:r>
              <w:rPr>
                <w:sz w:val="18"/>
              </w:rPr>
              <w:t>4.65 M</w:t>
            </w:r>
          </w:p>
        </w:tc>
      </w:tr>
      <w:tr>
        <w:tc>
          <w:tcPr>
            <w:tcW w:type="dxa" w:w="1728"/>
          </w:tcPr>
          <w:p>
            <w:r/>
            <w:r>
              <w:rPr>
                <w:sz w:val="18"/>
              </w:rPr>
              <w:t>Realized operational (water/sewer + vacant land)</w:t>
            </w:r>
          </w:p>
        </w:tc>
        <w:tc>
          <w:tcPr>
            <w:tcW w:type="dxa" w:w="1728"/>
          </w:tcPr>
          <w:p>
            <w:r/>
            <w:r>
              <w:rPr>
                <w:sz w:val="18"/>
              </w:rPr>
              <w:t>Municipal records (2025/2026)</w:t>
            </w:r>
          </w:p>
        </w:tc>
        <w:tc>
          <w:tcPr>
            <w:tcW w:type="dxa" w:w="1728"/>
          </w:tcPr>
          <w:p>
            <w:r/>
            <w:r>
              <w:rPr>
                <w:sz w:val="18"/>
              </w:rPr>
              <w:t>0.97 M</w:t>
            </w:r>
          </w:p>
        </w:tc>
        <w:tc>
          <w:tcPr>
            <w:tcW w:type="dxa" w:w="1728"/>
          </w:tcPr>
          <w:p>
            <w:r/>
            <w:r>
              <w:rPr>
                <w:sz w:val="18"/>
              </w:rPr>
              <w:t>0.97 M</w:t>
            </w:r>
          </w:p>
        </w:tc>
        <w:tc>
          <w:tcPr>
            <w:tcW w:type="dxa" w:w="1728"/>
          </w:tcPr>
          <w:p>
            <w:r/>
            <w:r>
              <w:rPr>
                <w:sz w:val="18"/>
              </w:rPr>
              <w:t>0.97 M</w:t>
            </w:r>
          </w:p>
        </w:tc>
      </w:tr>
      <w:tr>
        <w:tc>
          <w:tcPr>
            <w:tcW w:type="dxa" w:w="1728"/>
          </w:tcPr>
          <w:p>
            <w:r/>
            <w:r>
              <w:rPr>
                <w:sz w:val="18"/>
              </w:rPr>
              <w:t>Total annual revenue potential</w:t>
            </w:r>
          </w:p>
        </w:tc>
        <w:tc>
          <w:tcPr>
            <w:tcW w:type="dxa" w:w="1728"/>
          </w:tcPr>
          <w:p>
            <w:r/>
            <w:r>
              <w:rPr>
                <w:sz w:val="18"/>
              </w:rPr>
            </w:r>
          </w:p>
        </w:tc>
        <w:tc>
          <w:tcPr>
            <w:tcW w:type="dxa" w:w="1728"/>
          </w:tcPr>
          <w:p>
            <w:r/>
            <w:r>
              <w:rPr>
                <w:sz w:val="18"/>
              </w:rPr>
              <w:t>1.82 M</w:t>
            </w:r>
          </w:p>
        </w:tc>
        <w:tc>
          <w:tcPr>
            <w:tcW w:type="dxa" w:w="1728"/>
          </w:tcPr>
          <w:p>
            <w:r/>
            <w:r>
              <w:rPr>
                <w:sz w:val="18"/>
              </w:rPr>
              <w:t>3.04 M</w:t>
            </w:r>
          </w:p>
        </w:tc>
        <w:tc>
          <w:tcPr>
            <w:tcW w:type="dxa" w:w="1728"/>
          </w:tcPr>
          <w:p>
            <w:r/>
            <w:r>
              <w:rPr>
                <w:sz w:val="18"/>
              </w:rPr>
              <w:t>5.62 M</w:t>
            </w:r>
          </w:p>
        </w:tc>
      </w:tr>
    </w:tbl>
    <w:p>
      <w:pPr>
        <w:spacing w:after="200"/>
      </w:pPr>
      <w:r>
        <w:rPr>
          <w:i/>
          <w:sz w:val="18"/>
        </w:rPr>
        <w:t>Table 8. Revenue potential by instrument and scenario—a deterministic build-up from real parameters (ordinance formulas; UT 2026 = ARS 235; converted at ARS 1,244.17/USD). Ex-ante figures are illustrative and conservative; all figures are before leverage.</w:t>
      </w:r>
    </w:p>
    <w:p>
      <w:pPr>
        <w:spacing w:after="120" w:line="276" w:lineRule="auto"/>
      </w:pPr>
      <w:r>
        <w:t>The estimate is deliberately robust to its most uncertain input. Even if annual take-up of building rights were half the baseline, the package would still clear roughly USD 2 million a year once betterment and operational revenue are counted; the two buildability instruments together yield about USD 0.15, 0.95, and 3.25 million at take-up of 20,000, 50,000, and 80,000 m²/yr, respectively. Because the rights ceiling exceeds any plausible absorption by orders of magnitude, the binding constraint on development-rights revenue is market demand, not regulatory supply. The betterment line, anchored in a budgeted works programme rather than a forecast, is the most secure; the rent-capture line, which depends on the pace of rezoning, is the most variable. Reporting a Low-Base-High band rather than a single number is meant to make these dependencies visible, not to hide them.</w:t>
      </w:r>
    </w:p>
    <w:p>
      <w:pPr>
        <w:spacing w:after="120" w:line="276" w:lineRule="auto"/>
      </w:pPr>
      <w:r>
        <w:t>Set against the municipal fisc, the magnitude is material rather than token. For a city of about 175,000 residents, a recurring USD 3 million of adaptation-earmarked own-source revenue is the seed an external financier needs to see, not the whole tree. Its significance lies less in the absolute figure than in three properties: it is local, so it is not hostage to national transfers; it is predictable and ring-fenced, so it can be pledged; and it grows with the city, since the same development pressure that drives adaptation costs also drives the revenue that funds the response. Those properties, more than the point estimate, are what make the package bankable.</w:t>
      </w:r>
    </w:p>
    <w:p>
      <w:pPr>
        <w:pStyle w:val="Heading2"/>
      </w:pPr>
      <w:r>
        <w:t>Incidence: who pays, who benefits</w:t>
      </w:r>
    </w:p>
    <w:p>
      <w:pPr>
        <w:spacing w:after="120" w:line="276" w:lineRule="auto"/>
      </w:pPr>
      <w:r>
        <w:t>Because climate finance can deepen inequity, incidence is a design variable here, not an afterthought. On the paying side, the instruments fall on the owners who capture the windfall: rezoning-gain capture and development-rights sales are paid by those who profit from intensification, and the vacant-land surcharge falls on owners holding serviced land idle—progressive bases, since landownership and development gains are concentrated. On the receiving side, the priority index binds disbursement to need, steering investment toward districts with lower baseline access to green space, water, and services. The combination is deliberately redistributive: value is captured where it is created—the consolidated, high-value, transit-served districts—and spent where deficits are deepest. A framework that merely raised revenue could still be regressive; this one is engineered not to be. And because the index carries an equity-and-community dimension—overcrowding and material deprivation—alongside the green-space dimension computed so far, the disbursement rule is built to favour the most deprived districts, not only the greenest-deficient, extending the redistributive logic as the remaining dimensions come online. Where the final incidence falls depends on local supply elasticities: where developable land is inelastic, as binding water limits make it here, the charge rests on the landowner rather than the buyer, which is precisely the progressive case.</w:t>
      </w:r>
    </w:p>
    <w:p>
      <w:pPr>
        <w:spacing w:after="120" w:line="276" w:lineRule="auto"/>
      </w:pPr>
      <w:r>
        <w:t>Two caveats keep the incidence claim honest. First, betterment and development charges can be partly shifted into house prices; the progressivity we claim is of the statutory base, and net incidence depends on local supply elasticities, which the city should monitor as the market responds. Second, an idle-land surcharge can press on asset-rich but cash-poor owners—elderly smallholders on the urban edge, for instance—so the ordinance’s instalment options and hardship provisions are part of the equity design, not administrative afterthoughts. Equity lives in the detail of who is charged and how, as much as in where the money is spent.</w:t>
      </w:r>
    </w:p>
    <w:p>
      <w:pPr>
        <w:pStyle w:val="Heading2"/>
      </w:pPr>
      <w:r>
        <w:t>The financing gap, alignment, and leverage</w:t>
      </w:r>
    </w:p>
    <w:p>
      <w:pPr>
        <w:spacing w:after="120" w:line="276" w:lineRule="auto"/>
      </w:pPr>
      <w:r>
        <w:t>To make the numbers concrete, take one deficit the index measures. Lifting green space from a municipal average near 6 m2 per inhabitant to the index’s 10 m2 target implies roughly 700,000 m2 of new green space for about 175,000 residents; at an indicative USD 80/m2, a one-off capital need near USD 56 million. Near-term revenue of about USD 3 million covers some 5 percent of that in a year on a pay-as-you-go basis—which is why pay-as-you-go is the wrong frame. The trust fund’s leverage is what closes the gap: a dedicated reserve to match grants and a pledged stream to secure a green bond of three to four times annual revenue (about USD 9-12 million at the baseline, and more as the package matures), covering a large share of the deficit in a single issuance.</w:t>
      </w:r>
    </w:p>
    <w:p>
      <w:pPr>
        <w:spacing w:after="120" w:line="276" w:lineRule="auto"/>
      </w:pPr>
      <w:r>
        <w:t>Does the city already invest where the index says it should? The green-space dimension, computed in October 2025, puts the highest-priority districts at the urban edge and the lower-income periphery—Vistalba, Las Compuertas, and the Industrial district at level E, then Chacras de Coria, Agrelo, Mayor Drummond, and Vertientes del Pedemonte at level D—while the consolidated centres of Ciudad and La Puntilla already score A (Table 9). Mapping the 2026 works onto these grades exposes a partial misalignment (Table 10 and Figure 1): the two largest place-based investments—the Ciudad and La Carrodilla centralities, ARS 1.5 billion each—fall in districts already graded A and B, while the highest-priority districts receive no dedicated green investment. The swing factor is the microplazas programme (ARS 1.2 billion, about twenty squares, not yet sited): directing those squares to the level-D and level-E districts would turn a latent misalignment into a close fit between the index and the investment—precisely the disbursement discipline the incidence argument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Green-space sufficiency</w:t>
            </w:r>
          </w:p>
        </w:tc>
        <w:tc>
          <w:tcPr>
            <w:tcW w:type="dxa" w:w="2880"/>
          </w:tcPr>
          <w:p>
            <w:r/>
            <w:r>
              <w:rPr>
                <w:b/>
                <w:sz w:val="18"/>
              </w:rPr>
              <w:t>Districts</w:t>
            </w:r>
          </w:p>
        </w:tc>
        <w:tc>
          <w:tcPr>
            <w:tcW w:type="dxa" w:w="2880"/>
          </w:tcPr>
          <w:p>
            <w:r/>
            <w:r>
              <w:rPr>
                <w:b/>
                <w:sz w:val="18"/>
              </w:rPr>
              <w:t>Investment priority</w:t>
            </w:r>
          </w:p>
        </w:tc>
      </w:tr>
      <w:tr>
        <w:tc>
          <w:tcPr>
            <w:tcW w:type="dxa" w:w="2880"/>
          </w:tcPr>
          <w:p>
            <w:r/>
            <w:r>
              <w:rPr>
                <w:sz w:val="18"/>
              </w:rPr>
              <w:t>A - Outstanding (&gt;=90%)</w:t>
            </w:r>
          </w:p>
        </w:tc>
        <w:tc>
          <w:tcPr>
            <w:tcW w:type="dxa" w:w="2880"/>
          </w:tcPr>
          <w:p>
            <w:r/>
            <w:r>
              <w:rPr>
                <w:sz w:val="18"/>
              </w:rPr>
              <w:t>La Puntilla, Ciudad</w:t>
            </w:r>
          </w:p>
        </w:tc>
        <w:tc>
          <w:tcPr>
            <w:tcW w:type="dxa" w:w="2880"/>
          </w:tcPr>
          <w:p>
            <w:r/>
            <w:r>
              <w:rPr>
                <w:sz w:val="18"/>
              </w:rPr>
              <w:t>Low</w:t>
            </w:r>
          </w:p>
        </w:tc>
      </w:tr>
      <w:tr>
        <w:tc>
          <w:tcPr>
            <w:tcW w:type="dxa" w:w="2880"/>
          </w:tcPr>
          <w:p>
            <w:r/>
            <w:r>
              <w:rPr>
                <w:sz w:val="18"/>
              </w:rPr>
              <w:t>B - Very sufficient (70-89%)</w:t>
            </w:r>
          </w:p>
        </w:tc>
        <w:tc>
          <w:tcPr>
            <w:tcW w:type="dxa" w:w="2880"/>
          </w:tcPr>
          <w:p>
            <w:r/>
            <w:r>
              <w:rPr>
                <w:sz w:val="18"/>
              </w:rPr>
              <w:t>Potrerillos, Carrodilla</w:t>
            </w:r>
          </w:p>
        </w:tc>
        <w:tc>
          <w:tcPr>
            <w:tcW w:type="dxa" w:w="2880"/>
          </w:tcPr>
          <w:p>
            <w:r/>
            <w:r>
              <w:rPr>
                <w:sz w:val="18"/>
              </w:rPr>
              <w:t>Low</w:t>
            </w:r>
          </w:p>
        </w:tc>
      </w:tr>
      <w:tr>
        <w:tc>
          <w:tcPr>
            <w:tcW w:type="dxa" w:w="2880"/>
          </w:tcPr>
          <w:p>
            <w:r/>
            <w:r>
              <w:rPr>
                <w:sz w:val="18"/>
              </w:rPr>
              <w:t>C - Sufficient (50-69%)</w:t>
            </w:r>
          </w:p>
        </w:tc>
        <w:tc>
          <w:tcPr>
            <w:tcW w:type="dxa" w:w="2880"/>
          </w:tcPr>
          <w:p>
            <w:r/>
            <w:r>
              <w:rPr>
                <w:sz w:val="18"/>
              </w:rPr>
              <w:t>Perdriel, Cacheuta, El Carrizal, Ugarteche</w:t>
            </w:r>
          </w:p>
        </w:tc>
        <w:tc>
          <w:tcPr>
            <w:tcW w:type="dxa" w:w="2880"/>
          </w:tcPr>
          <w:p>
            <w:r/>
            <w:r>
              <w:rPr>
                <w:sz w:val="18"/>
              </w:rPr>
              <w:t>Medium</w:t>
            </w:r>
          </w:p>
        </w:tc>
      </w:tr>
      <w:tr>
        <w:tc>
          <w:tcPr>
            <w:tcW w:type="dxa" w:w="2880"/>
          </w:tcPr>
          <w:p>
            <w:r/>
            <w:r>
              <w:rPr>
                <w:sz w:val="18"/>
              </w:rPr>
              <w:t>D - Insufficient (25-49%)</w:t>
            </w:r>
          </w:p>
        </w:tc>
        <w:tc>
          <w:tcPr>
            <w:tcW w:type="dxa" w:w="2880"/>
          </w:tcPr>
          <w:p>
            <w:r/>
            <w:r>
              <w:rPr>
                <w:sz w:val="18"/>
              </w:rPr>
              <w:t>Chacras de Coria, Agrelo, Mayor Drummond, Vertientes del Pedemonte</w:t>
            </w:r>
          </w:p>
        </w:tc>
        <w:tc>
          <w:tcPr>
            <w:tcW w:type="dxa" w:w="2880"/>
          </w:tcPr>
          <w:p>
            <w:r/>
            <w:r>
              <w:rPr>
                <w:sz w:val="18"/>
              </w:rPr>
              <w:t>High</w:t>
            </w:r>
          </w:p>
        </w:tc>
      </w:tr>
      <w:tr>
        <w:tc>
          <w:tcPr>
            <w:tcW w:type="dxa" w:w="2880"/>
          </w:tcPr>
          <w:p>
            <w:r/>
            <w:r>
              <w:rPr>
                <w:sz w:val="18"/>
              </w:rPr>
              <w:t>E - Very insufficient (&lt;25%)</w:t>
            </w:r>
          </w:p>
        </w:tc>
        <w:tc>
          <w:tcPr>
            <w:tcW w:type="dxa" w:w="2880"/>
          </w:tcPr>
          <w:p>
            <w:r/>
            <w:r>
              <w:rPr>
                <w:sz w:val="18"/>
              </w:rPr>
              <w:t>Vistalba, Las Compuertas, Industrial</w:t>
            </w:r>
          </w:p>
        </w:tc>
        <w:tc>
          <w:tcPr>
            <w:tcW w:type="dxa" w:w="2880"/>
          </w:tcPr>
          <w:p>
            <w:r/>
            <w:r>
              <w:rPr>
                <w:sz w:val="18"/>
              </w:rPr>
              <w:t>Highest</w:t>
            </w:r>
          </w:p>
        </w:tc>
      </w:tr>
    </w:tbl>
    <w:p>
      <w:pPr>
        <w:spacing w:after="200"/>
      </w:pPr>
      <w:r>
        <w:rPr>
          <w:i/>
          <w:sz w:val="18"/>
        </w:rPr>
        <w:t>Table 9. Green-space and biodiversity subindex by district (October 2025). Lower sufficiency = higher priority. Source: Laboratorio de Políticas Públicas, Municipalidad de Luján de Cuyo.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2026 work (ID)</w:t>
            </w:r>
          </w:p>
        </w:tc>
        <w:tc>
          <w:tcPr>
            <w:tcW w:type="dxa" w:w="2160"/>
          </w:tcPr>
          <w:p>
            <w:r/>
            <w:r>
              <w:rPr>
                <w:b/>
                <w:sz w:val="18"/>
              </w:rPr>
              <w:t>District(s)</w:t>
            </w:r>
          </w:p>
        </w:tc>
        <w:tc>
          <w:tcPr>
            <w:tcW w:type="dxa" w:w="2160"/>
          </w:tcPr>
          <w:p>
            <w:r/>
            <w:r>
              <w:rPr>
                <w:b/>
                <w:sz w:val="18"/>
              </w:rPr>
              <w:t>Green-space level</w:t>
            </w:r>
          </w:p>
        </w:tc>
        <w:tc>
          <w:tcPr>
            <w:tcW w:type="dxa" w:w="2160"/>
          </w:tcPr>
          <w:p>
            <w:r/>
            <w:r>
              <w:rPr>
                <w:b/>
                <w:sz w:val="18"/>
              </w:rPr>
              <w:t>Alignment with green priority</w:t>
            </w:r>
          </w:p>
        </w:tc>
      </w:tr>
      <w:tr>
        <w:tc>
          <w:tcPr>
            <w:tcW w:type="dxa" w:w="2160"/>
          </w:tcPr>
          <w:p>
            <w:r/>
            <w:r>
              <w:rPr>
                <w:sz w:val="18"/>
              </w:rPr>
              <w:t>Centrality (395)</w:t>
            </w:r>
          </w:p>
        </w:tc>
        <w:tc>
          <w:tcPr>
            <w:tcW w:type="dxa" w:w="2160"/>
          </w:tcPr>
          <w:p>
            <w:r/>
            <w:r>
              <w:rPr>
                <w:sz w:val="18"/>
              </w:rPr>
              <w:t>Ciudad</w:t>
            </w:r>
          </w:p>
        </w:tc>
        <w:tc>
          <w:tcPr>
            <w:tcW w:type="dxa" w:w="2160"/>
          </w:tcPr>
          <w:p>
            <w:r/>
            <w:r>
              <w:rPr>
                <w:sz w:val="18"/>
              </w:rPr>
              <w:t>A</w:t>
            </w:r>
          </w:p>
        </w:tc>
        <w:tc>
          <w:tcPr>
            <w:tcW w:type="dxa" w:w="2160"/>
          </w:tcPr>
          <w:p>
            <w:r/>
            <w:r>
              <w:rPr>
                <w:sz w:val="18"/>
              </w:rPr>
              <w:t>Low - justified by drainage/compactness</w:t>
            </w:r>
          </w:p>
        </w:tc>
      </w:tr>
      <w:tr>
        <w:tc>
          <w:tcPr>
            <w:tcW w:type="dxa" w:w="2160"/>
          </w:tcPr>
          <w:p>
            <w:r/>
            <w:r>
              <w:rPr>
                <w:sz w:val="18"/>
              </w:rPr>
              <w:t>Centrality (773)</w:t>
            </w:r>
          </w:p>
        </w:tc>
        <w:tc>
          <w:tcPr>
            <w:tcW w:type="dxa" w:w="2160"/>
          </w:tcPr>
          <w:p>
            <w:r/>
            <w:r>
              <w:rPr>
                <w:sz w:val="18"/>
              </w:rPr>
              <w:t>Carrodilla</w:t>
            </w:r>
          </w:p>
        </w:tc>
        <w:tc>
          <w:tcPr>
            <w:tcW w:type="dxa" w:w="2160"/>
          </w:tcPr>
          <w:p>
            <w:r/>
            <w:r>
              <w:rPr>
                <w:sz w:val="18"/>
              </w:rPr>
              <w:t>B</w:t>
            </w:r>
          </w:p>
        </w:tc>
        <w:tc>
          <w:tcPr>
            <w:tcW w:type="dxa" w:w="2160"/>
          </w:tcPr>
          <w:p>
            <w:r/>
            <w:r>
              <w:rPr>
                <w:sz w:val="18"/>
              </w:rPr>
              <w:t>Low - justified by value capture</w:t>
            </w:r>
          </w:p>
        </w:tc>
      </w:tr>
      <w:tr>
        <w:tc>
          <w:tcPr>
            <w:tcW w:type="dxa" w:w="2160"/>
          </w:tcPr>
          <w:p>
            <w:r/>
            <w:r>
              <w:rPr>
                <w:sz w:val="18"/>
              </w:rPr>
              <w:t>Microplazas (865)</w:t>
            </w:r>
          </w:p>
        </w:tc>
        <w:tc>
          <w:tcPr>
            <w:tcW w:type="dxa" w:w="2160"/>
          </w:tcPr>
          <w:p>
            <w:r/>
            <w:r>
              <w:rPr>
                <w:sz w:val="18"/>
              </w:rPr>
              <w:t>Department-wide</w:t>
            </w:r>
          </w:p>
        </w:tc>
        <w:tc>
          <w:tcPr>
            <w:tcW w:type="dxa" w:w="2160"/>
          </w:tcPr>
          <w:p>
            <w:r/>
            <w:r>
              <w:rPr>
                <w:sz w:val="18"/>
              </w:rPr>
              <w:t>Varies</w:t>
            </w:r>
          </w:p>
        </w:tc>
        <w:tc>
          <w:tcPr>
            <w:tcW w:type="dxa" w:w="2160"/>
          </w:tcPr>
          <w:p>
            <w:r/>
            <w:r>
              <w:rPr>
                <w:sz w:val="18"/>
              </w:rPr>
              <w:t>Decisive - align by targeting D/E districts</w:t>
            </w:r>
          </w:p>
        </w:tc>
      </w:tr>
      <w:tr>
        <w:tc>
          <w:tcPr>
            <w:tcW w:type="dxa" w:w="2160"/>
          </w:tcPr>
          <w:p>
            <w:r/>
            <w:r>
              <w:rPr>
                <w:sz w:val="18"/>
              </w:rPr>
              <w:t>Boulevard T. del Fuego (575)</w:t>
            </w:r>
          </w:p>
        </w:tc>
        <w:tc>
          <w:tcPr>
            <w:tcW w:type="dxa" w:w="2160"/>
          </w:tcPr>
          <w:p>
            <w:r/>
            <w:r>
              <w:rPr>
                <w:sz w:val="18"/>
              </w:rPr>
              <w:t>Bardas Blancas (edge)</w:t>
            </w:r>
          </w:p>
        </w:tc>
        <w:tc>
          <w:tcPr>
            <w:tcW w:type="dxa" w:w="2160"/>
          </w:tcPr>
          <w:p>
            <w:r/>
            <w:r>
              <w:rPr>
                <w:sz w:val="18"/>
              </w:rPr>
              <w:t>D-E (edge)</w:t>
            </w:r>
          </w:p>
        </w:tc>
        <w:tc>
          <w:tcPr>
            <w:tcW w:type="dxa" w:w="2160"/>
          </w:tcPr>
          <w:p>
            <w:r/>
            <w:r>
              <w:rPr>
                <w:sz w:val="18"/>
              </w:rPr>
              <w:t>Potential - near high-priority area</w:t>
            </w:r>
          </w:p>
        </w:tc>
      </w:tr>
      <w:tr>
        <w:tc>
          <w:tcPr>
            <w:tcW w:type="dxa" w:w="2160"/>
          </w:tcPr>
          <w:p>
            <w:r/>
            <w:r>
              <w:rPr>
                <w:sz w:val="18"/>
              </w:rPr>
              <w:t>Sidewalk Zapiola/Drummond (452)</w:t>
            </w:r>
          </w:p>
        </w:tc>
        <w:tc>
          <w:tcPr>
            <w:tcW w:type="dxa" w:w="2160"/>
          </w:tcPr>
          <w:p>
            <w:r/>
            <w:r>
              <w:rPr>
                <w:sz w:val="18"/>
              </w:rPr>
              <w:t>Mayor Drummond</w:t>
            </w:r>
          </w:p>
        </w:tc>
        <w:tc>
          <w:tcPr>
            <w:tcW w:type="dxa" w:w="2160"/>
          </w:tcPr>
          <w:p>
            <w:r/>
            <w:r>
              <w:rPr>
                <w:sz w:val="18"/>
              </w:rPr>
              <w:t>D</w:t>
            </w:r>
          </w:p>
        </w:tc>
        <w:tc>
          <w:tcPr>
            <w:tcW w:type="dxa" w:w="2160"/>
          </w:tcPr>
          <w:p>
            <w:r/>
            <w:r>
              <w:rPr>
                <w:sz w:val="18"/>
              </w:rPr>
              <w:t>Aligned</w:t>
            </w:r>
          </w:p>
        </w:tc>
      </w:tr>
      <w:tr>
        <w:tc>
          <w:tcPr>
            <w:tcW w:type="dxa" w:w="2160"/>
          </w:tcPr>
          <w:p>
            <w:r/>
            <w:r>
              <w:rPr>
                <w:sz w:val="18"/>
              </w:rPr>
              <w:t>Canal bridge / metrotranvía (1274)</w:t>
            </w:r>
          </w:p>
        </w:tc>
        <w:tc>
          <w:tcPr>
            <w:tcW w:type="dxa" w:w="2160"/>
          </w:tcPr>
          <w:p>
            <w:r/>
            <w:r>
              <w:rPr>
                <w:sz w:val="18"/>
              </w:rPr>
              <w:t>Ciudad / corridor</w:t>
            </w:r>
          </w:p>
        </w:tc>
        <w:tc>
          <w:tcPr>
            <w:tcW w:type="dxa" w:w="2160"/>
          </w:tcPr>
          <w:p>
            <w:r/>
            <w:r>
              <w:rPr>
                <w:sz w:val="18"/>
              </w:rPr>
              <w:t>A</w:t>
            </w:r>
          </w:p>
        </w:tc>
        <w:tc>
          <w:tcPr>
            <w:tcW w:type="dxa" w:w="2160"/>
          </w:tcPr>
          <w:p>
            <w:r/>
            <w:r>
              <w:rPr>
                <w:sz w:val="18"/>
              </w:rPr>
              <w:t>Mobility, not green</w:t>
            </w:r>
          </w:p>
        </w:tc>
      </w:tr>
    </w:tbl>
    <w:p>
      <w:pPr>
        <w:spacing w:after="200"/>
      </w:pPr>
      <w:r>
        <w:rPr>
          <w:i/>
          <w:sz w:val="18"/>
        </w:rPr>
        <w:t>Table 10. 2026 works mapped to district green-space priority. "Alignment" asks whether the work sits where the index signals the greatest need.</w:t>
      </w:r>
    </w:p>
    <w:p>
      <w:pPr>
        <w:jc w:val="center"/>
      </w:pPr>
      <w:r>
        <w:drawing>
          <wp:inline xmlns:a="http://schemas.openxmlformats.org/drawingml/2006/main" xmlns:pic="http://schemas.openxmlformats.org/drawingml/2006/picture">
            <wp:extent cx="5760720" cy="3629254"/>
            <wp:docPr id="1" name="Picture 1"/>
            <wp:cNvGraphicFramePr>
              <a:graphicFrameLocks noChangeAspect="1"/>
            </wp:cNvGraphicFramePr>
            <a:graphic>
              <a:graphicData uri="http://schemas.openxmlformats.org/drawingml/2006/picture">
                <pic:pic>
                  <pic:nvPicPr>
                    <pic:cNvPr id="0" name="fig_alignment_works_vs_priority.png"/>
                    <pic:cNvPicPr/>
                  </pic:nvPicPr>
                  <pic:blipFill>
                    <a:blip r:embed="rId9"/>
                    <a:stretch>
                      <a:fillRect/>
                    </a:stretch>
                  </pic:blipFill>
                  <pic:spPr>
                    <a:xfrm>
                      <a:off x="0" y="0"/>
                      <a:ext cx="5760720" cy="3629254"/>
                    </a:xfrm>
                    <a:prstGeom prst="rect"/>
                  </pic:spPr>
                </pic:pic>
              </a:graphicData>
            </a:graphic>
          </wp:inline>
        </w:drawing>
      </w:r>
    </w:p>
    <w:p>
      <w:pPr>
        <w:spacing w:after="200"/>
      </w:pPr>
      <w:r>
        <w:rPr>
          <w:i/>
          <w:sz w:val="18"/>
        </w:rPr>
        <w:t>Figure 1. Where green investment is needed versus where the 2026 works are located: district green-space sufficiency (A-E) against 2026 place-based public-space investment (ARS billion). Source: author, from the priority index (Oct 2025) and the 2026 Plan de Obras.</w:t>
      </w:r>
    </w:p>
    <w:p>
      <w:pPr>
        <w:pStyle w:val="Heading1"/>
      </w:pPr>
      <w:r>
        <w:t>Conclusion</w:t>
      </w:r>
    </w:p>
    <w:p>
      <w:pPr>
        <w:spacing w:after="120" w:line="276" w:lineRule="auto"/>
      </w:pPr>
      <w:r>
        <w:t>The exercise above exposes the framework’s central tension and its resolution. Value capture is generated where land is most valuable—the consolidated, transit-served districts that are also the densification zones—yet several of those districts score poorly on green space, and the equity dimension will likely flag the poorer periphery as most deprived. A city that spent each instrument’s proceeds where they arose would entrench that gap; the trust fund, paired with the index, is what prevents it, capturing value where it is created and redirecting it to where need is greatest. This does double duty: it satisfies the financier’s demand for evidence-based prioritisation and disciplines the regressive instinct to invest only where revenue is raised.</w:t>
      </w:r>
    </w:p>
    <w:p>
      <w:pPr>
        <w:spacing w:after="120" w:line="276" w:lineRule="auto"/>
      </w:pPr>
      <w:r>
        <w:t>These results speak to three literatures at once. For land value capture, they extend instruments designed for transit-oriented development and infrastructure cost recovery into climate adaptation, and document them in an intermediate rather than a metropolitan setting. For climate-adaptation finance, they answer the bankability diagnosis with a concrete revenue mechanism and show how a trust fund converts own-source revenue into counterpart funding and repayment capacity. For the water-and-cities literature, they move the empirical centre of gravity from coastal flooding toward slow-onset water scarcity, where the capitalisation logic—binding hydrological limits on developable land—is, if anything, stronger. The contribution is to join these threads in a single, operating case rather than to advance any one in isolation.</w:t>
      </w:r>
    </w:p>
    <w:p>
      <w:pPr>
        <w:spacing w:after="120" w:line="276" w:lineRule="auto"/>
      </w:pPr>
      <w:r>
        <w:t>The framework is built to travel. It is modular—a city can start with the two instruments easiest to administer and add the rest as capacity grows; adaptable—the index reweights to different hazards; and leverage-ready wherever international finance asks for own-source matching and repayment. Its hardest barrier is political economy: LVC moves wealth from landowners to the community and provokes resistance. The workable response, evident in Luján de Cuyo, is to frame the instruments as climate-adaptation finance rather than taxation and to let the earmarking and transparency of the trust fund do the persuading—when residents see a rezoning charge become a plaza or a recharged aquifer in their own district, the politics shift. For financiers, an instrument that manufactures counterpart funds, repayment capacity, and spatial evidence in one structure is the municipal counterpart that turns a thin pipeline thick. The template is most directly relevant to the world’s intermediate cities in semi-arid, water-stressed regions—numerous across Latin America, the Mediterranean, the Middle East, South Asia, and the western United States—where the same development pressure that drives adaptation costs also generates the land value that can pay for them; networks such as C40 and ICLEI are natural channels for its diffusion.</w:t>
      </w:r>
    </w:p>
    <w:p>
      <w:pPr>
        <w:spacing w:after="120" w:line="276" w:lineRule="auto"/>
      </w:pPr>
      <w:r>
        <w:t>Two conditions make the model portable, and both are within reach. The first is legal authority to levy the instruments and to earmark their proceeds—available here through municipal competence over zoning and local charges, though it varies across jurisdictions and should be secured before instruments are designed. The second is land-market data, and the requirement is modest: a GIS-based valuation system with land-, built-, and assessment-value layers, the tax roll, an itemised works programme, a buildability code, and district indicators computed one dimension at a time. The Luján de Cuyo experience is that a city can begin before the dataset is complete—two instruments are already collecting while several index dimensions are still being assembled—so partial data is no excuse to wait.</w:t>
      </w:r>
    </w:p>
    <w:p>
      <w:pPr>
        <w:spacing w:after="120" w:line="276" w:lineRule="auto"/>
      </w:pPr>
      <w:r>
        <w:t>Three limitations bound the contribution. The value-capture instruments are designed, not yet transacting, so their figures are conservative estimates anchored to real parameters rather than observed flows; the priority index is one dimension into a six-dimension build; and the full leverage chain awaits the bond market. We estimate revenue capacity and its allocation, not the net welfare or benefit–cost of the investments it would fund; the adaptation returns we invoke are drawn from the literature, and measuring them locally remains for future work. Future work should track take-up once the instruments are sanctioned, complete the index, and document the first leverage transaction. None of this weakens the central claim: Luján de Cuyo has built a machine other cities can build too—one that converts the land-use windfall, which water-stressed regions are generating in abundance, into bankable, equitably allocated own-source revenue. A just transition is measured not by the size of the cheque but by where it lands; an intermediate city that can capture and steer its own land value is one that can finally make the cheque land at home.</w:t>
      </w:r>
    </w:p>
    <w:p>
      <w:pPr>
        <w:pStyle w:val="Heading1"/>
      </w:pPr>
      <w:r>
        <w:t>Acknowledgements</w:t>
      </w:r>
    </w:p>
    <w:p>
      <w:pPr>
        <w:spacing w:after="120" w:line="276" w:lineRule="auto"/>
      </w:pPr>
      <w:r>
        <w:t>The author thanks the Municipality of Luján de Cuyo and its Laboratorio de Políticas Públicas for access to municipal data, and colleagues at CIPUV–Universidad Torcuato Di Tella for comments. All errors are the author’s own.</w:t>
      </w:r>
    </w:p>
    <w:p>
      <w:pPr>
        <w:spacing w:after="120"/>
      </w:pPr>
      <w:r>
        <w:rPr>
          <w:b/>
        </w:rPr>
        <w:t xml:space="preserve">Funding. </w:t>
      </w:r>
      <w:r>
        <w:t>This research forms part of a 12-month case study supported by the Lincoln Institute of Land Policy.</w:t>
      </w:r>
    </w:p>
    <w:p>
      <w:pPr>
        <w:spacing w:after="120"/>
      </w:pPr>
      <w:r>
        <w:rPr>
          <w:b/>
        </w:rPr>
        <w:t xml:space="preserve">Author Contributions. </w:t>
      </w:r>
      <w:r>
        <w:t>Conceptualization, Methodology, Investigation, Formal analysis, Data curation, Writing – Original Draft, and Writing – Review &amp; Editing: C Goytia (sole author).</w:t>
      </w:r>
    </w:p>
    <w:p>
      <w:pPr>
        <w:spacing w:after="120"/>
      </w:pPr>
      <w:r>
        <w:rPr>
          <w:b/>
        </w:rPr>
        <w:t xml:space="preserve">Conflict of Interest. </w:t>
      </w:r>
      <w:r>
        <w:t>The author declares no competing interests.</w:t>
      </w:r>
    </w:p>
    <w:p>
      <w:pPr>
        <w:spacing w:after="120"/>
      </w:pPr>
      <w:r>
        <w:rPr>
          <w:b/>
        </w:rPr>
        <w:t xml:space="preserve">Data Accessibility. </w:t>
      </w:r>
      <w:r>
        <w:t>Aggregated municipal data and the calculations underlying the estimates are available from the author on reasonable request; the underlying records are held by the Municipality of Luján de Cuyo.</w:t>
      </w:r>
    </w:p>
    <w:p>
      <w:pPr>
        <w:pStyle w:val="Heading1"/>
      </w:pPr>
      <w:r>
        <w:t>References</w:t>
      </w:r>
    </w:p>
    <w:p>
      <w:pPr>
        <w:spacing w:after="80"/>
        <w:ind w:left="432" w:hanging="432"/>
      </w:pPr>
      <w:r>
        <w:rPr>
          <w:sz w:val="18"/>
        </w:rPr>
        <w:t>Alterman, R. (2012). Land use regulations and property values: The “windfall capture” idea revisited. In N. Brooks, K. Donaghy, &amp; G. Knaap (Eds.), The Oxford handbook of urban economics and planning (pp. 755–786). Oxford University Press.</w:t>
      </w:r>
    </w:p>
    <w:p>
      <w:pPr>
        <w:spacing w:after="80"/>
        <w:ind w:left="432" w:hanging="432"/>
      </w:pPr>
      <w:r>
        <w:rPr>
          <w:sz w:val="18"/>
        </w:rPr>
        <w:t>Blanco, A., Moreno, N., Vetter, D., &amp; Vetter, M. (2016). The potential of land value capture for financing urban projects. Inter-American Development Bank.</w:t>
      </w:r>
    </w:p>
    <w:p>
      <w:pPr>
        <w:spacing w:after="80"/>
        <w:ind w:left="432" w:hanging="432"/>
      </w:pPr>
      <w:r>
        <w:rPr>
          <w:sz w:val="18"/>
        </w:rPr>
        <w:t>C40 Cities, &amp; Global Covenant of Mayors for Climate &amp; Energy. (2026). Building the financial case for urban adaptation: Guidance and case studies. C40 Cities Finance Facility.</w:t>
      </w:r>
    </w:p>
    <w:p>
      <w:pPr>
        <w:spacing w:after="80"/>
        <w:ind w:left="432" w:hanging="432"/>
      </w:pPr>
      <w:r>
        <w:rPr>
          <w:sz w:val="18"/>
        </w:rPr>
        <w:t>Cities Climate Finance Leadership Alliance, &amp; Climate Policy Initiative. (2024). The state of cities climate finance 2024. CCFLA.</w:t>
      </w:r>
    </w:p>
    <w:p>
      <w:pPr>
        <w:spacing w:after="80"/>
        <w:ind w:left="432" w:hanging="432"/>
      </w:pPr>
      <w:r>
        <w:rPr>
          <w:sz w:val="18"/>
        </w:rPr>
        <w:t>Clifton, J., Díaz-Fuentes, D., Fernández Gutiérrez, M., &amp; Lara Gómez, A. (2025). European Investment Bank climate finance and regional vulnerability in the just transition. Cambridge Journal of Regions, Economy and Society. Advance online publication. [Exact title to be confirmed.]</w:t>
      </w:r>
    </w:p>
    <w:p>
      <w:pPr>
        <w:spacing w:after="80"/>
        <w:ind w:left="432" w:hanging="432"/>
      </w:pPr>
      <w:r>
        <w:rPr>
          <w:sz w:val="18"/>
        </w:rPr>
        <w:t>Coalition for Urban Transitions. (2019). Climate emergency, urban opportunity. WRI Ross Center &amp; C40 Cities.</w:t>
      </w:r>
    </w:p>
    <w:p>
      <w:pPr>
        <w:spacing w:after="80"/>
        <w:ind w:left="432" w:hanging="432"/>
      </w:pPr>
      <w:r>
        <w:rPr>
          <w:sz w:val="18"/>
        </w:rPr>
        <w:t>Dunning, R. J., &amp; Lord, A. (2020). Preparing for the climate crisis: What role should land value capture play? Land Use Policy, 99, 104867. https://doi.org/10.1016/j.landusepol.2020.104867</w:t>
      </w:r>
    </w:p>
    <w:p>
      <w:pPr>
        <w:spacing w:after="80"/>
        <w:ind w:left="432" w:hanging="432"/>
      </w:pPr>
      <w:r>
        <w:rPr>
          <w:sz w:val="18"/>
        </w:rPr>
        <w:t>Duranton, G., &amp; Puga, D. (2015). Urban land use. In G. Duranton, J. V. Henderson, &amp; W. Strange (Eds.), Handbook of regional and urban economics (Vol. 5, pp. 467–560). Elsevier.</w:t>
      </w:r>
    </w:p>
    <w:p>
      <w:pPr>
        <w:spacing w:after="80"/>
        <w:ind w:left="432" w:hanging="432"/>
      </w:pPr>
      <w:r>
        <w:rPr>
          <w:sz w:val="18"/>
        </w:rPr>
        <w:t>George, H. (1879). Progress and poverty. Appleton.</w:t>
      </w:r>
    </w:p>
    <w:p>
      <w:pPr>
        <w:spacing w:after="80"/>
        <w:ind w:left="432" w:hanging="432"/>
      </w:pPr>
      <w:r>
        <w:rPr>
          <w:sz w:val="18"/>
        </w:rPr>
        <w:t>Glaeser, E. (2011). Triumph of the city. Penguin Press.</w:t>
      </w:r>
    </w:p>
    <w:p>
      <w:pPr>
        <w:spacing w:after="80"/>
        <w:ind w:left="432" w:hanging="432"/>
      </w:pPr>
      <w:r>
        <w:rPr>
          <w:sz w:val="18"/>
        </w:rPr>
        <w:t>Global Commission on Adaptation. (2019). Adapt now: A global call for leadership on climate resilience. Global Center on Adaptation &amp; World Resources Institute.</w:t>
      </w:r>
    </w:p>
    <w:p>
      <w:pPr>
        <w:spacing w:after="80"/>
        <w:ind w:left="432" w:hanging="432"/>
      </w:pPr>
      <w:r>
        <w:rPr>
          <w:sz w:val="18"/>
        </w:rPr>
        <w:t>OECD, &amp; Lincoln Institute of Land Policy. (2022). Global compendium of land value capture policies. OECD Publishing.</w:t>
      </w:r>
    </w:p>
    <w:p>
      <w:pPr>
        <w:spacing w:after="80"/>
        <w:ind w:left="432" w:hanging="432"/>
      </w:pPr>
      <w:r>
        <w:rPr>
          <w:sz w:val="18"/>
        </w:rPr>
        <w:t>Smolka, M. O. (2013). Implementing value capture in Latin America: Policies and tools for urban development. Lincoln Institute of Land Policy.</w:t>
      </w:r>
    </w:p>
    <w:p>
      <w:pPr>
        <w:spacing w:after="80"/>
        <w:ind w:left="432" w:hanging="432"/>
      </w:pPr>
      <w:r>
        <w:rPr>
          <w:sz w:val="18"/>
        </w:rPr>
        <w:t>Suzuki, H., Murakami, J., Hong, Y. H., &amp; Tamayose, B. (2015). Financing transit-oriented development with land values. World Bank Group.</w:t>
      </w:r>
    </w:p>
    <w:p>
      <w:pPr>
        <w:spacing w:after="80"/>
        <w:ind w:left="432" w:hanging="432"/>
      </w:pPr>
      <w:r>
        <w:rPr>
          <w:sz w:val="18"/>
        </w:rPr>
        <w:t>United Nations Environment Programme. (2023). Adaptation gap report 2023: Underfinanced. Underprepared. UNEP.</w:t>
      </w:r>
    </w:p>
    <w:p>
      <w:pPr>
        <w:pStyle w:val="Heading1"/>
      </w:pPr>
      <w:r>
        <w:t>Figure captions</w:t>
      </w:r>
    </w:p>
    <w:p>
      <w:pPr>
        <w:spacing w:after="120" w:line="276" w:lineRule="auto"/>
      </w:pPr>
      <w:r>
        <w:t>Figure 1. Where green investment is needed versus where the 2026 works are located: district green-space sufficiency (A–E; lower = higher priority) against 2026 place-based public-space investment (ARS billion).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