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Capturing the Land-Use Windfall for Climate Adaptation</w:t>
      </w:r>
    </w:p>
    <w:p>
      <w:pPr>
        <w:jc w:val="center"/>
      </w:pPr>
      <w:r>
        <w:rPr>
          <w:b w:val="0"/>
          <w:i/>
          <w:sz w:val="24"/>
        </w:rPr>
        <w:t>A Policy Guide for Municipal Finance Teams in Water-Stressed Cities</w:t>
      </w:r>
    </w:p>
    <w:p>
      <w:pPr>
        <w:jc w:val="center"/>
      </w:pPr>
      <w:r>
        <w:rPr>
          <w:b w:val="0"/>
          <w:i/>
          <w:sz w:val="20"/>
        </w:rPr>
        <w:t>Companion Policy Guidelines to “Financing Water-Resilient Cities through Multi-Instrument Land Value Capture: Evidence from Luján de Cuyo, Argentina”</w:t>
      </w:r>
    </w:p>
    <w:p>
      <w:pPr>
        <w:jc w:val="center"/>
      </w:pPr>
      <w:r>
        <w:rPr>
          <w:b w:val="0"/>
          <w:i w:val="0"/>
          <w:sz w:val="20"/>
        </w:rPr>
        <w:t>Cynthia Goytia, Ph.D. (CIPUV — Universidad Torcuato Di Tella), in collaboration with the Lincoln Institute of Land Policy</w:t>
      </w:r>
    </w:p>
    <w:p>
      <w:pPr>
        <w:jc w:val="center"/>
      </w:pPr>
      <w:r>
        <w:rPr>
          <w:b w:val="0"/>
          <w:i/>
          <w:sz w:val="20"/>
        </w:rPr>
        <w:t>Article type: Policy Guidelines · Special Issue: Financing Sustainable Cities (JCCPE)</w:t>
      </w:r>
    </w:p>
    <w:p/>
    <w:p>
      <w:pPr>
        <w:pStyle w:val="Heading1"/>
      </w:pPr>
      <w:r>
        <w:t>Abstract</w:t>
      </w:r>
    </w:p>
    <w:p>
      <w:pPr>
        <w:spacing w:after="120" w:line="276" w:lineRule="auto"/>
      </w:pPr>
      <w:r>
        <w:t>Intermediate cities in the water-stressed Majority World face real adaptation needs, thin budgets, and no access to the international climate finance their balance sheets cannot yet unlock—while the finance that does flow favours cities already able to compete. This Policy Guidelines piece distils a companion research case (Luján de Cuyo, Mendoza, Argentina) into an actionable playbook for municipal finance teams. It shows how to capture the land-use windfall through a coordinated package of land value capture instruments, ring-fence the proceeds in a trust fund (fideicomiso) designed from day one as a leverage vehicle, allocate them by a district-level priority index that foregrounds incidence, and climb a leverage ladder from grant-matching to green bonds to multilateral climate finance. Sequenced steps, a readiness checklist, and ten transferable principles translate the analysis into practice for semi-arid Latin American cities and their peers.</w:t>
      </w:r>
    </w:p>
    <w:p>
      <w:r>
        <w:rPr>
          <w:b/>
        </w:rPr>
        <w:t xml:space="preserve">Keywords: </w:t>
      </w:r>
      <w:r>
        <w:t>land value capture; municipal trust funds; climate adaptation finance; water scarcity; Majority-World cities; Argentina</w:t>
      </w:r>
    </w:p>
    <w:p>
      <w:pPr>
        <w:pStyle w:val="Heading1"/>
      </w:pPr>
      <w:r>
        <w:t>Summary for Policymakers</w:t>
      </w:r>
    </w:p>
    <w:p>
      <w:pPr>
        <w:pStyle w:val="ListBullet"/>
        <w:spacing w:after="40"/>
      </w:pPr>
      <w:r>
        <w:t>Capture the land-use windfall, ring-fence it in a trust fund, and use it as the lever that unlocks international climate finance.</w:t>
      </w:r>
    </w:p>
    <w:p>
      <w:pPr>
        <w:pStyle w:val="ListBullet"/>
        <w:spacing w:after="40"/>
      </w:pPr>
      <w:r>
        <w:t>Adopt instruments as a package; sequence by capacity—start with a vacant-land surcharge and a service-capacity charge, which collect quickly.</w:t>
      </w:r>
    </w:p>
    <w:p>
      <w:pPr>
        <w:pStyle w:val="ListBullet"/>
        <w:spacing w:after="40"/>
      </w:pPr>
      <w:r>
        <w:t>Earmark every charge to the fund by ordinance and index its base to inflation, or the revenue dissipates and loses its leverage.</w:t>
      </w:r>
    </w:p>
    <w:p>
      <w:pPr>
        <w:pStyle w:val="ListBullet"/>
        <w:spacing w:after="40"/>
      </w:pPr>
      <w:r>
        <w:t>Design the fund with a dedicated matching-funds account; the same ring-fenced flows provide both grant counterpart and bond repayment.</w:t>
      </w:r>
    </w:p>
    <w:p>
      <w:pPr>
        <w:pStyle w:val="ListBullet"/>
        <w:spacing w:after="40"/>
      </w:pPr>
      <w:r>
        <w:t>Bind spending to a district-level priority index that foregrounds incidence—who pays, who benefits—to avoid regressive outcomes.</w:t>
      </w:r>
    </w:p>
    <w:p>
      <w:pPr>
        <w:pStyle w:val="ListBullet"/>
        <w:spacing w:after="40"/>
      </w:pPr>
      <w:r>
        <w:t>Frame the effort as adaptation finance, not taxation; transparency and earmarking carry the politics.</w:t>
      </w:r>
    </w:p>
    <w:p>
      <w:pPr>
        <w:pStyle w:val="Heading1"/>
      </w:pPr>
      <w:r>
        <w:t>Who this guide is for, and why</w:t>
      </w:r>
    </w:p>
    <w:p>
      <w:pPr>
        <w:spacing w:after="120" w:line="276" w:lineRule="auto"/>
      </w:pPr>
      <w:r>
        <w:t>This guide is written for the people who actually have to find the money: secretarios de hacienda, planning directors, and the mayors who answer for both, in intermediate cities of the semi-arid Majority World. Its premise is uncomfortable. International climate finance flows to the cities best equipped to compete for it, not to those most exposed (Clifton et al., 2025); for most intermediate cities, waiting for a national programme or a multilateral cheque is waiting indefinitely. The encouraging part is that those same cities are sitting on an under-used asset—the rise in land value their own zoning and infrastructure decisions create every year. This guide explains, step by step, how to capture that value, ring-fence it, and turn it into the matching funds and repayment capacity that unlock the larger external flows. It distils the companion research article into a sequenced playbook, illustrated with figures from Luján de Cuyo, Mendoza.</w:t>
      </w:r>
    </w:p>
    <w:p>
      <w:pPr>
        <w:spacing w:after="120" w:line="276" w:lineRule="auto"/>
      </w:pPr>
      <w:r>
        <w:t>One idea organises everything that follows: capture the land-use windfall, ring-fence it in a trust fund, and use it as the lever that attracts international climate finance. Each move is necessary; the sequence is what makes them work.</w:t>
      </w:r>
    </w:p>
    <w:p>
      <w:pPr>
        <w:pStyle w:val="Heading1"/>
      </w:pPr>
      <w:r>
        <w:t>Step 1 — See the windfall, and the damage, as one transaction</w:t>
      </w:r>
    </w:p>
    <w:p>
      <w:pPr>
        <w:spacing w:after="120" w:line="276" w:lineRule="auto"/>
      </w:pPr>
      <w:r>
        <w:t>In a water-stressed city, growth runs on a paradox. Converting an irrigated vineyard or orchard to housing multiplies its market value several-fold, yet the same act seals a permeable surface, removes an aquifer-recharge area, and swaps irrigation demand for higher-per-capita domestic use. The private gain and the collective adaptation cost are produced by one and the same decision—usually a rezoning your own council grants. The first job of a finance team is to stop treating these as separate files. The value increment is the natural base from which to fund the adaptation response, and taxing it is both efficient (it falls on an unearned gain) and fair (it falls on those who captured the gain). This is the logic of land value capture (LVC), and it is unusually well suited to semi-arid cities, where binding water limits make the link between development and adaptation impossible to ignore. It also pays a low-carbon dividend: the same compact, transit-oriented pattern the instruments reward cuts vehicle travel and energy use and spares agricultural and piedmont land, so the package serves the low-carbon agenda as much as the adaptation one.</w:t>
      </w:r>
    </w:p>
    <w:p>
      <w:pPr>
        <w:pStyle w:val="Heading1"/>
      </w:pPr>
      <w:r>
        <w:t>Step 2 — Choose instruments as a package, not a pilot</w:t>
      </w:r>
    </w:p>
    <w:p>
      <w:pPr>
        <w:spacing w:after="120" w:line="276" w:lineRule="auto"/>
      </w:pPr>
      <w:r>
        <w:t>No single instrument is robust enough on its own; each catches the increment at a different point in the development cycle, and each has a different administrative cost. Adopt them as a coordinated package, but phase them by difficulty (Step 3). Table 1 is the working menu.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Instrument</w:t>
            </w:r>
          </w:p>
        </w:tc>
        <w:tc>
          <w:tcPr>
            <w:tcW w:type="dxa" w:w="1728"/>
          </w:tcPr>
          <w:p>
            <w:r/>
            <w:r>
              <w:rPr>
                <w:b/>
                <w:sz w:val="18"/>
              </w:rPr>
              <w:t>What it captures</w:t>
            </w:r>
          </w:p>
        </w:tc>
        <w:tc>
          <w:tcPr>
            <w:tcW w:type="dxa" w:w="1728"/>
          </w:tcPr>
          <w:p>
            <w:r/>
            <w:r>
              <w:rPr>
                <w:b/>
                <w:sz w:val="18"/>
              </w:rPr>
              <w:t>Typical capture rate</w:t>
            </w:r>
          </w:p>
        </w:tc>
        <w:tc>
          <w:tcPr>
            <w:tcW w:type="dxa" w:w="1728"/>
          </w:tcPr>
          <w:p>
            <w:r/>
            <w:r>
              <w:rPr>
                <w:b/>
                <w:sz w:val="18"/>
              </w:rPr>
              <w:t>Admin difficulty</w:t>
            </w:r>
          </w:p>
        </w:tc>
        <w:tc>
          <w:tcPr>
            <w:tcW w:type="dxa" w:w="1728"/>
          </w:tcPr>
          <w:p>
            <w:r/>
            <w:r>
              <w:rPr>
                <w:b/>
                <w:sz w:val="18"/>
              </w:rPr>
              <w:t>Phase</w:t>
            </w:r>
          </w:p>
        </w:tc>
      </w:tr>
      <w:tr>
        <w:tc>
          <w:tcPr>
            <w:tcW w:type="dxa" w:w="1728"/>
          </w:tcPr>
          <w:p>
            <w:r/>
            <w:r>
              <w:rPr>
                <w:sz w:val="18"/>
              </w:rPr>
              <w:t>Vacant-land surcharge</w:t>
            </w:r>
          </w:p>
        </w:tc>
        <w:tc>
          <w:tcPr>
            <w:tcW w:type="dxa" w:w="1728"/>
          </w:tcPr>
          <w:p>
            <w:r/>
            <w:r>
              <w:rPr>
                <w:sz w:val="18"/>
              </w:rPr>
              <w:t>Idle serviced parcels</w:t>
            </w:r>
          </w:p>
        </w:tc>
        <w:tc>
          <w:tcPr>
            <w:tcW w:type="dxa" w:w="1728"/>
          </w:tcPr>
          <w:p>
            <w:r/>
            <w:r>
              <w:rPr>
                <w:sz w:val="18"/>
              </w:rPr>
              <w:t>Progressive surcharge on the property tax</w:t>
            </w:r>
          </w:p>
        </w:tc>
        <w:tc>
          <w:tcPr>
            <w:tcW w:type="dxa" w:w="1728"/>
          </w:tcPr>
          <w:p>
            <w:r/>
            <w:r>
              <w:rPr>
                <w:sz w:val="18"/>
              </w:rPr>
              <w:t>Low — uses the existing tax roll</w:t>
            </w:r>
          </w:p>
        </w:tc>
        <w:tc>
          <w:tcPr>
            <w:tcW w:type="dxa" w:w="1728"/>
          </w:tcPr>
          <w:p>
            <w:r/>
            <w:r>
              <w:rPr>
                <w:sz w:val="18"/>
              </w:rPr>
              <w:t>1</w:t>
            </w:r>
          </w:p>
        </w:tc>
      </w:tr>
      <w:tr>
        <w:tc>
          <w:tcPr>
            <w:tcW w:type="dxa" w:w="1728"/>
          </w:tcPr>
          <w:p>
            <w:r/>
            <w:r>
              <w:rPr>
                <w:sz w:val="18"/>
              </w:rPr>
              <w:t>Water/sewer or service-capacity charge</w:t>
            </w:r>
          </w:p>
        </w:tc>
        <w:tc>
          <w:tcPr>
            <w:tcW w:type="dxa" w:w="1728"/>
          </w:tcPr>
          <w:p>
            <w:r/>
            <w:r>
              <w:rPr>
                <w:sz w:val="18"/>
              </w:rPr>
              <w:t>New demand on networks</w:t>
            </w:r>
          </w:p>
        </w:tc>
        <w:tc>
          <w:tcPr>
            <w:tcW w:type="dxa" w:w="1728"/>
          </w:tcPr>
          <w:p>
            <w:r/>
            <w:r>
              <w:rPr>
                <w:sz w:val="18"/>
              </w:rPr>
              <w:t>Tariff fixed in the annual schedule</w:t>
            </w:r>
          </w:p>
        </w:tc>
        <w:tc>
          <w:tcPr>
            <w:tcW w:type="dxa" w:w="1728"/>
          </w:tcPr>
          <w:p>
            <w:r/>
            <w:r>
              <w:rPr>
                <w:sz w:val="18"/>
              </w:rPr>
              <w:t>Low — billed before service hookup</w:t>
            </w:r>
          </w:p>
        </w:tc>
        <w:tc>
          <w:tcPr>
            <w:tcW w:type="dxa" w:w="1728"/>
          </w:tcPr>
          <w:p>
            <w:r/>
            <w:r>
              <w:rPr>
                <w:sz w:val="18"/>
              </w:rPr>
              <w:t>1</w:t>
            </w:r>
          </w:p>
        </w:tc>
      </w:tr>
      <w:tr>
        <w:tc>
          <w:tcPr>
            <w:tcW w:type="dxa" w:w="1728"/>
          </w:tcPr>
          <w:p>
            <w:r/>
            <w:r>
              <w:rPr>
                <w:sz w:val="18"/>
              </w:rPr>
              <w:t>Betterment contribution</w:t>
            </w:r>
          </w:p>
        </w:tc>
        <w:tc>
          <w:tcPr>
            <w:tcW w:type="dxa" w:w="1728"/>
          </w:tcPr>
          <w:p>
            <w:r/>
            <w:r>
              <w:rPr>
                <w:sz w:val="18"/>
              </w:rPr>
              <w:t>Uplift from a public work</w:t>
            </w:r>
          </w:p>
        </w:tc>
        <w:tc>
          <w:tcPr>
            <w:tcW w:type="dxa" w:w="1728"/>
          </w:tcPr>
          <w:p>
            <w:r/>
            <w:r>
              <w:rPr>
                <w:sz w:val="18"/>
              </w:rPr>
              <w:t>30–50% of assessed uplift in a benefit zone</w:t>
            </w:r>
          </w:p>
        </w:tc>
        <w:tc>
          <w:tcPr>
            <w:tcW w:type="dxa" w:w="1728"/>
          </w:tcPr>
          <w:p>
            <w:r/>
            <w:r>
              <w:rPr>
                <w:sz w:val="18"/>
              </w:rPr>
              <w:t>Medium — needs GIS benefit zones</w:t>
            </w:r>
          </w:p>
        </w:tc>
        <w:tc>
          <w:tcPr>
            <w:tcW w:type="dxa" w:w="1728"/>
          </w:tcPr>
          <w:p>
            <w:r/>
            <w:r>
              <w:rPr>
                <w:sz w:val="18"/>
              </w:rPr>
              <w:t>2</w:t>
            </w:r>
          </w:p>
        </w:tc>
      </w:tr>
      <w:tr>
        <w:tc>
          <w:tcPr>
            <w:tcW w:type="dxa" w:w="1728"/>
          </w:tcPr>
          <w:p>
            <w:r/>
            <w:r>
              <w:rPr>
                <w:sz w:val="18"/>
              </w:rPr>
              <w:t>Rezoning-gain capture</w:t>
            </w:r>
          </w:p>
        </w:tc>
        <w:tc>
          <w:tcPr>
            <w:tcW w:type="dxa" w:w="1728"/>
          </w:tcPr>
          <w:p>
            <w:r/>
            <w:r>
              <w:rPr>
                <w:sz w:val="18"/>
              </w:rPr>
              <w:t>Uplift from a change of use/intensity</w:t>
            </w:r>
          </w:p>
        </w:tc>
        <w:tc>
          <w:tcPr>
            <w:tcW w:type="dxa" w:w="1728"/>
          </w:tcPr>
          <w:p>
            <w:r/>
            <w:r>
              <w:rPr>
                <w:sz w:val="18"/>
              </w:rPr>
              <w:t>30–50% of the before/after differential</w:t>
            </w:r>
          </w:p>
        </w:tc>
        <w:tc>
          <w:tcPr>
            <w:tcW w:type="dxa" w:w="1728"/>
          </w:tcPr>
          <w:p>
            <w:r/>
            <w:r>
              <w:rPr>
                <w:sz w:val="18"/>
              </w:rPr>
              <w:t>Medium–high — needs before/after valuation</w:t>
            </w:r>
          </w:p>
        </w:tc>
        <w:tc>
          <w:tcPr>
            <w:tcW w:type="dxa" w:w="1728"/>
          </w:tcPr>
          <w:p>
            <w:r/>
            <w:r>
              <w:rPr>
                <w:sz w:val="18"/>
              </w:rPr>
              <w:t>2</w:t>
            </w:r>
          </w:p>
        </w:tc>
      </w:tr>
      <w:tr>
        <w:tc>
          <w:tcPr>
            <w:tcW w:type="dxa" w:w="1728"/>
          </w:tcPr>
          <w:p>
            <w:r/>
            <w:r>
              <w:rPr>
                <w:sz w:val="18"/>
              </w:rPr>
              <w:t>Development-rights sale (Suelo Creado)</w:t>
            </w:r>
          </w:p>
        </w:tc>
        <w:tc>
          <w:tcPr>
            <w:tcW w:type="dxa" w:w="1728"/>
          </w:tcPr>
          <w:p>
            <w:r/>
            <w:r>
              <w:rPr>
                <w:sz w:val="18"/>
              </w:rPr>
              <w:t>Building above a base floor-area line</w:t>
            </w:r>
          </w:p>
        </w:tc>
        <w:tc>
          <w:tcPr>
            <w:tcW w:type="dxa" w:w="1728"/>
          </w:tcPr>
          <w:p>
            <w:r/>
            <w:r>
              <w:rPr>
                <w:sz w:val="18"/>
              </w:rPr>
              <w:t>Priced per m² against reference land value</w:t>
            </w:r>
          </w:p>
        </w:tc>
        <w:tc>
          <w:tcPr>
            <w:tcW w:type="dxa" w:w="1728"/>
          </w:tcPr>
          <w:p>
            <w:r/>
            <w:r>
              <w:rPr>
                <w:sz w:val="18"/>
              </w:rPr>
              <w:t>Medium–high — needs a buildability code</w:t>
            </w:r>
          </w:p>
        </w:tc>
        <w:tc>
          <w:tcPr>
            <w:tcW w:type="dxa" w:w="1728"/>
          </w:tcPr>
          <w:p>
            <w:r/>
            <w:r>
              <w:rPr>
                <w:sz w:val="18"/>
              </w:rPr>
              <w:t>3</w:t>
            </w:r>
          </w:p>
        </w:tc>
      </w:tr>
      <w:tr>
        <w:tc>
          <w:tcPr>
            <w:tcW w:type="dxa" w:w="1728"/>
          </w:tcPr>
          <w:p>
            <w:r/>
            <w:r>
              <w:rPr>
                <w:sz w:val="18"/>
              </w:rPr>
              <w:t>Transferable development rights</w:t>
            </w:r>
          </w:p>
        </w:tc>
        <w:tc>
          <w:tcPr>
            <w:tcW w:type="dxa" w:w="1728"/>
          </w:tcPr>
          <w:p>
            <w:r/>
            <w:r>
              <w:rPr>
                <w:sz w:val="18"/>
              </w:rPr>
              <w:t>Protection of recharge/farm land</w:t>
            </w:r>
          </w:p>
        </w:tc>
        <w:tc>
          <w:tcPr>
            <w:tcW w:type="dxa" w:w="1728"/>
          </w:tcPr>
          <w:p>
            <w:r/>
            <w:r>
              <w:rPr>
                <w:sz w:val="18"/>
              </w:rPr>
              <w:t>Market-determined</w:t>
            </w:r>
          </w:p>
        </w:tc>
        <w:tc>
          <w:tcPr>
            <w:tcW w:type="dxa" w:w="1728"/>
          </w:tcPr>
          <w:p>
            <w:r/>
            <w:r>
              <w:rPr>
                <w:sz w:val="18"/>
              </w:rPr>
              <w:t>High — needs a sending/receiving market</w:t>
            </w:r>
          </w:p>
        </w:tc>
        <w:tc>
          <w:tcPr>
            <w:tcW w:type="dxa" w:w="1728"/>
          </w:tcPr>
          <w:p>
            <w:r/>
            <w:r>
              <w:rPr>
                <w:sz w:val="18"/>
              </w:rPr>
              <w:t>3</w:t>
            </w:r>
          </w:p>
        </w:tc>
      </w:tr>
    </w:tbl>
    <w:p>
      <w:pPr>
        <w:spacing w:after="200"/>
      </w:pPr>
      <w:r>
        <w:rPr>
          <w:i/>
          <w:sz w:val="18"/>
        </w:rPr>
        <w:t>Table 1: The instrument menu, ordered by administrative difficulty. Tax incentives for water-efficient design sit alongside the package as a discount, creating a gradient: conversion without adaptation features pays the full charge; adaptation-aligned projects earn relief.</w:t>
      </w:r>
    </w:p>
    <w:p>
      <w:pPr>
        <w:spacing w:after="120" w:line="276" w:lineRule="auto"/>
      </w:pPr>
      <w:r>
        <w:t>Two design rules matter more than the exact rates. First, index every base to inflation; in volatile economies an un-indexed charge silently erodes to nothing within a year or two. Second, earmark every peso to the trust fund (Step 4) by ordinance, at the moment the instrument is created—not later, when the general budget has learned to depend on it.</w:t>
      </w:r>
    </w:p>
    <w:p>
      <w:pPr>
        <w:pStyle w:val="Heading1"/>
      </w:pPr>
      <w:r>
        <w:t>Step 3 — Sequence by capacity: start where you already have the data</w:t>
      </w:r>
    </w:p>
    <w:p>
      <w:pPr>
        <w:spacing w:after="120" w:line="276" w:lineRule="auto"/>
      </w:pPr>
      <w:r>
        <w:t>The fastest way to lose credibility is to legislate the whole suite at once and deliver none of it. Begin with the two instruments you can administer tomorrow, because they ride on systems you already run.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Phase</w:t>
            </w:r>
          </w:p>
        </w:tc>
        <w:tc>
          <w:tcPr>
            <w:tcW w:type="dxa" w:w="2160"/>
          </w:tcPr>
          <w:p>
            <w:r/>
            <w:r>
              <w:rPr>
                <w:b/>
                <w:sz w:val="18"/>
              </w:rPr>
              <w:t>Horizon</w:t>
            </w:r>
          </w:p>
        </w:tc>
        <w:tc>
          <w:tcPr>
            <w:tcW w:type="dxa" w:w="2160"/>
          </w:tcPr>
          <w:p>
            <w:r/>
            <w:r>
              <w:rPr>
                <w:b/>
                <w:sz w:val="18"/>
              </w:rPr>
              <w:t>Instruments to enact</w:t>
            </w:r>
          </w:p>
        </w:tc>
        <w:tc>
          <w:tcPr>
            <w:tcW w:type="dxa" w:w="2160"/>
          </w:tcPr>
          <w:p>
            <w:r/>
            <w:r>
              <w:rPr>
                <w:b/>
                <w:sz w:val="18"/>
              </w:rPr>
              <w:t>What it proves</w:t>
            </w:r>
          </w:p>
        </w:tc>
      </w:tr>
      <w:tr>
        <w:tc>
          <w:tcPr>
            <w:tcW w:type="dxa" w:w="2160"/>
          </w:tcPr>
          <w:p>
            <w:r/>
            <w:r>
              <w:rPr>
                <w:sz w:val="18"/>
              </w:rPr>
              <w:t>Phase 1</w:t>
            </w:r>
          </w:p>
        </w:tc>
        <w:tc>
          <w:tcPr>
            <w:tcW w:type="dxa" w:w="2160"/>
          </w:tcPr>
          <w:p>
            <w:r/>
            <w:r>
              <w:rPr>
                <w:sz w:val="18"/>
              </w:rPr>
              <w:t>Year 0–1</w:t>
            </w:r>
          </w:p>
        </w:tc>
        <w:tc>
          <w:tcPr>
            <w:tcW w:type="dxa" w:w="2160"/>
          </w:tcPr>
          <w:p>
            <w:r/>
            <w:r>
              <w:rPr>
                <w:sz w:val="18"/>
              </w:rPr>
              <w:t>Vacant-land surcharge; service-capacity (water/sewer) charge</w:t>
            </w:r>
          </w:p>
        </w:tc>
        <w:tc>
          <w:tcPr>
            <w:tcW w:type="dxa" w:w="2160"/>
          </w:tcPr>
          <w:p>
            <w:r/>
            <w:r>
              <w:rPr>
                <w:sz w:val="18"/>
              </w:rPr>
              <w:t>That own-source, land-linked revenue can scale fast</w:t>
            </w:r>
          </w:p>
        </w:tc>
      </w:tr>
      <w:tr>
        <w:tc>
          <w:tcPr>
            <w:tcW w:type="dxa" w:w="2160"/>
          </w:tcPr>
          <w:p>
            <w:r/>
            <w:r>
              <w:rPr>
                <w:sz w:val="18"/>
              </w:rPr>
              <w:t>Phase 2</w:t>
            </w:r>
          </w:p>
        </w:tc>
        <w:tc>
          <w:tcPr>
            <w:tcW w:type="dxa" w:w="2160"/>
          </w:tcPr>
          <w:p>
            <w:r/>
            <w:r>
              <w:rPr>
                <w:sz w:val="18"/>
              </w:rPr>
              <w:t>Year 1–3</w:t>
            </w:r>
          </w:p>
        </w:tc>
        <w:tc>
          <w:tcPr>
            <w:tcW w:type="dxa" w:w="2160"/>
          </w:tcPr>
          <w:p>
            <w:r/>
            <w:r>
              <w:rPr>
                <w:sz w:val="18"/>
              </w:rPr>
              <w:t>Betterment contributions; rezoning-gain capture</w:t>
            </w:r>
          </w:p>
        </w:tc>
        <w:tc>
          <w:tcPr>
            <w:tcW w:type="dxa" w:w="2160"/>
          </w:tcPr>
          <w:p>
            <w:r/>
            <w:r>
              <w:rPr>
                <w:sz w:val="18"/>
              </w:rPr>
              <w:t>That the city can value uplift and recover works costs</w:t>
            </w:r>
          </w:p>
        </w:tc>
      </w:tr>
      <w:tr>
        <w:tc>
          <w:tcPr>
            <w:tcW w:type="dxa" w:w="2160"/>
          </w:tcPr>
          <w:p>
            <w:r/>
            <w:r>
              <w:rPr>
                <w:sz w:val="18"/>
              </w:rPr>
              <w:t>Phase 3</w:t>
            </w:r>
          </w:p>
        </w:tc>
        <w:tc>
          <w:tcPr>
            <w:tcW w:type="dxa" w:w="2160"/>
          </w:tcPr>
          <w:p>
            <w:r/>
            <w:r>
              <w:rPr>
                <w:sz w:val="18"/>
              </w:rPr>
              <w:t>Year 2–5</w:t>
            </w:r>
          </w:p>
        </w:tc>
        <w:tc>
          <w:tcPr>
            <w:tcW w:type="dxa" w:w="2160"/>
          </w:tcPr>
          <w:p>
            <w:r/>
            <w:r>
              <w:rPr>
                <w:sz w:val="18"/>
              </w:rPr>
              <w:t>Development-rights sales; transferable rights; tax incentives</w:t>
            </w:r>
          </w:p>
        </w:tc>
        <w:tc>
          <w:tcPr>
            <w:tcW w:type="dxa" w:w="2160"/>
          </w:tcPr>
          <w:p>
            <w:r/>
            <w:r>
              <w:rPr>
                <w:sz w:val="18"/>
              </w:rPr>
              <w:t>That density and conservation can be priced and steered</w:t>
            </w:r>
          </w:p>
        </w:tc>
      </w:tr>
    </w:tbl>
    <w:p>
      <w:pPr>
        <w:spacing w:after="200"/>
      </w:pPr>
      <w:r>
        <w:rPr>
          <w:i/>
          <w:sz w:val="18"/>
        </w:rPr>
        <w:t>Table 2: A modular, three-phase adoption roadmap. Each phase produces a demonstrable result that strengthens the case—political and financial—for the next.</w:t>
      </w:r>
    </w:p>
    <w:p>
      <w:pPr>
        <w:spacing w:after="120" w:line="276" w:lineRule="auto"/>
      </w:pPr>
      <w:r>
        <w:t>In Luján de Cuyo the Phase-1 instruments are not theoretical. The water-and-sewer charge’s real collections rose roughly elevenfold between 2021 and 2025, and the vacant-land surcharge now reaches 5,315 idle parcels. A city that can show two operational, growing, audited revenue lines is in a completely different conversation with a lender than one holding a draft ordinance.</w:t>
      </w:r>
    </w:p>
    <w:p>
      <w:pPr>
        <w:pStyle w:val="Heading1"/>
      </w:pPr>
      <w:r>
        <w:t>Step 4 — Build the trust fund as a leverage vehicle from day one</w:t>
      </w:r>
    </w:p>
    <w:p>
      <w:pPr>
        <w:spacing w:after="120" w:line="276" w:lineRule="auto"/>
      </w:pPr>
      <w:r>
        <w:t>The single most important decision is to route every instrument’s proceeds through a dedicated trust fund (fideicomiso), legally distinct from the general budget. This is not bureaucratic tidiness; it is what makes the revenue bankable. A ring-fenced, audited pool is the collateral a development bank or bond investor can actually see, and the legal separation protects it from being spent on payroll in a hard year—which is precisely the assurance that lowers the risk premium.</w:t>
      </w:r>
    </w:p>
    <w:p>
      <w:pPr>
        <w:spacing w:after="120" w:line="276" w:lineRule="auto"/>
      </w:pPr>
      <w:r>
        <w:t>Design the fund with three sub-accounts from the outset:</w:t>
      </w:r>
    </w:p>
    <w:p>
      <w:pPr>
        <w:pStyle w:val="ListBullet"/>
        <w:spacing w:after="40"/>
      </w:pPr>
      <w:r>
        <w:t>Infrastructure Investment Account (≈60% of net revenue) — capital works: water efficiency, aquifer recharge, stormwater, green infrastructure.</w:t>
      </w:r>
    </w:p>
    <w:p>
      <w:pPr>
        <w:pStyle w:val="ListBullet"/>
        <w:spacing w:after="40"/>
      </w:pPr>
      <w:r>
        <w:t>Maintenance and Operations Account (≈25%) — the recurring cost of keeping that infrastructure working, the line that grant-funded projects most often forget.</w:t>
      </w:r>
    </w:p>
    <w:p>
      <w:pPr>
        <w:pStyle w:val="ListBullet"/>
        <w:spacing w:after="40"/>
      </w:pPr>
      <w:r>
        <w:t>Leverage Account (≈15%) — a dedicated reserve earmarked as the counterpart (matching) funds that international facilities require. This account is the bridge to external capital; do not let it be raided for operations.</w:t>
      </w:r>
    </w:p>
    <w:p>
      <w:pPr>
        <w:spacing w:after="120" w:line="276" w:lineRule="auto"/>
      </w:pPr>
      <w:r>
        <w:t>Governance is part of the collateral. Pair the executive (mayor, planning director, comptroller) with two external trustees—one from the productive/agricultural sector, one with environmental-finance expertise—require a qualified majority for disbursement, and publish independent annual audits and quarterly statements. Transparency is what a financier underwrites.</w:t>
      </w:r>
    </w:p>
    <w:p>
      <w:pPr>
        <w:pStyle w:val="Heading1"/>
      </w:pPr>
      <w:r>
        <w:t>Step 5 — Allocate by need, and prove it</w:t>
      </w:r>
    </w:p>
    <w:p>
      <w:pPr>
        <w:spacing w:after="120" w:line="276" w:lineRule="auto"/>
      </w:pPr>
      <w:r>
        <w:t>A fund that simply spent each instrument’s proceeds where they arose would be regressive: value is captured where land is most valuable—the consolidated, well-served districts—while the deepest deficits sit at the lower-income periphery. Break that link deliberately. Bind disbursement to a transparent, indicator-based priority index that scores every district against desired values for green space, water and basic infrastructure, mobility, services, compactness, and equity, and that ranks where investment is most needed.</w:t>
      </w:r>
    </w:p>
    <w:p>
      <w:pPr>
        <w:spacing w:after="120" w:line="276" w:lineRule="auto"/>
      </w:pPr>
      <w:r>
        <w:t>Keep the index honest and usable: a five-level sufficiency scale (from “outstanding” to “very insufficient”), recomputed annually, with the rule that a lower score means a higher priority. The index does double duty. It answers the financier’s demand for evidence-based prioritisation, and it is your defence—political and ethical—against the charge that climate finance entrenches inequality. Make incidence explicit in every proposal: state who pays (the owners capturing the windfall) and who benefits (the districts with the least). In Luján de Cuyo the first computed dimension already shows the discipline at work: the highest-need green-space districts are not the wealthy centre, and the city’s largest discretionary green line—a department-wide microplazas programme—should be steered to them.</w:t>
      </w:r>
    </w:p>
    <w:p>
      <w:pPr>
        <w:pStyle w:val="Heading1"/>
      </w:pPr>
      <w:r>
        <w:t>Step 6 — Climb the leverage ladder</w:t>
      </w:r>
    </w:p>
    <w:p>
      <w:pPr>
        <w:spacing w:after="120" w:line="276" w:lineRule="auto"/>
      </w:pPr>
      <w:r>
        <w:t>Own-source revenue is not the destination; it is the entry ticket. Use the fund to climb three rungs, in order:</w:t>
      </w:r>
    </w:p>
    <w:p>
      <w:pPr>
        <w:pStyle w:val="ListNumber"/>
        <w:spacing w:after="40"/>
      </w:pPr>
      <w:r>
        <w:t>Match grants. Let the Leverage Account accumulate for two to three years, then use it as the 10–30% counterpart that bilateral and multilateral grants require. The match is the binding constraint for most intermediate cities; clearing it turns unreachable grants into reachable ones, including streamlined windows such as the Green Climate Fund’s Simplified Approval Process.</w:t>
      </w:r>
    </w:p>
    <w:p>
      <w:pPr>
        <w:pStyle w:val="ListNumber"/>
        <w:spacing w:after="40"/>
      </w:pPr>
      <w:r>
        <w:t>Issue against the stream. Pledge the predictable, segregated revenue as the repayment source for a green or sustainability-linked bond, or a concessional loan. A demonstrated cash flow—like an eleven-fold revenue rise—lets a debt-service-coverage ratio be computed and a bond rated. A prudent first issuance is three to four times annual fund revenue.</w:t>
      </w:r>
    </w:p>
    <w:p>
      <w:pPr>
        <w:pStyle w:val="ListNumber"/>
        <w:spacing w:after="40"/>
      </w:pPr>
      <w:r>
        <w:t>Build a record, then scale. Each delivered, audited project raises creditworthiness for the next, larger facility (CAF, IDB, World Bank, GCF). Credibility, like capital, compounds; plan the first projects to be small, visible, and certain to succeed.</w:t>
      </w:r>
    </w:p>
    <w:p>
      <w:pPr>
        <w:spacing w:after="120" w:line="276" w:lineRule="auto"/>
      </w:pPr>
      <w:r>
        <w:t>Sizing it in one city: at a baseline of roughly USD 3 million a year, the Leverage Account adds on the order of USD 0.45 million annually—enough to anchor counterpart funding within a few years—and supports a first green-bond issuance on the order of USD 9–12 million, scaling as the package matures. Against an illustrative green-space deficit near USD 56 million, that is the difference between funding 5 percent a year out of cash flow and financing a large tranche at once.</w:t>
      </w:r>
    </w:p>
    <w:p>
      <w:pPr>
        <w:pStyle w:val="Heading1"/>
      </w:pPr>
      <w:r>
        <w:t>Step 7 — Win the politics</w:t>
      </w:r>
    </w:p>
    <w:p>
      <w:pPr>
        <w:spacing w:after="120" w:line="276" w:lineRule="auto"/>
      </w:pPr>
      <w:r>
        <w:t>LVC moves wealth from landowners to the community, and it will be resisted. Three moves blunt the resistance.</w:t>
      </w:r>
    </w:p>
    <w:p>
      <w:pPr>
        <w:pStyle w:val="ListBullet"/>
        <w:spacing w:after="40"/>
      </w:pPr>
      <w:r>
        <w:t>Frame it as climate-adaptation finance, not taxation. Residents accept a charge whose proceeds visibly become a recharged aquifer, a plaza, or a flood-drainage upgrade in their own district far more readily than a new tax.</w:t>
      </w:r>
    </w:p>
    <w:p>
      <w:pPr>
        <w:pStyle w:val="ListBullet"/>
        <w:spacing w:after="40"/>
      </w:pPr>
      <w:r>
        <w:t>Let earmarking and transparency do the persuading. The trust fund’s published accounts and the index’s district rankings make the bargain legible: this charge, that benefit, there.</w:t>
      </w:r>
    </w:p>
    <w:p>
      <w:pPr>
        <w:pStyle w:val="ListBullet"/>
        <w:spacing w:after="40"/>
      </w:pPr>
      <w:r>
        <w:t>Use the gradient. Pair the charges with incentives for water-efficient, permeable, tree-retaining development, so owners face a choice—pay the full charge, or build to adaptation standards and earn relief—rather than a flat levy.</w:t>
      </w:r>
    </w:p>
    <w:p>
      <w:pPr>
        <w:spacing w:after="120" w:line="276" w:lineRule="auto"/>
      </w:pPr>
      <w:r>
        <w:t>Sequencing (Step 3) is itself a political tool: a Phase-1 win banked before the harder instruments reach the council changes what the council believes is possible.</w:t>
      </w:r>
    </w:p>
    <w:p>
      <w:pPr>
        <w:pStyle w:val="Heading1"/>
      </w:pPr>
      <w:r>
        <w:t>Step 8 — Assemble the (modest) data you actually need</w:t>
      </w:r>
    </w:p>
    <w:p>
      <w:pPr>
        <w:spacing w:after="120" w:line="276" w:lineRule="auto"/>
      </w:pPr>
      <w:r>
        <w:t>None of this requires a world-class statistical office. It requires a small, well-kept set of layers, most of which a mid-sized municipality already holds or can build affordably:</w:t>
      </w:r>
    </w:p>
    <w:p>
      <w:pPr>
        <w:pStyle w:val="ListBullet"/>
        <w:spacing w:after="40"/>
      </w:pPr>
      <w:r>
        <w:t>A GIS-based valuation system: land-value, built-value, and fiscal-assessment maps, refreshed with periodic market surveys.</w:t>
      </w:r>
    </w:p>
    <w:p>
      <w:pPr>
        <w:pStyle w:val="ListBullet"/>
        <w:spacing w:after="40"/>
      </w:pPr>
      <w:r>
        <w:t>The tax roll (padrón): enough to identify idle parcels and bill the surcharge.</w:t>
      </w:r>
    </w:p>
    <w:p>
      <w:pPr>
        <w:pStyle w:val="ListBullet"/>
        <w:spacing w:after="40"/>
      </w:pPr>
      <w:r>
        <w:t>An itemised public-works programme with budgets: the base for the betterment levy and a ready-made adaptation-relevance screen.</w:t>
      </w:r>
    </w:p>
    <w:p>
      <w:pPr>
        <w:pStyle w:val="ListBullet"/>
        <w:spacing w:after="40"/>
      </w:pPr>
      <w:r>
        <w:t>A buildability code with a base and a maximum floor-area line: the base for development-rights sales.</w:t>
      </w:r>
    </w:p>
    <w:p>
      <w:pPr>
        <w:pStyle w:val="ListBullet"/>
        <w:spacing w:after="40"/>
      </w:pPr>
      <w:r>
        <w:t>District-level indicators for the priority index, computed dimension by dimension as data allow—start with the one that matters most locally (here, green space and water).</w:t>
      </w:r>
    </w:p>
    <w:p>
      <w:pPr>
        <w:spacing w:after="120" w:line="276" w:lineRule="auto"/>
      </w:pPr>
      <w:r>
        <w:t>The lesson from Luján de Cuyo is that you can begin before the dataset is complete. Two instruments are already collecting revenue while several index dimensions are still being assembled; partial data is not an excuse to wait.</w:t>
      </w:r>
    </w:p>
    <w:p>
      <w:pPr>
        <w:pStyle w:val="Heading1"/>
      </w:pPr>
      <w:r>
        <w:t>A readiness checklist</w:t>
      </w:r>
    </w:p>
    <w:p>
      <w:pPr>
        <w:spacing w:after="120" w:line="276" w:lineRule="auto"/>
      </w:pPr>
      <w:r>
        <w:t>Before approaching a financier, a city should be able to answer “yes” to most of the following:</w:t>
      </w:r>
    </w:p>
    <w:p>
      <w:pPr>
        <w:pStyle w:val="ListBullet"/>
        <w:spacing w:after="40"/>
      </w:pPr>
      <w:r>
        <w:t>Do we have legal authority over zoning, local charges, and earmarking?</w:t>
      </w:r>
    </w:p>
    <w:p>
      <w:pPr>
        <w:pStyle w:val="ListBullet"/>
        <w:spacing w:after="40"/>
      </w:pPr>
      <w:r>
        <w:t>Is at least one land-based instrument enacted and collecting?</w:t>
      </w:r>
    </w:p>
    <w:p>
      <w:pPr>
        <w:pStyle w:val="ListBullet"/>
        <w:spacing w:after="40"/>
      </w:pPr>
      <w:r>
        <w:t>Are all instrument bases indexed to inflation?</w:t>
      </w:r>
    </w:p>
    <w:p>
      <w:pPr>
        <w:pStyle w:val="ListBullet"/>
        <w:spacing w:after="40"/>
      </w:pPr>
      <w:r>
        <w:t>Is there a trust fund, legally separate, with a Leverage Account and published audits?</w:t>
      </w:r>
    </w:p>
    <w:p>
      <w:pPr>
        <w:pStyle w:val="ListBullet"/>
        <w:spacing w:after="40"/>
      </w:pPr>
      <w:r>
        <w:t>Is disbursement bound to a transparent, district-level priority index?</w:t>
      </w:r>
    </w:p>
    <w:p>
      <w:pPr>
        <w:pStyle w:val="ListBullet"/>
        <w:spacing w:after="40"/>
      </w:pPr>
      <w:r>
        <w:t>Can we state the incidence of each instrument—who pays, who benefits?</w:t>
      </w:r>
    </w:p>
    <w:p>
      <w:pPr>
        <w:pStyle w:val="ListBullet"/>
        <w:spacing w:after="40"/>
      </w:pPr>
      <w:r>
        <w:t>Do we have a costed pipeline of small, deliverable, adaptation-relevant projects?</w:t>
      </w:r>
    </w:p>
    <w:p>
      <w:pPr>
        <w:pStyle w:val="ListBullet"/>
        <w:spacing w:after="40"/>
      </w:pPr>
      <w:r>
        <w:t>Have we computed a counterpart-funding capacity and an indicative bond size?</w:t>
      </w:r>
    </w:p>
    <w:p>
      <w:pPr>
        <w:spacing w:after="120" w:line="276" w:lineRule="auto"/>
      </w:pPr>
      <w:r>
        <w:t>A city that answers “yes” to the first five is ready to begin; a city that answers “yes” to all eight is ready to issue.</w:t>
      </w:r>
    </w:p>
    <w:p>
      <w:pPr>
        <w:pStyle w:val="Heading1"/>
      </w:pPr>
      <w:r>
        <w:t>Luján de Cuyo, by the numbers</w:t>
      </w:r>
    </w:p>
    <w:p>
      <w:pPr>
        <w:spacing w:after="40"/>
      </w:pPr>
      <w:r>
        <w:rPr>
          <w:b/>
          <w:sz w:val="20"/>
        </w:rPr>
        <w:t>A water-stressed intermediate city (≈175,000 residents; 46% growth, 2010–2022):</w:t>
      </w:r>
    </w:p>
    <w:p>
      <w:pPr>
        <w:spacing w:after="40"/>
        <w:ind w:left="360"/>
      </w:pPr>
      <w:r>
        <w:rPr>
          <w:sz w:val="20"/>
        </w:rPr>
        <w:t>• Operational today: a water/sewer charge up ~11× in real terms (USD 60,700 → 690,500, 2021–2025) and a vacant-land surcharge on 5,315 idle lots (≈USD 0.28 M/yr) — together ≈USD 1.0 M/yr, audited and bankable.</w:t>
      </w:r>
    </w:p>
    <w:p>
      <w:pPr>
        <w:spacing w:after="40"/>
        <w:ind w:left="360"/>
      </w:pPr>
      <w:r>
        <w:rPr>
          <w:sz w:val="20"/>
        </w:rPr>
        <w:t>• Designed (ex ante): betterment on a real ARS 6.85 B works programme, plus development-rights and rezoning-gain capture under a new buildability code (10 m base → 36 m maximum across 4,491 ha). Combined package potential: ≈USD 1.8–5.6 M/yr (central ≈USD 3 M), before leverage.</w:t>
      </w:r>
    </w:p>
    <w:p>
      <w:pPr>
        <w:spacing w:after="40"/>
        <w:ind w:left="360"/>
      </w:pPr>
      <w:r>
        <w:rPr>
          <w:sz w:val="20"/>
        </w:rPr>
        <w:t>• Architecture in place or in train: a land bank (BMTI) and earmarked Urban-Economy Fund (FEULDC, Ord. 15081/15093-2025), an administration trust (fideicomiso), and a six-dimension priority index.</w:t>
      </w:r>
    </w:p>
    <w:p>
      <w:pPr>
        <w:spacing w:after="40"/>
        <w:ind w:left="360"/>
      </w:pPr>
      <w:r>
        <w:rPr>
          <w:sz w:val="20"/>
        </w:rPr>
        <w:t>• Leverage: a Leverage Account ≈USD 0.45 M/yr and a first green bond on the order of USD 9–12 M against an illustrative USD 56 M green-space deficit.</w:t>
      </w:r>
    </w:p>
    <w:p>
      <w:pPr>
        <w:pStyle w:val="Heading1"/>
      </w:pPr>
      <w:r>
        <w:t>Ten transferable principles</w:t>
      </w:r>
    </w:p>
    <w:p>
      <w:pPr>
        <w:pStyle w:val="ListNumber"/>
        <w:spacing w:after="40"/>
      </w:pPr>
      <w:r>
        <w:t>Treat the development windfall and the adaptation cost as one transaction.</w:t>
      </w:r>
    </w:p>
    <w:p>
      <w:pPr>
        <w:pStyle w:val="ListNumber"/>
        <w:spacing w:after="40"/>
      </w:pPr>
      <w:r>
        <w:t>Adopt instruments as a coordinated package, not a single pilot.</w:t>
      </w:r>
    </w:p>
    <w:p>
      <w:pPr>
        <w:pStyle w:val="ListNumber"/>
        <w:spacing w:after="40"/>
      </w:pPr>
      <w:r>
        <w:t>Sequence by administrative capacity; start with the vacant-land surcharge and a service-capacity charge.</w:t>
      </w:r>
    </w:p>
    <w:p>
      <w:pPr>
        <w:pStyle w:val="ListNumber"/>
        <w:spacing w:after="40"/>
      </w:pPr>
      <w:r>
        <w:t>Index every base to inflation, by ordinance.</w:t>
      </w:r>
    </w:p>
    <w:p>
      <w:pPr>
        <w:pStyle w:val="ListNumber"/>
        <w:spacing w:after="40"/>
      </w:pPr>
      <w:r>
        <w:t>Ring-fence all proceeds in a trust fund the day each instrument is created.</w:t>
      </w:r>
    </w:p>
    <w:p>
      <w:pPr>
        <w:pStyle w:val="ListNumber"/>
        <w:spacing w:after="40"/>
      </w:pPr>
      <w:r>
        <w:t>Design the fund as a leverage vehicle, with a dedicated matching-funds account.</w:t>
      </w:r>
    </w:p>
    <w:p>
      <w:pPr>
        <w:pStyle w:val="ListNumber"/>
        <w:spacing w:after="40"/>
      </w:pPr>
      <w:r>
        <w:t>Bind disbursement to a transparent, district-level priority index.</w:t>
      </w:r>
    </w:p>
    <w:p>
      <w:pPr>
        <w:pStyle w:val="ListNumber"/>
        <w:spacing w:after="40"/>
      </w:pPr>
      <w:r>
        <w:t>Make incidence explicit—name who pays and who benefits.</w:t>
      </w:r>
    </w:p>
    <w:p>
      <w:pPr>
        <w:pStyle w:val="ListNumber"/>
        <w:spacing w:after="40"/>
      </w:pPr>
      <w:r>
        <w:t>Climb the leverage ladder in order: match, then issue, then scale.</w:t>
      </w:r>
    </w:p>
    <w:p>
      <w:pPr>
        <w:pStyle w:val="ListNumber"/>
        <w:spacing w:after="40"/>
      </w:pPr>
      <w:r>
        <w:t>Frame the whole effort as adaptation finance, and let transparency carry the politics.</w:t>
      </w:r>
    </w:p>
    <w:p>
      <w:pPr>
        <w:spacing w:after="120" w:line="276" w:lineRule="auto"/>
      </w:pPr>
      <w:r>
        <w:t>A just transition is measured not by the size of the cheque but by where it lands. For an intermediate city in the water-stressed Majority World, the land beneath it is rising in value every day. Capturing that increment, ring-fencing it, and spending it where the city most needs to adapt is the most direct route yet found to make the cheque land at home.</w:t>
      </w:r>
    </w:p>
    <w:p>
      <w:pPr>
        <w:pStyle w:val="Heading1"/>
      </w:pPr>
      <w:r>
        <w:t>Acknowledgments and further reading</w:t>
      </w:r>
    </w:p>
    <w:p>
      <w:pPr>
        <w:spacing w:after="120" w:line="276" w:lineRule="auto"/>
      </w:pPr>
      <w:r>
        <w:t>This guide accompanies the Original Research article “Financing Water-Resilient Cities through Multi-Instrument Land Value Capture: Evidence from Luján de Cuyo, Argentina,” where the methods, data, and estimates summarised here are set out in full. It forms part of a 12-month case study supported by the Lincoln Institute of Land Policy, with the Municipality of Luján de Cuyo and its Laboratorio de Políticas Públicas. Key references: Clifton et al. (2025) on the geography of climate finance; CCFLA (2024) and C40 Cities &amp; GCoM (2026) on urban adaptation finance and bankability; Dunning and Lord (2020) on coupling LVC with climate; Smolka (2013) and OECD &amp; Lincoln Institute (2022) on LVC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