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733FC" w14:textId="77777777" w:rsidR="006D06C7" w:rsidRPr="00826382" w:rsidRDefault="00000000">
      <w:pPr>
        <w:jc w:val="center"/>
        <w:rPr>
          <w:rFonts w:ascii="Calibri" w:hAnsi="Calibri" w:cs="Calibri"/>
        </w:rPr>
      </w:pPr>
      <w:r w:rsidRPr="00826382">
        <w:rPr>
          <w:rFonts w:ascii="Calibri" w:hAnsi="Calibri" w:cs="Calibri"/>
        </w:rPr>
        <w:t>Land-Based Financing for Climate Adaptation:</w:t>
      </w:r>
      <w:r w:rsidRPr="00826382">
        <w:rPr>
          <w:rFonts w:ascii="Calibri" w:hAnsi="Calibri" w:cs="Calibri"/>
        </w:rPr>
        <w:br/>
        <w:t>Revenue Streams for Bankable Urban Projects</w:t>
      </w:r>
    </w:p>
    <w:p w14:paraId="59222031" w14:textId="77777777" w:rsidR="006D06C7" w:rsidRPr="00826382" w:rsidRDefault="006D06C7">
      <w:pPr>
        <w:rPr>
          <w:rFonts w:ascii="Calibri" w:hAnsi="Calibri" w:cs="Calibri"/>
        </w:rPr>
      </w:pPr>
    </w:p>
    <w:p w14:paraId="0D39D145"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t>Abstract</w:t>
      </w:r>
    </w:p>
    <w:p w14:paraId="7E1DF2E5" w14:textId="77777777" w:rsidR="006D06C7" w:rsidRPr="00826382" w:rsidRDefault="00000000">
      <w:pPr>
        <w:rPr>
          <w:rFonts w:ascii="Calibri" w:hAnsi="Calibri" w:cs="Calibri"/>
        </w:rPr>
      </w:pPr>
      <w:r>
        <w:rPr>
          <w:b/>
        </w:rPr>
        <w:t xml:space="preserve">Background. </w:t>
      </w:r>
      <w:r>
        <w:t>Cities confront an adaptation finance gap of US$140-300 billion per year, yet most cannot access international climate finance because they lack bankable projects with predictable revenue. Land-based financing (LBF) is theoretically suited to this task: well-designed adaptation reduces climate risk and raises surrounding land values, an uplift partly recoverable through fiscal instruments. Evidence on the revenue these instruments actually generate remains scarce. This study asks how much revenue LBF generates for adaptation, and what makes an investment well-designed for it, that is, able to create capturable, bankable value.</w:t>
      </w:r>
    </w:p>
    <w:p w14:paraId="5DFC292F" w14:textId="77777777" w:rsidR="006D06C7" w:rsidRPr="00826382" w:rsidRDefault="00000000">
      <w:pPr>
        <w:rPr>
          <w:rFonts w:ascii="Calibri" w:hAnsi="Calibri" w:cs="Calibri"/>
        </w:rPr>
      </w:pPr>
      <w:r>
        <w:rPr>
          <w:b/>
        </w:rPr>
        <w:t xml:space="preserve">Methods. </w:t>
      </w:r>
      <w:r>
        <w:t>A comparative case study of five cities, Buenos Aires, Copenhagen, Miami-Dade County, Lagos, and Ho Chi Minh City, assessed against a five-criteria framework, drawing on policy, fiscal, and property-market evidence.</w:t>
      </w:r>
    </w:p>
    <w:p w14:paraId="2DC4E2CA" w14:textId="32ED3A76" w:rsidR="006D06C7" w:rsidRPr="00826382" w:rsidRDefault="00000000">
      <w:pPr>
        <w:rPr>
          <w:rFonts w:ascii="Calibri" w:hAnsi="Calibri" w:cs="Calibri"/>
        </w:rPr>
      </w:pPr>
      <w:r>
        <w:rPr>
          <w:b/>
        </w:rPr>
        <w:t xml:space="preserve">Results. </w:t>
      </w:r>
      <w:r>
        <w:t>Distinguishing realised revenue from estimated value created is essential. Miami-Dade raised over US$500 million through stormwater fees and Copenhagen funds most of a roughly €1.3 billion cloudburst programme through water tariffs, both realised; property tax recovers a share of the estimated €188 million those works created. Buenos Aires’s US$338 million programme is modelled to have created US$379 million in net land value. Lagos and Ho Chi Minh City remain constrained by weak cadastres and low compliance.</w:t>
      </w:r>
    </w:p>
    <w:p w14:paraId="753D3CBE" w14:textId="77777777" w:rsidR="006D06C7" w:rsidRPr="00826382" w:rsidRDefault="00000000">
      <w:pPr>
        <w:rPr>
          <w:rFonts w:ascii="Calibri" w:hAnsi="Calibri" w:cs="Calibri"/>
        </w:rPr>
      </w:pPr>
      <w:r>
        <w:rPr>
          <w:b/>
        </w:rPr>
        <w:t xml:space="preserve">Conclusions. </w:t>
      </w:r>
      <w:r>
        <w:t>Well-designed adaptation reduces risk, creates measurable value, sustains benefit-cost ratios above one, and is feasible and equitable by design. Institutional capacity, not instrument design, is the binding constraint, and predictable land-based revenue is the bridge to bond markets and multilateral finance, though several value figures are modelled rather than realised.</w:t>
      </w:r>
    </w:p>
    <w:p w14:paraId="49502B4D" w14:textId="77777777" w:rsidR="006D06C7" w:rsidRPr="00826382" w:rsidRDefault="00000000">
      <w:pPr>
        <w:rPr>
          <w:rFonts w:ascii="Calibri" w:hAnsi="Calibri" w:cs="Calibri"/>
        </w:rPr>
      </w:pPr>
      <w:r w:rsidRPr="00826382">
        <w:rPr>
          <w:rFonts w:ascii="Calibri" w:hAnsi="Calibri" w:cs="Calibri"/>
        </w:rPr>
        <w:t>Keywords: land-based financing; climate adaptation; land value capture; stormwater fees; property taxation; benefit-cost analysis; bankable projects; urban climate finance</w:t>
      </w:r>
    </w:p>
    <w:p w14:paraId="239A0091"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lastRenderedPageBreak/>
        <w:t>Summary for Policymakers</w:t>
      </w:r>
    </w:p>
    <w:p w14:paraId="66147B1D" w14:textId="77777777" w:rsidR="006D06C7" w:rsidRPr="00826382" w:rsidRDefault="00000000">
      <w:pPr>
        <w:pStyle w:val="ListBullet"/>
        <w:rPr>
          <w:rFonts w:ascii="Calibri" w:hAnsi="Calibri" w:cs="Calibri"/>
        </w:rPr>
      </w:pPr>
      <w:r>
        <w:rPr>
          <w:b/>
        </w:rPr>
        <w:t xml:space="preserve">Adaptation that reduces flood risk creates capturable value: </w:t>
      </w:r>
      <w:r>
        <w:t>Buenos Aires’s US$338 million programme is modelled to have created about US$379 million in land value (not yet captured), and Copenhagen’s blue-green works an estimated €188 million; Miami and Copenhagen also show realised fee and tariff revenue.</w:t>
      </w:r>
    </w:p>
    <w:p w14:paraId="3AC3E978" w14:textId="77777777" w:rsidR="006D06C7" w:rsidRPr="00826382" w:rsidRDefault="00000000">
      <w:pPr>
        <w:pStyle w:val="ListBullet"/>
        <w:rPr>
          <w:rFonts w:ascii="Calibri" w:hAnsi="Calibri" w:cs="Calibri"/>
        </w:rPr>
      </w:pPr>
      <w:r w:rsidRPr="00826382">
        <w:rPr>
          <w:rFonts w:ascii="Calibri" w:hAnsi="Calibri" w:cs="Calibri"/>
        </w:rPr>
        <w:t>Tariffs tied to a service are scalable and durable: Miami Beach raised over US$500 million through stormwater fees; Copenhagen funds most cloudburst hydraulics through water charges.</w:t>
      </w:r>
    </w:p>
    <w:p w14:paraId="08E06395" w14:textId="77777777" w:rsidR="006D06C7" w:rsidRPr="00826382" w:rsidRDefault="00000000">
      <w:pPr>
        <w:pStyle w:val="ListBullet"/>
        <w:rPr>
          <w:rFonts w:ascii="Calibri" w:hAnsi="Calibri" w:cs="Calibri"/>
        </w:rPr>
      </w:pPr>
      <w:r w:rsidRPr="00826382">
        <w:rPr>
          <w:rFonts w:ascii="Calibri" w:hAnsi="Calibri" w:cs="Calibri"/>
        </w:rPr>
        <w:t>Predictable land-based revenue is the bridge to climate finance: a ring-fenced, indexed stream makes a project bankable, able to anchor a green bond or unlock concessional finance from the GCF, IDB, CAF, or World Bank.</w:t>
      </w:r>
    </w:p>
    <w:p w14:paraId="23590D71" w14:textId="77777777" w:rsidR="006D06C7" w:rsidRPr="00826382" w:rsidRDefault="00000000">
      <w:pPr>
        <w:pStyle w:val="ListBullet"/>
        <w:rPr>
          <w:rFonts w:ascii="Calibri" w:hAnsi="Calibri" w:cs="Calibri"/>
        </w:rPr>
      </w:pPr>
      <w:r w:rsidRPr="00826382">
        <w:rPr>
          <w:rFonts w:ascii="Calibri" w:hAnsi="Calibri" w:cs="Calibri"/>
        </w:rPr>
        <w:t>Institutional capacity is the binding constraint: transparent risk information that capitalises risk into prices is a fiscal prerequisite; weak-system cities need a phased path.</w:t>
      </w:r>
    </w:p>
    <w:p w14:paraId="2A657860" w14:textId="77777777" w:rsidR="006D06C7" w:rsidRPr="00826382" w:rsidRDefault="00000000">
      <w:pPr>
        <w:pStyle w:val="ListBullet"/>
        <w:rPr>
          <w:rFonts w:ascii="Calibri" w:hAnsi="Calibri" w:cs="Calibri"/>
        </w:rPr>
      </w:pPr>
      <w:r w:rsidRPr="00826382">
        <w:rPr>
          <w:rFonts w:ascii="Calibri" w:hAnsi="Calibri" w:cs="Calibri"/>
        </w:rPr>
        <w:t>Recommended actions: (i) invest first in cadastres, valuation, and flood-risk disclosure; (ii) earmark LBF revenue through a ring-fenced vehicle built to support borrowing; (iii) coordinate a package of instruments rather than optimise one; (iv) target capture to zones of concentrated uplift; and (v) design the disbursement rule for equity, directing investment to under-served neighbourhoods.</w:t>
      </w:r>
    </w:p>
    <w:p w14:paraId="11C7C9ED"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t>1. Background</w:t>
      </w:r>
    </w:p>
    <w:p w14:paraId="389A54C7"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1.1 The adaptation finance gap as a bankability problem</w:t>
      </w:r>
    </w:p>
    <w:p w14:paraId="13B31B4E" w14:textId="77777777" w:rsidR="006D06C7" w:rsidRPr="00826382" w:rsidRDefault="00000000">
      <w:pPr>
        <w:rPr>
          <w:rFonts w:ascii="Calibri" w:hAnsi="Calibri" w:cs="Calibri"/>
        </w:rPr>
      </w:pPr>
      <w:r w:rsidRPr="00826382">
        <w:rPr>
          <w:rFonts w:ascii="Calibri" w:hAnsi="Calibri" w:cs="Calibri"/>
        </w:rPr>
        <w:t xml:space="preserve">The global adaptation finance gap, estimated at US$140-300 billion per year for developing countries alone (UNEP, 2023), is increasingly a structural feature of urban governance rather than a transitory shortfall. Cities concentrate the assets and populations most exposed to flooding, sea-level rise, storm surge, and water stress, yet command only a small fraction of global climate finance. The reasons are well rehearsed: constrained budgets, limited borrowing authority, dependence on intergovernmental transfers, and, decisively, a shortage of projects structured so that lenders and investors can finance them. The concentration of need is acute: by mid-century </w:t>
      </w:r>
      <w:proofErr w:type="gramStart"/>
      <w:r w:rsidRPr="00826382">
        <w:rPr>
          <w:rFonts w:ascii="Calibri" w:hAnsi="Calibri" w:cs="Calibri"/>
        </w:rPr>
        <w:t>the majority of</w:t>
      </w:r>
      <w:proofErr w:type="gramEnd"/>
      <w:r w:rsidRPr="00826382">
        <w:rPr>
          <w:rFonts w:ascii="Calibri" w:hAnsi="Calibri" w:cs="Calibri"/>
        </w:rPr>
        <w:t xml:space="preserve"> the world’s population will live in cities, and urban exposure to flooding and heat is rising fastest in precisely the low- and middle-income settings where municipal fiscal capacity is weakest. Adaptation in these settings is therefore not only a technical </w:t>
      </w:r>
      <w:r w:rsidRPr="00826382">
        <w:rPr>
          <w:rFonts w:ascii="Calibri" w:hAnsi="Calibri" w:cs="Calibri"/>
        </w:rPr>
        <w:lastRenderedPageBreak/>
        <w:t>challenge of engineering protection but a fiscal challenge of mobilising and structuring the revenue to pay for it.</w:t>
      </w:r>
    </w:p>
    <w:p w14:paraId="592B3DFA" w14:textId="77777777" w:rsidR="006D06C7" w:rsidRPr="00826382" w:rsidRDefault="00000000">
      <w:pPr>
        <w:rPr>
          <w:rFonts w:ascii="Calibri" w:hAnsi="Calibri" w:cs="Calibri"/>
        </w:rPr>
      </w:pPr>
      <w:r w:rsidRPr="00826382">
        <w:rPr>
          <w:rFonts w:ascii="Calibri" w:hAnsi="Calibri" w:cs="Calibri"/>
        </w:rPr>
        <w:t>The scale of the challenge is now better quantified. Globally, an estimated 1.81 billion people live in flood-prone areas, including some 600 million urban residents exposed to a significant annual flood hazard, and as much as 10% of jobs in cities are directly affected by floods (World Bank, 2026). For cities specifically, the annual urban climate finance gap is stark: estimated needs of about US$4.3 trillion compared with only US$831 billion in actual flows, a shortfall attributed not only to limited capital but to limited city capacity and systemic constraints in financial markets (Karapantsiou et al., 2026).</w:t>
      </w:r>
    </w:p>
    <w:p w14:paraId="6AF573F6" w14:textId="77777777" w:rsidR="006D06C7" w:rsidRPr="00826382" w:rsidRDefault="00000000">
      <w:pPr>
        <w:rPr>
          <w:rFonts w:ascii="Calibri" w:hAnsi="Calibri" w:cs="Calibri"/>
        </w:rPr>
      </w:pPr>
      <w:r w:rsidRPr="00826382">
        <w:rPr>
          <w:rFonts w:ascii="Calibri" w:hAnsi="Calibri" w:cs="Calibri"/>
        </w:rPr>
        <w:t>This last constraint reframes the problem. The barrier is often less an absolute shortage of capital than a shortage of the institutional conditions that let capital flow. A recent diagnosis of water-resilience finance in Latin America makes the point: the binding constraint is an “absorption gap”, the governance, regulatory, and revenue conditions that determine whether finance becomes durable services, not a capital gap (Alvarez Murillo, 2026). Bankability is the hinge. A bankable project generates predictable cash flows sufficient to service debt or remunerate investors; without a credible revenue stream, even a technically sound adaptation project cannot be financed at scale (C40 Cities, 2023). The paper therefore asks two questions: how much revenue do land-based instruments actually generate for adaptation across diverse institutional settings, and what conditions make an adaptation investment well-designed, that is, structured to be both effective and bankable?</w:t>
      </w:r>
    </w:p>
    <w:p w14:paraId="656EA3E5"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1.2 From land value capture to climate finance</w:t>
      </w:r>
    </w:p>
    <w:p w14:paraId="609267E0" w14:textId="77777777" w:rsidR="006D06C7" w:rsidRPr="00826382" w:rsidRDefault="00000000">
      <w:pPr>
        <w:rPr>
          <w:rFonts w:ascii="Calibri" w:hAnsi="Calibri" w:cs="Calibri"/>
        </w:rPr>
      </w:pPr>
      <w:r w:rsidRPr="00826382">
        <w:rPr>
          <w:rFonts w:ascii="Calibri" w:hAnsi="Calibri" w:cs="Calibri"/>
        </w:rPr>
        <w:t>Land value capture (LVC) is a mature idea with an uneven practice. Its premise is that public action, infrastructure, regulatory change, or services, creates increments in land value that the public sector may legitimately recover for public purposes (Smolka, 2013), through a toolkit of recurrent property taxes, betterment contributions, developer obligations, sales of building rights, and transfers of development rights (OECD &amp; Lincoln Institute of Land Policy, 2022). These instruments developed largely in the domains of urban development and municipal finance; only recently have they been connected systematically to climate adaptation. Land and physical property remain the largest source of untapped municipal revenue in fast-growing cities, and recurrent land and property taxes are widely judged fairer and more efficient than the alternatives, with limited distortionary effects on urban investment (Collier et al., 2017).</w:t>
      </w:r>
    </w:p>
    <w:p w14:paraId="6BA7D47D" w14:textId="77777777" w:rsidR="006D06C7" w:rsidRPr="00826382" w:rsidRDefault="00000000">
      <w:pPr>
        <w:rPr>
          <w:rFonts w:ascii="Calibri" w:hAnsi="Calibri" w:cs="Calibri"/>
        </w:rPr>
      </w:pPr>
      <w:r w:rsidRPr="00826382">
        <w:rPr>
          <w:rFonts w:ascii="Calibri" w:hAnsi="Calibri" w:cs="Calibri"/>
        </w:rPr>
        <w:lastRenderedPageBreak/>
        <w:t>That connection is the contribution of an emerging body of work. Welch and Maldonado (2023) argue that land-based finance tools, special assessments, impact fees, development charges with environmental components, and the property tax itself, can help close the multi-trillion-dollar urban adaptation gap while improving the fiscal health of cities. Their framework rests on the same causal chain that motivates this paper: adaptation reduces risk and provides amenities, which raise property values, which generate revenue that can be recovered and reinvested. The associated case work documents applications across four continents and a range of climate risks, from flood mitigation to wildfire recovery, water scarcity, and extreme heat, including betterment levies for ecological corridors, wildfire-recovery financing districts, transfer of development rights in coastal zones, and stormwater-retention credit trading (Welch &amp; Maldonado, 2023; Gorey, 2026). A central insight is that LVC for adaptation is not only a revenue device but a coordination device, aligning property owners, developers, and municipalities around risk reduction by making the value of resilience visible. This paper extends that line of work by foregrounding realised revenue and by making explicit the step from land-based revenue to bankability and international climate finance.</w:t>
      </w:r>
    </w:p>
    <w:p w14:paraId="208FB0A1"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1.3 The bankability gap and the absorption problem</w:t>
      </w:r>
    </w:p>
    <w:p w14:paraId="4377D5A6" w14:textId="77777777" w:rsidR="006D06C7" w:rsidRPr="00826382" w:rsidRDefault="00000000">
      <w:pPr>
        <w:rPr>
          <w:rFonts w:ascii="Calibri" w:hAnsi="Calibri" w:cs="Calibri"/>
        </w:rPr>
      </w:pPr>
      <w:r w:rsidRPr="00826382">
        <w:rPr>
          <w:rFonts w:ascii="Calibri" w:hAnsi="Calibri" w:cs="Calibri"/>
        </w:rPr>
        <w:t xml:space="preserve">Urban adaptation finance suffers a translation failure between available capital and financeable projects. Two framings clarify it. Bankability requires predictable, ring-fenced cash flows, a credible repayment source, and a counterpart able to contract and deliver (C40 Cities, 2023). Absorption requires the governance and revenue systems that let finance become durable services; even where capital exists, weak governance and the absence of dedicated revenue prevent it (Alvarez Murillo, 2026). LBF addresses both at once: a rules-based revenue stream is the predictable cash flow that makes a project bankable, and the apparatus LBF requires, cadastres, valuation, billing, risk disclosure, is the same apparatus that raises absorptive capacity. This is the financing nexus the paper develops (Figure 1): LBF matters not only because it raises domestic money, but because the revenue it raises and the institutions it requires are jointly the precondition for unlocking external finance, whether through green and sustainability-linked bonds or concessional and blended finance from the Green Climate Fund (GCF), the Inter-American Development Bank (IDB), CAF, or the World Bank. This framing has institutional backing: recent urban-finance diagnostics distinguish supply-side structural barriers in financial markets from demand-side constraints, above all city capacity and project </w:t>
      </w:r>
      <w:r w:rsidRPr="00826382">
        <w:rPr>
          <w:rFonts w:ascii="Calibri" w:hAnsi="Calibri" w:cs="Calibri"/>
        </w:rPr>
        <w:lastRenderedPageBreak/>
        <w:t>preparation, and identify the latter as the more binding (Karapantsiou et al., 2026), which is precisely the bankability deficit that LBF helps to close.</w:t>
      </w:r>
    </w:p>
    <w:p w14:paraId="674C0DE1"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1.4 Defining “well-designed” adaptation investments</w:t>
      </w:r>
    </w:p>
    <w:p w14:paraId="6BBD6300" w14:textId="77777777" w:rsidR="006D06C7" w:rsidRPr="00826382" w:rsidRDefault="00000000">
      <w:pPr>
        <w:rPr>
          <w:rFonts w:ascii="Calibri" w:hAnsi="Calibri" w:cs="Calibri"/>
        </w:rPr>
      </w:pPr>
      <w:r w:rsidRPr="00826382">
        <w:rPr>
          <w:rFonts w:ascii="Calibri" w:hAnsi="Calibri" w:cs="Calibri"/>
        </w:rPr>
        <w:t>A central aim of this paper is to give operational content to a phrase used loosely in policy discourse. Drawing on urban-economics theory and the land-value-capture literature, we specify a well-designed adaptation investment as one structured to attract financing and generate sustainable revenue, meeting five criteria. The criteria form an evaluative framework applied to the cases; the empirical contribution lies not in confirming that the relationships exist but in establishing their magnitude and the institutional conditions under which they hold:</w:t>
      </w:r>
    </w:p>
    <w:p w14:paraId="5B8BF747" w14:textId="77777777" w:rsidR="006D06C7" w:rsidRPr="00826382" w:rsidRDefault="00000000">
      <w:pPr>
        <w:rPr>
          <w:rFonts w:ascii="Calibri" w:hAnsi="Calibri" w:cs="Calibri"/>
        </w:rPr>
      </w:pPr>
      <w:r w:rsidRPr="00826382">
        <w:rPr>
          <w:rFonts w:ascii="Calibri" w:hAnsi="Calibri" w:cs="Calibri"/>
        </w:rPr>
        <w:t>(i) Value creation. The investment generates measurable increases in land and property values, through risk reduction, amenity enhancement (green and blue infrastructure, recreational space), or both. This requires transparent risk information and functioning property markets that capitalise climate risk into prices. The distinction between value preservation (protecting existing assets) and value creation (unlocking new development, densification, and in-migration) is decisive for the scale of capturable revenue (Section 1.5).</w:t>
      </w:r>
    </w:p>
    <w:p w14:paraId="239A376F" w14:textId="77777777" w:rsidR="006D06C7" w:rsidRPr="00826382" w:rsidRDefault="00000000">
      <w:pPr>
        <w:rPr>
          <w:rFonts w:ascii="Calibri" w:hAnsi="Calibri" w:cs="Calibri"/>
        </w:rPr>
      </w:pPr>
      <w:r w:rsidRPr="00826382">
        <w:rPr>
          <w:rFonts w:ascii="Calibri" w:hAnsi="Calibri" w:cs="Calibri"/>
        </w:rPr>
        <w:t>(ii) Value-capture mechanism. The jurisdiction deploys an appropriate fiscal instrument, property tax, stormwater or water tariff, betterment levy, development charge, or sale of building rights, calibrated to recover a portion of the value created. The choice depends on whether the financing logic is cost recovery for a service, benefit-based charging, or broad-based taxation.</w:t>
      </w:r>
    </w:p>
    <w:p w14:paraId="6E4D7297" w14:textId="77777777" w:rsidR="006D06C7" w:rsidRPr="00826382" w:rsidRDefault="00000000">
      <w:pPr>
        <w:rPr>
          <w:rFonts w:ascii="Calibri" w:hAnsi="Calibri" w:cs="Calibri"/>
        </w:rPr>
      </w:pPr>
      <w:r w:rsidRPr="00826382">
        <w:rPr>
          <w:rFonts w:ascii="Calibri" w:hAnsi="Calibri" w:cs="Calibri"/>
        </w:rPr>
        <w:t>(iii) Cost-effectiveness. The investment demonstrates a benefit-cost ratio (BCR) above one, making the economic case for proactive investment over inaction; higher ratios strengthen the case for earmarked charges and improve credit terms. A benefit-cost test based on avoided damages alone, however, understates the return: resilience yields a triple dividend, comprising avoided losses, the economic activity unlocked by reduced risk, and the social and environmental co-benefits realised even when the hazard does not materialise (Hallegatte et al., 2019). The third dividend matters for bankability because it accrues regardless of whether the extreme event occurs, making the revenue stream less contingent on disaster and therefore more creditworthy.</w:t>
      </w:r>
    </w:p>
    <w:p w14:paraId="2C31FFD2" w14:textId="77777777" w:rsidR="006D06C7" w:rsidRPr="00826382" w:rsidRDefault="00000000">
      <w:pPr>
        <w:rPr>
          <w:rFonts w:ascii="Calibri" w:hAnsi="Calibri" w:cs="Calibri"/>
        </w:rPr>
      </w:pPr>
      <w:r w:rsidRPr="00826382">
        <w:rPr>
          <w:rFonts w:ascii="Calibri" w:hAnsi="Calibri" w:cs="Calibri"/>
        </w:rPr>
        <w:lastRenderedPageBreak/>
        <w:t>(iv) Institutional feasibility. The instruments can be implemented within the city’s legal, administrative, and political context, adequate cadastres, valuation capacity, collection systems, and the authority to earmark and pledge revenue.</w:t>
      </w:r>
    </w:p>
    <w:p w14:paraId="152FE399" w14:textId="77777777" w:rsidR="006D06C7" w:rsidRPr="00826382" w:rsidRDefault="00000000">
      <w:pPr>
        <w:rPr>
          <w:rFonts w:ascii="Calibri" w:hAnsi="Calibri" w:cs="Calibri"/>
        </w:rPr>
      </w:pPr>
      <w:r w:rsidRPr="00826382">
        <w:rPr>
          <w:rFonts w:ascii="Calibri" w:hAnsi="Calibri" w:cs="Calibri"/>
        </w:rPr>
        <w:t>(v) Equitable distribution. The design accounts for how costs and benefits fall across income groups, guarding against overburdening vulnerable residents in newly appreciated areas or concentrating resilience in higher-income neighbourhoods while informal settlements remain exposed.</w:t>
      </w:r>
    </w:p>
    <w:p w14:paraId="693B22EC" w14:textId="77777777" w:rsidR="006D06C7" w:rsidRPr="00826382" w:rsidRDefault="00000000">
      <w:pPr>
        <w:rPr>
          <w:rFonts w:ascii="Calibri" w:hAnsi="Calibri" w:cs="Calibri"/>
        </w:rPr>
      </w:pPr>
      <w:r w:rsidRPr="00826382">
        <w:rPr>
          <w:rFonts w:ascii="Calibri" w:hAnsi="Calibri" w:cs="Calibri"/>
        </w:rPr>
        <w:t>These criteria are constructive, not merely evaluative: together they specify how to structure an adaptation project that is simultaneously effective, fundable, feasible, and fair, the properties that make a project bankable in practice.</w:t>
      </w:r>
    </w:p>
    <w:p w14:paraId="1CB7965F"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1.5 Conceptual framework: from value preservation to value creation</w:t>
      </w:r>
    </w:p>
    <w:p w14:paraId="4A107DCC" w14:textId="77777777" w:rsidR="006D06C7" w:rsidRPr="00826382" w:rsidRDefault="00000000">
      <w:pPr>
        <w:rPr>
          <w:rFonts w:ascii="Calibri" w:hAnsi="Calibri" w:cs="Calibri"/>
        </w:rPr>
      </w:pPr>
      <w:r w:rsidRPr="00826382">
        <w:rPr>
          <w:rFonts w:ascii="Calibri" w:hAnsi="Calibri" w:cs="Calibri"/>
        </w:rPr>
        <w:t>The analysis rests on a three-step causal logic. First, climate risks impose costs on urban land and property markets through direct damage and through price discounts that reflect anticipated risk; where markets function transparently, these costs are capitalised into values. Second, well-targeted adaptation reduces these risks, generating value through two distinct channels. Value preservation protects existing assets and stabilises values that would otherwise decline as risks intensify. Value creation generates new economic value, through densification, in-migration, new construction, and enhanced amenities, in locations where reduced risk unlocks previously unrealised development potential (Avner et al., 2022; Author, 2024e). Third, the resulting increases can be partly captured through fiscal instruments, closing the financing loop.</w:t>
      </w:r>
    </w:p>
    <w:p w14:paraId="75B6D94B" w14:textId="77777777" w:rsidR="006D06C7" w:rsidRPr="00826382" w:rsidRDefault="00000000">
      <w:pPr>
        <w:rPr>
          <w:rFonts w:ascii="Calibri" w:hAnsi="Calibri" w:cs="Calibri"/>
        </w:rPr>
      </w:pPr>
      <w:r w:rsidRPr="00826382">
        <w:rPr>
          <w:rFonts w:ascii="Calibri" w:hAnsi="Calibri" w:cs="Calibri"/>
        </w:rPr>
        <w:t xml:space="preserve">This logic draws on the spatial-equilibrium tradition in urban economics (Brueckner, 2011; Glaeser et al., 2005), which recognises that an intervention in one part of a city alters the relative attractiveness of locations, producing both localised value increases and citywide redistribution. In Buenos Aires, Avner et al. (2022) find that more than 95% of the urban area experiences small land-value decreases while roughly 3.3% sees substantial increases, the general-equilibrium signature of concentrated flood mitigation, implying that betterment levies or special assessments targeting zones of concentrated uplift may outperform citywide property-tax adjustments. The completeness of risk capitalisation is itself a determinant of feasibility: where flood risk is systematically under-priced, the potential tax base is compressed, so investing in risk-information systems is a fiscal prerequisite, not only a planning task. </w:t>
      </w:r>
      <w:r w:rsidRPr="00826382">
        <w:rPr>
          <w:rFonts w:ascii="Calibri" w:hAnsi="Calibri" w:cs="Calibri"/>
        </w:rPr>
        <w:lastRenderedPageBreak/>
        <w:t>Coordinating adaptation with land-use flexibility amplifies the creation channel further (Author, 2024e), and reframing resilience as a local infrastructure service for which beneficiaries contribute through tariffs or property-based charges (Author, 2024b, 2024d) supplies the political-economy rationale behind instruments such as Miami’s impervious-area stormwater fee.</w:t>
      </w:r>
    </w:p>
    <w:p w14:paraId="02BAF874"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t>2. Methods</w:t>
      </w:r>
    </w:p>
    <w:p w14:paraId="59DA2453" w14:textId="77777777" w:rsidR="006D06C7" w:rsidRPr="00826382" w:rsidRDefault="00000000">
      <w:pPr>
        <w:rPr>
          <w:rFonts w:ascii="Calibri" w:hAnsi="Calibri" w:cs="Calibri"/>
        </w:rPr>
      </w:pPr>
      <w:r w:rsidRPr="00826382">
        <w:rPr>
          <w:rFonts w:ascii="Calibri" w:hAnsi="Calibri" w:cs="Calibri"/>
        </w:rPr>
        <w:t>The study employs a comparative case-study design (Yin, 2018) examining five cities selected to vary along three dimensions: income level (high, middle, low), institutional maturity (established versus emerging LBF frameworks), and climate-risk profile (flooding, sea-level rise, storm surge, water stress). The selection enables both literal replication, cities implementing LBF for adaptation successfully, and theoretical replication, cities whose barriers illuminate the necessary conditions for success.</w:t>
      </w:r>
    </w:p>
    <w:p w14:paraId="20B0681C" w14:textId="77777777" w:rsidR="006D06C7" w:rsidRPr="00826382" w:rsidRDefault="00000000">
      <w:pPr>
        <w:rPr>
          <w:rFonts w:ascii="Calibri" w:hAnsi="Calibri" w:cs="Calibri"/>
        </w:rPr>
      </w:pPr>
      <w:r w:rsidRPr="00826382">
        <w:rPr>
          <w:rFonts w:ascii="Calibri" w:hAnsi="Calibri" w:cs="Calibri"/>
        </w:rPr>
        <w:t>For each city, the analysis draws on: (a) policy and legal documents governing LBF instruments and adaptation planning; (b) fiscal data on revenue from property taxes, stormwater and water tariffs, betterment levies, and related instruments; (c) property-market data documenting risk capitalisation and the value impacts of adaptation; (d) benefit-cost analyses of major interventions; and (e) secondary academic and institutional literature. Five city-level studies (Author, 2024a-2024e) form the primary evidentiary base, complemented by official fiscal and planning sources and peer-reviewed property-market research. The primary outcome of interest is the revenue (or capturable value) generated by adaptation investments; secondary outcomes are the degree of risk capitalisation in property prices and the benefit-cost ratio of interventions. Each city is assessed against the five criteria of Section 1.4; a cross-case synthesis then derives a typology and transferable lessons. Each city is rated against the five criteria on a simple ordinal scale (strong, partial, or weak) based on the documentary and market evidence assembled; the case overview is reported in Table 1 and the criteria assessment in Table 3.</w:t>
      </w:r>
    </w:p>
    <w:p w14:paraId="2A96D07E" w14:textId="77777777" w:rsidR="006D06C7" w:rsidRPr="00826382" w:rsidRDefault="00000000">
      <w:pPr>
        <w:rPr>
          <w:rFonts w:ascii="Calibri" w:hAnsi="Calibri" w:cs="Calibri"/>
        </w:rPr>
      </w:pPr>
      <w:r w:rsidRPr="00826382">
        <w:rPr>
          <w:rFonts w:ascii="Calibri" w:hAnsi="Calibri" w:cs="Calibri"/>
        </w:rPr>
        <w:t xml:space="preserve">The five cities were selected to maximise variation rather than to constitute a representative sample. Copenhagen and Miami-Dade anchor the high-income, mature-institution end of the spectrum and allow observation of LBF instruments operating at scale; Lagos and Ho Chi Minh City anchor the constrained and emerging end and are included as diagnostic cases: they are chosen not because they have generated land-based revenue, which they have not, but </w:t>
      </w:r>
      <w:r w:rsidRPr="00826382">
        <w:rPr>
          <w:rFonts w:ascii="Calibri" w:hAnsi="Calibri" w:cs="Calibri"/>
        </w:rPr>
        <w:lastRenderedPageBreak/>
        <w:t>precisely because the instruments are absent or nascent there, which makes the institutional preconditions for land-based finance, and the cost of their absence, most visible; and Buenos Aires occupies a revealing middle position in which value creation from adaptation has been empirically demonstrated but capture has not yet been institutionalised. This spread supports analytical, rather than statistical, generalisation: the aim is to identify the conditions under which LBF for adaptation succeeds or fails, and to specify the mechanisms that connect adaptation investment, value creation, and capturable revenue. A limitation of the design, addressed in Section 4.5, is that fiscal and property-market data differ in scope, vintage, and methodology across cities, so cross-city figures are treated as indicative rather than strictly comparable. Read together, the five cases are a designed contrast rather than a sample of successes: the high- and middle-income cities show what realised and prospective land-based revenue looks like, while the constrained cases isolate the enabling conditions that make it possible.</w:t>
      </w:r>
    </w:p>
    <w:p w14:paraId="76C92ED6"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t>3. Results</w:t>
      </w:r>
    </w:p>
    <w:p w14:paraId="1F16C95F" w14:textId="77777777" w:rsidR="006D06C7" w:rsidRPr="00826382" w:rsidRDefault="00000000">
      <w:pPr>
        <w:rPr>
          <w:rFonts w:ascii="Calibri" w:hAnsi="Calibri" w:cs="Calibri"/>
        </w:rPr>
      </w:pPr>
      <w:r w:rsidRPr="00826382">
        <w:rPr>
          <w:rFonts w:ascii="Calibri" w:hAnsi="Calibri" w:cs="Calibri"/>
        </w:rPr>
        <w:t>Results are organised around the five criteria, beginning with the central concern, the actual revenue generated, before turning to market impacts, cost-effectiveness, institutional feasibility, and the private sector, and closing with a cross-case typology. The case overview is summarised in Table 1; revenue and benefit-cost evidence in Table 2.</w:t>
      </w:r>
    </w:p>
    <w:p w14:paraId="4837FE21"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 xml:space="preserve">3.1 Revenue generation: what land-based finance </w:t>
      </w:r>
      <w:proofErr w:type="gramStart"/>
      <w:r w:rsidRPr="00826382">
        <w:rPr>
          <w:rFonts w:ascii="Calibri" w:hAnsi="Calibri" w:cs="Calibri"/>
          <w:b w:val="0"/>
          <w:bCs w:val="0"/>
          <w:sz w:val="22"/>
          <w:szCs w:val="22"/>
        </w:rPr>
        <w:t>actually raises</w:t>
      </w:r>
      <w:proofErr w:type="gramEnd"/>
    </w:p>
    <w:p w14:paraId="271D0FCE" w14:textId="77777777" w:rsidR="00011DC4" w:rsidRDefault="00000000">
      <w:r>
        <w:t>A prior distinction is essential to reading the evidence. The term “revenue” here spans three categories the analysis keeps separate: realised revenue actually collected and available for adaptation (for example, stormwater and water tariffs); estimated value created by adaptation but not yet captured (the modelled land-value gains in Buenos Aires and the property-value uplift in Copenhagen); and avoided damages, which underpin the cost-effectiveness case but are not a cash flow. Only the first is revenue in the strict sense; the second is a capturable base awaiting an instrument, and the distinction is carried through Table 2.</w:t>
      </w:r>
    </w:p>
    <w:p w14:paraId="20F4272E" w14:textId="77777777" w:rsidR="006D06C7" w:rsidRPr="00826382" w:rsidRDefault="00000000">
      <w:pPr>
        <w:rPr>
          <w:rFonts w:ascii="Calibri" w:hAnsi="Calibri" w:cs="Calibri"/>
        </w:rPr>
      </w:pPr>
      <w:r w:rsidRPr="00826382">
        <w:rPr>
          <w:rFonts w:ascii="Calibri" w:hAnsi="Calibri" w:cs="Calibri"/>
        </w:rPr>
        <w:t xml:space="preserve">Copenhagen. The city finances its cloudburst programme, roughly €1.3 billion (DKK 9.8 billion) in core works, near €1.5 billion including private property-level measures, primarily through water charges, permitted under Danish rules that allow water charges for cost-effective adaptation (Ziersen et al., 2017; OECD, 2020). Private landowners additionally finance an estimated €320 </w:t>
      </w:r>
      <w:r w:rsidRPr="00826382">
        <w:rPr>
          <w:rFonts w:ascii="Calibri" w:hAnsi="Calibri" w:cs="Calibri"/>
        </w:rPr>
        <w:lastRenderedPageBreak/>
        <w:t>million (DKK 2.4 billion) in backwater valves and property-level measures (City of Copenhagen, 2012; European Environment Agency [EEA], 2016). The municipality funds urban and green-space improvements through property-tax revenue, capturing, through the property tax, a share of the estimated €188 million (DKK 1.4 billion) increase in surrounding property values generated by the blue-green works; the construction phase alone is expected to create over 13,000 full-time-equivalent jobs and DKK 1.6 billion in tax revenue (EEA, 2016).</w:t>
      </w:r>
    </w:p>
    <w:p w14:paraId="518FE547" w14:textId="77777777" w:rsidR="006D06C7" w:rsidRPr="00826382" w:rsidRDefault="00000000">
      <w:pPr>
        <w:rPr>
          <w:rFonts w:ascii="Calibri" w:hAnsi="Calibri" w:cs="Calibri"/>
        </w:rPr>
      </w:pPr>
      <w:r w:rsidRPr="00826382">
        <w:rPr>
          <w:rFonts w:ascii="Calibri" w:hAnsi="Calibri" w:cs="Calibri"/>
        </w:rPr>
        <w:t>Miami-Dade. Miami Beach channelled over US$500 million into adaptation, road elevation and advanced stormwater management, financed through a stormwater fee calculated on impervious surface area, with the city authorised to issue revenue bonds against the stream (Author, 2024d). Broward County levies a charge on new construction that functions as a dedicated adaptation reservoir. These fee mechanisms are reinforced by the Community Rating System (CRS) under the National Flood Insurance Program (NFIP), which rewards proactive communities with flood-insurance discounts of 15-25%, giving property owners a direct financial stake in adaptation spending.</w:t>
      </w:r>
    </w:p>
    <w:p w14:paraId="185BBF45" w14:textId="77777777" w:rsidR="006D06C7" w:rsidRPr="00826382" w:rsidRDefault="00000000">
      <w:pPr>
        <w:rPr>
          <w:rFonts w:ascii="Calibri" w:hAnsi="Calibri" w:cs="Calibri"/>
        </w:rPr>
      </w:pPr>
      <w:r w:rsidRPr="00826382">
        <w:rPr>
          <w:rFonts w:ascii="Calibri" w:hAnsi="Calibri" w:cs="Calibri"/>
        </w:rPr>
        <w:t>Buenos Aires. The city invested US$338 million in flood mitigation, financed through a World Bank loan (2017-2023), including expansion of the Medrano stream basin’s hydraulic system and broader stormwater upgrades (World Bank, 2022). These works generated an estimated net aggregate land-value increase of approximately US$379 million across the urban area (Avner et al., 2022), the investment more than paid for itself through property appreciation, as reduced flood risk made previously flood-prone areas attractive for investment. Accounting for in-migration raises the figure further, with reduced risk attracting an estimated 28,000-165,000 additional households. Buenos Aires is now exploring LVC mechanisms, taxation and the sale of building rights, to convert this demonstrated value creation into a recurring revenue stream for further adaptation.</w:t>
      </w:r>
    </w:p>
    <w:p w14:paraId="12C571D1" w14:textId="77777777" w:rsidR="006D06C7" w:rsidRPr="00826382" w:rsidRDefault="00000000">
      <w:pPr>
        <w:rPr>
          <w:rFonts w:ascii="Calibri" w:hAnsi="Calibri" w:cs="Calibri"/>
        </w:rPr>
      </w:pPr>
      <w:r w:rsidRPr="00826382">
        <w:rPr>
          <w:rFonts w:ascii="Calibri" w:hAnsi="Calibri" w:cs="Calibri"/>
        </w:rPr>
        <w:t xml:space="preserve">Lagos. Lagos illustrates the revenue ceiling imposed by weak fiscal systems. The Land Use Charge, a consolidated property tax, yields only about US$0.43 per capita, against US$160 in Johannesburg (World Bank, 2016, 2021), reflecting compliance near 30% and an incomplete land register (World Bank, 2022). Property taxes account for roughly 2% of internally generated revenue, and across African cities property-tax revenue averages just 0.07% of GDP, against 0.64% in Asia and 0.70% in Europe (UN-Habitat, Lincoln Institute of Land Policy, &amp; World Resources Institute, 2026); the state faces an infrastructure gap exceeding US$50 billion against </w:t>
      </w:r>
      <w:r w:rsidRPr="00826382">
        <w:rPr>
          <w:rFonts w:ascii="Calibri" w:hAnsi="Calibri" w:cs="Calibri"/>
        </w:rPr>
        <w:lastRenderedPageBreak/>
        <w:t>annual capital spending below US$1 billion (World Bank, 2019). Developer obligations exist (a 50% surcharge on building-plan approval fees; OECD &amp; Lincoln Institute of Land Policy, 2022) but are not systematically enforced, and the Neighbourhood Improvement Levy lacks a supportive legal-administrative framework. Tellingly, wealthy residents have resorted to private community levies for resilience, revealed willingness to pay that flows outside formal channels.</w:t>
      </w:r>
    </w:p>
    <w:p w14:paraId="3BAC17CC" w14:textId="77777777" w:rsidR="006D06C7" w:rsidRPr="00826382" w:rsidRDefault="00000000">
      <w:pPr>
        <w:rPr>
          <w:rFonts w:ascii="Calibri" w:hAnsi="Calibri" w:cs="Calibri"/>
        </w:rPr>
      </w:pPr>
      <w:r w:rsidRPr="00826382">
        <w:rPr>
          <w:rFonts w:ascii="Calibri" w:hAnsi="Calibri" w:cs="Calibri"/>
        </w:rPr>
        <w:t>Ho Chi Minh City. Ho Chi Minh City occupies an intermediate position, substantial potential constrained by institutional barriers. Vietnam has no recurrent property tax; the non-agricultural land-use tax is levied at only 0.03% of official land values and generates negligible revenue (Author, 2024c). Land-use fees from the transfer of land-use rights accounted for about 8% of tax revenue in 2018, and public land leasing generated revenue equivalent to 3% of gross domestic product in 2017, though opacity led the national government to ban leasing public land in exchange for infrastructure in 2020 (General Statistics Office, 2018; OECD &amp; Lincoln Institute of Land Policy, 2022). Proposed moves toward market-based land valuation would strengthen the LBF foundation, while local business associations offer a promising collection channel given documented willingness among small and medium-sized enterprises (SMEs) to co-finance shared adaptation (Leitold et al., 2020; Revilla Diez et al., 2023).</w:t>
      </w:r>
    </w:p>
    <w:p w14:paraId="5419C1C7"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3.2 Market-value impacts: risk capitalisation and value creation</w:t>
      </w:r>
    </w:p>
    <w:p w14:paraId="7B2BD2DF" w14:textId="77777777" w:rsidR="006D06C7" w:rsidRPr="00826382" w:rsidRDefault="00000000">
      <w:pPr>
        <w:rPr>
          <w:rFonts w:ascii="Calibri" w:hAnsi="Calibri" w:cs="Calibri"/>
        </w:rPr>
      </w:pPr>
      <w:r w:rsidRPr="00826382">
        <w:rPr>
          <w:rFonts w:ascii="Calibri" w:hAnsi="Calibri" w:cs="Calibri"/>
        </w:rPr>
        <w:t>The extent to which flood risk is capitalised into prices, and conversely, the extent to which adaptation raises values, determines the size of the LBF tax base, and the five cities reveal a gradient correlated with market transparency and risk-information availability.</w:t>
      </w:r>
    </w:p>
    <w:p w14:paraId="5B459E36" w14:textId="77777777" w:rsidR="006D06C7" w:rsidRPr="00826382" w:rsidRDefault="00000000">
      <w:pPr>
        <w:rPr>
          <w:rFonts w:ascii="Calibri" w:hAnsi="Calibri" w:cs="Calibri"/>
        </w:rPr>
      </w:pPr>
      <w:r w:rsidRPr="00826382">
        <w:rPr>
          <w:rFonts w:ascii="Calibri" w:hAnsi="Calibri" w:cs="Calibri"/>
        </w:rPr>
        <w:t>Copenhagen shows clear capitalisation: houses exposed to 100-year flood risk sell at a 6% discount (about DKK 100,000 / €13,400 for an average house), and properties not yet but prospectively exposed from 2041 trade at a 3-4% discount (Mirone &amp; Poeschl, 2021), forward-looking pricing reflecting transparent risk mapping. Danish financial institutions face an estimated €4.05 billion in climate-related exposure from collateralised real estate, projected to reach €19.6 billion by century’s end, and loan-to-value ratios already differ between high- and low-risk areas (Danmarks Nationalbank, 2021), evidence that lenders price flood risk.</w:t>
      </w:r>
    </w:p>
    <w:p w14:paraId="18D3585C" w14:textId="77777777" w:rsidR="006D06C7" w:rsidRPr="00826382" w:rsidRDefault="00000000">
      <w:pPr>
        <w:rPr>
          <w:rFonts w:ascii="Calibri" w:hAnsi="Calibri" w:cs="Calibri"/>
        </w:rPr>
      </w:pPr>
      <w:r w:rsidRPr="00826382">
        <w:rPr>
          <w:rFonts w:ascii="Calibri" w:hAnsi="Calibri" w:cs="Calibri"/>
        </w:rPr>
        <w:t xml:space="preserve">Ho Chi Minh City also capitalises risk, in a less mature market: flood-affected properties carry average discounts of 7.5%, deepening 1.5% per additional flood event, while buyers with prior flood experience demand a 17.7% discount (Nguyen et al., 2022). The absence of subsidised </w:t>
      </w:r>
      <w:r w:rsidRPr="00826382">
        <w:rPr>
          <w:rFonts w:ascii="Calibri" w:hAnsi="Calibri" w:cs="Calibri"/>
        </w:rPr>
        <w:lastRenderedPageBreak/>
        <w:t>insurance means prices reflect risk more directly, a stronger signal for LBF, but also greater exposure for owners.</w:t>
      </w:r>
    </w:p>
    <w:p w14:paraId="7EF1739F" w14:textId="77777777" w:rsidR="006D06C7" w:rsidRPr="00826382" w:rsidRDefault="00000000">
      <w:pPr>
        <w:rPr>
          <w:rFonts w:ascii="Calibri" w:hAnsi="Calibri" w:cs="Calibri"/>
        </w:rPr>
      </w:pPr>
      <w:r w:rsidRPr="00826382">
        <w:rPr>
          <w:rFonts w:ascii="Calibri" w:hAnsi="Calibri" w:cs="Calibri"/>
        </w:rPr>
        <w:t>Miami-Dade presents a distorted picture: properties are over-valued by an estimated 3-5% owing to un-priced risk, behavioural biases, NFIP subsidies, and incomplete disclosure (Hino &amp; Burke, 2021), even as lost market value from tidal flooding reached an estimated US$465 million in 2005-2016 (McAlpine &amp; Porter, 2018). The CRS, however, translates adaptation directly into financial benefit: Miami Beach’s US$500 million investment secured a roughly 20% insurance discount for residents (Author, 2024d), a visible, quantifiable return that makes the value of adaptation tangible and the stormwater fee politically defensible.</w:t>
      </w:r>
    </w:p>
    <w:p w14:paraId="0FED8F6E" w14:textId="77777777" w:rsidR="006D06C7" w:rsidRPr="00826382" w:rsidRDefault="00000000">
      <w:pPr>
        <w:rPr>
          <w:rFonts w:ascii="Calibri" w:hAnsi="Calibri" w:cs="Calibri"/>
        </w:rPr>
      </w:pPr>
      <w:r w:rsidRPr="00826382">
        <w:rPr>
          <w:rFonts w:ascii="Calibri" w:hAnsi="Calibri" w:cs="Calibri"/>
        </w:rPr>
        <w:t>Across the cases, these price signals are being amplified by the insurance sector’s repricing of physical risk. A survey of more than 50 global insurers and reinsurers finds that historical loss data are no longer regarded as a reliable guide to future hazard, with 88% moderately-to-highly concerned that physical risk poses a systemic financial risk (MSCI Institute, 2026). As insurers raise premiums or withdraw cover in exposed locations, the cost of climate risk is increasingly capitalised into property values, sharpening the very price signal on which land-based financing depends, and raising the salience of public adaptation where private cover retreats. The same dynamic cuts both ways: where premiums rise faster than incomes or cover is withdrawn entirely, exposed properties can become uninsurable and therefore difficult to mortgage, depressing values and eroding the very tax base that land-based financing relies on, a risk already visible in parts of Florida and a reminder that the capitalisation channel can run in reverse.</w:t>
      </w:r>
    </w:p>
    <w:p w14:paraId="27A41B65" w14:textId="77777777" w:rsidR="006D06C7" w:rsidRPr="00826382" w:rsidRDefault="00000000">
      <w:pPr>
        <w:rPr>
          <w:rFonts w:ascii="Calibri" w:hAnsi="Calibri" w:cs="Calibri"/>
        </w:rPr>
      </w:pPr>
      <w:r w:rsidRPr="00826382">
        <w:rPr>
          <w:rFonts w:ascii="Calibri" w:hAnsi="Calibri" w:cs="Calibri"/>
        </w:rPr>
        <w:t>Buenos Aires provides the clearest illustration of the preservation-creation distinction. Flood-prone properties trade at discounts of 4.3-11% depending on severity (Author, 2024e), establishing the value at risk. The US$338 million programme not only preserved these values but generated an estimated US$379 million in net new land value (Avner et al., 2022), arising primarily from general-equilibrium effects, reduced risk made central locations near employment more attractive, triggering densification and in-migration. The uplift was amplified, up to fivefold, in areas with more fragile buildings and would rise further if combined with relaxed floor-area ratios (Author, 2024e). Crucially, value creation has been demonstrated but capture has not yet been institutionalised.</w:t>
      </w:r>
    </w:p>
    <w:p w14:paraId="5DBBC084" w14:textId="51E89576" w:rsidR="006D06C7" w:rsidRPr="00826382" w:rsidRDefault="00000000">
      <w:pPr>
        <w:rPr>
          <w:rFonts w:ascii="Calibri" w:hAnsi="Calibri" w:cs="Calibri"/>
        </w:rPr>
      </w:pPr>
      <w:r w:rsidRPr="00826382">
        <w:rPr>
          <w:rFonts w:ascii="Calibri" w:hAnsi="Calibri" w:cs="Calibri"/>
        </w:rPr>
        <w:lastRenderedPageBreak/>
        <w:t>Lagos is the most problematic case for risk-informed LBF. Speculation, information asymmetries, and weak zoning enforcement leave climate risk largely unpriced: high-income coastal areas such as Victoria Island and Lekki command premiums despite severe exposure. This produces a paradox, areas most in need of adaptation have the weakest revenue base, while areas where LBF could raise revenue already attract private resilience spending, as when Goshen Beach Estate residents self-imposed a fee for ocean-surge protection (Obiefuna et al., 2021). The 850-hectare Eko Atlantic City development exemplifies private adaptation finance for elite enclaves whose benefits do not reach the roughly 70% of residents in informal settlements (African Development Bank, 2018).</w:t>
      </w:r>
    </w:p>
    <w:p w14:paraId="06D56518"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3.3 Cost-effectiveness: benefit-cost ratios</w:t>
      </w:r>
    </w:p>
    <w:p w14:paraId="4393F4BA" w14:textId="77777777" w:rsidR="006D06C7" w:rsidRPr="00826382" w:rsidRDefault="00000000">
      <w:pPr>
        <w:rPr>
          <w:rFonts w:ascii="Calibri" w:hAnsi="Calibri" w:cs="Calibri"/>
        </w:rPr>
      </w:pPr>
      <w:r w:rsidRPr="00826382">
        <w:rPr>
          <w:rFonts w:ascii="Calibri" w:hAnsi="Calibri" w:cs="Calibri"/>
        </w:rPr>
        <w:t xml:space="preserve">Bankability depends on demonstrable cost-effectiveness, and the cases consistently show high benefit-cost ratios for proactive adaptation. Copenhagen’s combined blue-green and grey approach costs DKK 9.8 billion against DKK 20 billion for a sewer-only solution, a 51% saving, and is projected to avoid DKK 16-18 billion in flood damages over 100 years, for net societal benefits of DKK 5-7 billion (City of Copenhagen, 2012); coastal-protection benefit-cost ratios range from 3.0 to 6.9 (Vousdoukas et al., 2020). Miami-Dade’s stormwater works achieve ratios of 2.33-3.04 (Author, 2024d), reinforced by immediate CRS insurance savings. Beyond the five core cases, broader and illustrative evidence, which sits outside the comparative design and is not weighted equally with the five cases, reinforces both the cost-effectiveness and the capitalisation mechanism. C40 finds that the benefits of urban adaptation outweigh potential losses by a factor of four on average, and nature-based measures can exceed this, with every US$1 invested in tree planting in Austin delivering an estimated US$10 in ecosystem value through improved stormwater management and cooling (C40 Cities, 2022). Comparable returns appear for heat and water adaptation: expanding Barcelona’s tree cover from 5% to 30% cut building air-conditioning costs by about US$10 million while lowering the urban heat-island effect, and nearly 500 rainwater-harvesting systems in Mexico City brought water security to more than 56,000 residents (C40 Cities, 2022). The corollary is the cost of inaction: a five-day deluge in Zhengzhou caused more than 300 deaths and an estimated US$17.7 billion in losses (C40 Cities, 2022). Critically, these co-benefits are not only social returns but a latent fiscal base: green stormwater infrastructure capitalizes into property values and can be recovered through reassessment. In New Haven, Connecticut, proximity to bioswales raises residential prices by an estimated 8.8%, and a reassessment capturing that uplift could finance further green </w:t>
      </w:r>
      <w:r w:rsidRPr="00826382">
        <w:rPr>
          <w:rFonts w:ascii="Calibri" w:hAnsi="Calibri" w:cs="Calibri"/>
        </w:rPr>
        <w:lastRenderedPageBreak/>
        <w:t xml:space="preserve">infrastructure, with the potential to raise about US$1.38 million on a basis that meets non-regressivity standards (Cohen et al., 2023). This closes the loop that the preceding co-benefit cases only </w:t>
      </w:r>
      <w:proofErr w:type="gramStart"/>
      <w:r w:rsidRPr="00826382">
        <w:rPr>
          <w:rFonts w:ascii="Calibri" w:hAnsi="Calibri" w:cs="Calibri"/>
        </w:rPr>
        <w:t>imply:</w:t>
      </w:r>
      <w:proofErr w:type="gramEnd"/>
      <w:r w:rsidRPr="00826382">
        <w:rPr>
          <w:rFonts w:ascii="Calibri" w:hAnsi="Calibri" w:cs="Calibri"/>
        </w:rPr>
        <w:t xml:space="preserve"> amenity and risk-reduction value, once capitalized, becomes capturable land-based revenue. A caveat on transfer across hazards: flood mitigation creates a sharp spatial value gradient (protected versus exposed parcels) that betterment-type instruments can target precisely, whereas heat and drought benefits are more diffuse, so the capturable signal is weaker and may favour citywide instruments such as the property tax over zone-based levies. There is a compensating asymmetry: visible amenities such as green space capitalise into land values more readily than abstract risk reduction (UN-Habitat et al., 2026), so nature-based measures often present clearer capture opportunities than the avoided-loss value of grey defences. The case is equally compelling but unrealised where institutions are weak: Lagos faces estimated annual flood damages of US$4 billion and cumulative losses of US$65-86.5 billion by 2050 (Croitoru et al., 2020; IPCC, 2022), and Ho Chi Minh City annual losses of US$354 million and potential cumulative gross-domestic-product losses of US$48.3 billion to 2050 (Asian Development Bank [ADB], 2010; Author, 2024c), yet both invest far below the level the returns would justify. Benefit-cost and revenue evidence are summarised in Table 2.</w:t>
      </w:r>
    </w:p>
    <w:p w14:paraId="1E206774"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3.4 Institutional feasibility and enabling conditions</w:t>
      </w:r>
    </w:p>
    <w:p w14:paraId="5C2D857C" w14:textId="77777777" w:rsidR="006D06C7" w:rsidRPr="00826382" w:rsidRDefault="00000000">
      <w:pPr>
        <w:rPr>
          <w:rFonts w:ascii="Calibri" w:hAnsi="Calibri" w:cs="Calibri"/>
        </w:rPr>
      </w:pPr>
      <w:r w:rsidRPr="00826382">
        <w:rPr>
          <w:rFonts w:ascii="Calibri" w:hAnsi="Calibri" w:cs="Calibri"/>
        </w:rPr>
        <w:t>Across the cases, institutional factors, not the technical design of instruments, are the primary determinant of success, and three enabling conditions recur. Legal framework and fiscal authority: Copenhagen benefits from legislation that explicitly allows water charges for cost-effective adaptation and a Planning Act obliging municipalities to consider flooding (OECD, 2020); Miami operates within the federal CRS framework; Buenos Aires financed mitigation through a World Bank loan and is exploring LVC; whereas Lagos’s local governments have constitutionally restricted fiscal powers, and Ho Chi Minh City’s adoption of property taxation requires central legislation. Cadastral and valuation capacity: effective LBF requires accurate property identification and market-based valuation, comprehensive in Copenhagen and Miami, constrained by an incomplete register in Lagos, and undermined in Ho Chi Minh City by government-set prices diverging from market values, though reforms aim at market-based pricing. Risk information and transparency: capitalisation of risk into prices, the very source of the base, requires reliable, accessible information, supported by Copenhagen’s transparent mapping and EU Flood Directive compliance and by Miami’s FEMA flood-zone designations, but absent in Lagos and only emerging in Ho Chi Minh City.</w:t>
      </w:r>
    </w:p>
    <w:p w14:paraId="5966D6AA"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lastRenderedPageBreak/>
        <w:t>3.5 The role of the private sector</w:t>
      </w:r>
    </w:p>
    <w:p w14:paraId="594611D2" w14:textId="77777777" w:rsidR="006D06C7" w:rsidRPr="00826382" w:rsidRDefault="00000000">
      <w:pPr>
        <w:rPr>
          <w:rFonts w:ascii="Calibri" w:hAnsi="Calibri" w:cs="Calibri"/>
        </w:rPr>
      </w:pPr>
      <w:r>
        <w:t>Private participation varies with context: Copenhagen’s publicly owned, privately run City and Port Development Corporation shows how strategic land management can generate public value while engaging private capital (Katz &amp; Noring, 2017), whereas in Lagos elite developments such as Eko Atlantic invest heavily in resilience for high-income markets while informal settlements, about 70% of the population, remain outside private adaptation finance, a stark “resilience inequality.”</w:t>
      </w:r>
    </w:p>
    <w:p w14:paraId="70268BDD"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3.6 Cross-case synthesis: a typology of LBF for adaptation</w:t>
      </w:r>
    </w:p>
    <w:p w14:paraId="11D090AE" w14:textId="77777777" w:rsidR="006D06C7" w:rsidRPr="00826382" w:rsidRDefault="00000000">
      <w:pPr>
        <w:rPr>
          <w:rFonts w:ascii="Calibri" w:hAnsi="Calibri" w:cs="Calibri"/>
        </w:rPr>
      </w:pPr>
      <w:r w:rsidRPr="00826382">
        <w:rPr>
          <w:rFonts w:ascii="Calibri" w:hAnsi="Calibri" w:cs="Calibri"/>
        </w:rPr>
        <w:t>The cases suggest a four-part typology defined by institutional capacity and market maturity. Mature systems (Copenhagen, Miami) combine functioning markets with risk capitalisation, strong cadastres, established instruments, and supportive legal frameworks; they show measurable revenue, and their primary challenge is political, securing adequate investment levels and equitable cost distribution. Innovative middle-income systems (Buenos Aires) exhibit demonstrated value creation (US$379 million from US$338 million invested) that supplies empirical proof of LVC feasibility; the challenge is institutionalising capture into a predictable, recurring stream. Emerging systems (Ho Chi Minh City) price risk but lack dedicated instruments, with the transition from state-driven to market-driven land development opening space for property taxation and betterment charges, contingent on national reform. Constrained systems (Lagos) face weak cadastres, low compliance, and pervasive informality, requiring a phased path, property registration, reform of the Land Use Charge, mandated risk disclosure, enforcement capacity, while private levies and public-private partnerships offer interim partial solutions and international finance remains critical. Table 4 translates this typology into a practitioner sequence.</w:t>
      </w:r>
    </w:p>
    <w:p w14:paraId="094B0C33"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t>4. Discussion</w:t>
      </w:r>
    </w:p>
    <w:p w14:paraId="1F1FC1B8"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4.1 What the revenue evidence shows</w:t>
      </w:r>
    </w:p>
    <w:p w14:paraId="2057645F" w14:textId="77777777" w:rsidR="006D06C7" w:rsidRPr="00826382" w:rsidRDefault="00000000">
      <w:pPr>
        <w:rPr>
          <w:rFonts w:ascii="Calibri" w:hAnsi="Calibri" w:cs="Calibri"/>
        </w:rPr>
      </w:pPr>
      <w:r w:rsidRPr="00826382">
        <w:rPr>
          <w:rFonts w:ascii="Calibri" w:hAnsi="Calibri" w:cs="Calibri"/>
        </w:rPr>
        <w:t xml:space="preserve">The comparative evidence is unambiguous: land-based finance generates real, documented revenue for adaptation, not merely theoretical potential. Copenhagen funds the bulk of a roughly €1.3 billion programme through water tariffs and recovers, via property tax, a share of an estimated €188 million in created property value; Miami Beach raised over US$500 million through stormwater fees; Buenos Aires’s US$338 million investment created an estimated </w:t>
      </w:r>
      <w:r w:rsidRPr="00826382">
        <w:rPr>
          <w:rFonts w:ascii="Calibri" w:hAnsi="Calibri" w:cs="Calibri"/>
        </w:rPr>
        <w:lastRenderedPageBreak/>
        <w:t>US$379 million in net land value. Each outcome pairs a recurring or capturable revenue source with a tangible service or a measurable value increment, validating the core proposition that well-designed adaptation can pay for itself and seed further investment. The evidence also marks the limits: in Lagos and Ho Chi Minh City the same proposition fails not because the underlying economics differ, annual damages of US$4 billion and US$354 million imply high returns to adaptation, but because the institutional machinery to price risk and capture value is absent or nascent. The binding constraint on LBF is institutional, not technical.</w:t>
      </w:r>
    </w:p>
    <w:p w14:paraId="53B250A6"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4.2 The financing nexus: from land-based revenue to bankable, investable projects</w:t>
      </w:r>
    </w:p>
    <w:p w14:paraId="7ACCDCB9" w14:textId="77777777" w:rsidR="006D06C7" w:rsidRPr="00826382" w:rsidRDefault="00000000">
      <w:pPr>
        <w:rPr>
          <w:rFonts w:ascii="Calibri" w:hAnsi="Calibri" w:cs="Calibri"/>
        </w:rPr>
      </w:pPr>
      <w:r w:rsidRPr="00826382">
        <w:rPr>
          <w:rFonts w:ascii="Calibri" w:hAnsi="Calibri" w:cs="Calibri"/>
        </w:rPr>
        <w:t xml:space="preserve">The deeper significance of land-based revenue lies in what it unlocks. A predictable, ring-fenced LBF stream is precisely the attribute that converts an adaptation project from a budget line into a bankable asset. It supplies the repayment source that a green or sustainability-linked bond requires; the own-balance-sheet revenue against which a city can negotiate concessional or blended finance from the GCF, the IDB, CAF, or the World Bank; and the cost-effectiveness evidence, benefit-cost ratios of 2.33-6.9 across the mature cases, that underwrites favourable terms. LBF is thus not a substitute for international climate finance but its precondition: cities that can demonstrate a dedicated stream and a credible institutional counterpart can absorb external finance, while those that cannot remain dependent on national-government intermediation and constrained transfers. This aligns the evidence with the bankability and absorption diagnoses of Section 1.3: the barrier to scaling urban adaptation finance is less a shortage of capital than a shortage of absorptive capacity, the governance, cadastral, valuation, disclosure, and revenue systems that let finance become durable services (Alvarez Murillo, 2026; C40 Cities, 2023). LBF addresses this gap on both sides of the ledger, raising domestic revenue while building the institutions that raise a city’s capacity to receive external finance. Buenos Aires is instructive precisely because it sits mid-transition: value creation has been demonstrated empirically, but until capture is institutionalised the city cannot pledge that value to a bond or a multilateral lender. Demonstrated value creation is necessary but not sufficient for bankability; institutionalised capture completes the nexus. A further caveat tempers the nexus: land markets price climate risk backward-looking and imperfectly, yet climate risk is non-stationary, so the predictable cash flows that bankability requires rest on a hazard baseline that is itself shifting. Robust structuring therefore calls for revenue rules and protection standards designed to perform across a range of climate futures rather than optimised to a single projection (Hallegatte et al., 2019). Two design implications follow: plan value creation, capture, </w:t>
      </w:r>
      <w:r w:rsidRPr="00826382">
        <w:rPr>
          <w:rFonts w:ascii="Calibri" w:hAnsi="Calibri" w:cs="Calibri"/>
        </w:rPr>
        <w:lastRenderedPageBreak/>
        <w:t>and leverage as a single financing architecture, ideally a ring-fenced vehicle structured from the outset to support borrowing rather than allowing proceeds to dissipate into general budgets, and coordinate a package of instruments (tariffs setting a predictable floor, betterment levies capturing concentrated uplifts, building-rights sales pricing marginal density), which is more resilient across political cycles and more legible to lenders than any single instrument optimised in isolation. Well-designed instruments can also steer development, not only finance it: by pricing the true cost of building in hazardous locations, charges and obligations can guide growth away from high-risk land rather than subsidising exposure to it (UN-Habitat et al., 2026).</w:t>
      </w:r>
    </w:p>
    <w:p w14:paraId="203C9F0B" w14:textId="77777777" w:rsidR="006D06C7" w:rsidRPr="00826382" w:rsidRDefault="00000000">
      <w:pPr>
        <w:rPr>
          <w:rFonts w:ascii="Calibri" w:hAnsi="Calibri" w:cs="Calibri"/>
        </w:rPr>
      </w:pPr>
      <w:r w:rsidRPr="00826382">
        <w:rPr>
          <w:rFonts w:ascii="Calibri" w:hAnsi="Calibri" w:cs="Calibri"/>
        </w:rPr>
        <w:t xml:space="preserve">The instruments map onto financing structures in distinct </w:t>
      </w:r>
      <w:proofErr w:type="gramStart"/>
      <w:r w:rsidRPr="00826382">
        <w:rPr>
          <w:rFonts w:ascii="Calibri" w:hAnsi="Calibri" w:cs="Calibri"/>
        </w:rPr>
        <w:t>ways, and</w:t>
      </w:r>
      <w:proofErr w:type="gramEnd"/>
      <w:r w:rsidRPr="00826382">
        <w:rPr>
          <w:rFonts w:ascii="Calibri" w:hAnsi="Calibri" w:cs="Calibri"/>
        </w:rPr>
        <w:t xml:space="preserve"> recognising the mapping helps cities sequence their efforts. Recurring user charges tied to a service, stormwater and water tariffs, produce the smoothest, most predictable streams and are therefore the strongest candidates for securitisation through revenue bonds, as Miami’s authority to issue bonds against its stormwater fee illustrates. Benefit-based charges such as betterment levies and special assessments capture larger but lumpier increments concentrated in the </w:t>
      </w:r>
      <w:proofErr w:type="gramStart"/>
      <w:r w:rsidRPr="00826382">
        <w:rPr>
          <w:rFonts w:ascii="Calibri" w:hAnsi="Calibri" w:cs="Calibri"/>
        </w:rPr>
        <w:t>zones</w:t>
      </w:r>
      <w:proofErr w:type="gramEnd"/>
      <w:r w:rsidRPr="00826382">
        <w:rPr>
          <w:rFonts w:ascii="Calibri" w:hAnsi="Calibri" w:cs="Calibri"/>
        </w:rPr>
        <w:t xml:space="preserve"> adaptation </w:t>
      </w:r>
      <w:proofErr w:type="gramStart"/>
      <w:r w:rsidRPr="00826382">
        <w:rPr>
          <w:rFonts w:ascii="Calibri" w:hAnsi="Calibri" w:cs="Calibri"/>
        </w:rPr>
        <w:t>improves, and</w:t>
      </w:r>
      <w:proofErr w:type="gramEnd"/>
      <w:r w:rsidRPr="00826382">
        <w:rPr>
          <w:rFonts w:ascii="Calibri" w:hAnsi="Calibri" w:cs="Calibri"/>
        </w:rPr>
        <w:t xml:space="preserve"> are well suited to financing discrete projects on a pay-as-you-go or short-tenor basis. One-off instruments such as the sale of building rights monetise marginal density and can seed a capital reserve or provide matching funds that improve the terms of concessional borrowing. A ring-fenced vehicle that pools these heterogeneous streams smooths their combined profile, and it is the pooled, indexed stream, rather than any single instrument, that a green or sustainability-linked bond or a multilateral lender ultimately underwrites. This is why instrument coordination is not merely good revenue practice but a precondition for leverage.</w:t>
      </w:r>
    </w:p>
    <w:p w14:paraId="50AE29CF" w14:textId="77777777" w:rsidR="006D06C7" w:rsidRPr="00826382" w:rsidRDefault="00000000">
      <w:pPr>
        <w:rPr>
          <w:rFonts w:ascii="Calibri" w:hAnsi="Calibri" w:cs="Calibri"/>
        </w:rPr>
      </w:pPr>
      <w:r w:rsidRPr="00826382">
        <w:rPr>
          <w:rFonts w:ascii="Calibri" w:hAnsi="Calibri" w:cs="Calibri"/>
        </w:rPr>
        <w:t xml:space="preserve">This is where dedicated facilities matter. The C40 Cities Finance Facility, for example, exists precisely to bring municipal projects to bankable, finance-ready maturity, and since 2015 has helped mobilise on the order of US$650 million for climate infrastructure across some 30 cities in Africa, Asia, and Latin America (C40 Cities, 2024). Such facilities tackle the demand-side, project-preparation bottleneck directly; land-based revenue complements them by supplying the repayment source once a project is structured. International guidance now converges on this logic, urging cities to maximise own-source revenue through green taxes and fees, to leverage their assets, including land, and to adopt risk-mitigation structures such as guarantees and first-loss tranches that overcome the creditworthiness barriers keeping well-managed </w:t>
      </w:r>
      <w:r w:rsidRPr="00826382">
        <w:rPr>
          <w:rFonts w:ascii="Calibri" w:hAnsi="Calibri" w:cs="Calibri"/>
        </w:rPr>
        <w:lastRenderedPageBreak/>
        <w:t>developing-country cities out of capital markets (Karapantsiou et al., 2026). These dynamics increasingly register in capital markets, where well-structured climate action can improve a city’s credit rating (C40 Cities, 2022), lowering the cost of the borrowing that land-based revenue is pledged to service. The fiscal case runs deeper than project cash flow: by lowering expected disaster losses, adaptation also shrinks the implicit contingent liability that cities and sovereigns carry for post-disaster relief and reconstruction (Hallegatte et al., 2017). A credible land-based revenue stream paired with a smaller contingent liability strengthens the public balance sheet on both sides, which is precisely what a sovereign or multilateral lender underwrites.</w:t>
      </w:r>
    </w:p>
    <w:p w14:paraId="4486C89C" w14:textId="77777777" w:rsidR="00011DC4" w:rsidRDefault="00000000">
      <w:r>
        <w:t>A symmetry runs through the argument that deserves to be made explicit, and that the city studies underlying this paper document in detail (Author, 2024a, 2024d, 2024e): if adaptation builds the land-based fiscal base, climate shocks erode it. Because municipal revenue is anchored in land and property values, a flood that damages, stigmatises, or renders uninsurable the affected stock lowers assessed values and, with them, the recurring revenue stream itself, even as the same event raises spending on relief and reconstruction, opening a fiscal scissor that contracts the base while expanding the call on it. The flood-risk discounts already visible in prices, about 6% in Copenhagen, 7.5% in Ho Chi Minh City, and 4.3 to 11% in Buenos Aires, are the standing capitalisation of this exposure, and realised events turn it into losses, such as the roughly US$465 million in real-estate value erased in Miami-Dade between 2005 and 2016 (McAlpine &amp; Porter, 2018), with financial-sector exposure to climate-affected collateral projected to rise several-fold (Danmarks Nationalbank, 2021). The implication for bankability is concrete: a revenue stream pledged to service debt is collateralised by the very assets the hazard threatens, so it should be stress-tested against hazard scenarios and paired with reserves or risk transfer, such as parametric cover or contingent credit, rather than treated as stationary. Seen this way, adaptation is also fiscal self-insurance: it defends the revenue base on which a city’s creditworthiness, and its capacity to finance the next round of adaptation, ultimately rest.</w:t>
      </w:r>
    </w:p>
    <w:p w14:paraId="01CADD6B"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4.3 Value preservation, value creation, and equity</w:t>
      </w:r>
    </w:p>
    <w:p w14:paraId="5E9D160E" w14:textId="77777777" w:rsidR="006D06C7" w:rsidRPr="00826382" w:rsidRDefault="00000000">
      <w:pPr>
        <w:rPr>
          <w:rFonts w:ascii="Calibri" w:hAnsi="Calibri" w:cs="Calibri"/>
        </w:rPr>
      </w:pPr>
      <w:r w:rsidRPr="00826382">
        <w:rPr>
          <w:rFonts w:ascii="Calibri" w:hAnsi="Calibri" w:cs="Calibri"/>
        </w:rPr>
        <w:t xml:space="preserve">The conceptual distinction between value preservation and value creation has direct fiscal consequences. Investments that merely protect existing assets stabilise a tax base that would otherwise erode; investments that unlock new development potential expand it. Buenos Aires shows that the second channel can dominate, the bulk of the US$379 million uplift arose from general-equilibrium effects as reduced risk made central locations attractive for densification </w:t>
      </w:r>
      <w:r w:rsidRPr="00826382">
        <w:rPr>
          <w:rFonts w:ascii="Calibri" w:hAnsi="Calibri" w:cs="Calibri"/>
        </w:rPr>
        <w:lastRenderedPageBreak/>
        <w:t xml:space="preserve">and in-migration, not simply from avoided damage. Because these effects are spatially concentrated (roughly 3.3% of the urban area captures the substantial increases), instruments targeted to zones of concentrated uplift can be more efficient and more equitable than uniform citywide adjustments. Yet LBF is not automatically progressive. Without explicit design it can overburden vulnerable residents in newly appreciated areas or concentrate resilience in higher-income neighbourhoods, the “resilience inequality” visible in Lagos, where formal adaptation finance reaches elite enclaves while informal settlements remain exposed. Equity must therefore be engineered into the financing rule, not appended to it: directing captured revenue toward neighbourhoods with lower baseline protection and services, foregrounding the incidence question (who pays, who benefits), and guarding against the displacement pressures that value creation can generate. The structure of climate finance, not only its volume, </w:t>
      </w:r>
      <w:proofErr w:type="gramStart"/>
      <w:r w:rsidRPr="00826382">
        <w:rPr>
          <w:rFonts w:ascii="Calibri" w:hAnsi="Calibri" w:cs="Calibri"/>
        </w:rPr>
        <w:t>shapes</w:t>
      </w:r>
      <w:proofErr w:type="gramEnd"/>
      <w:r w:rsidRPr="00826382">
        <w:rPr>
          <w:rFonts w:ascii="Calibri" w:hAnsi="Calibri" w:cs="Calibri"/>
        </w:rPr>
        <w:t xml:space="preserve"> whether it reaches the most exposed: where finance bypasses local fiscal systems it tends to concentrate in creditworthy, higher-income areas, leaving informal settlements dependent on community-led provision (Cities Alliance, 2024).</w:t>
      </w:r>
    </w:p>
    <w:p w14:paraId="4B63FC2B" w14:textId="77777777" w:rsidR="00011DC4" w:rsidRDefault="00000000">
      <w:r>
        <w:t>The equity of value capture is not a footnote to its efficiency but a test of its legitimacy. The case for recovering land-value increments rests on a fairness claim, that value created by public action and by the wider community, rather than by the owner, may properly return to the public (Smolka, 2013); but that claim holds only if the burden of recovery and the benefit of expenditure are themselves fairly distributed. Incidence, not the label on the instrument, decides the matter. The volumetric water tariffs that finance most of Copenhagen’s programme are regressive unless banded or lifeline-protected, since a flat charge takes a larger share of a poorer household’s income; Miami’s insurance-linked discounts and coastal works capitalise into higher-value owner-occupied property and largely bypass renters and inland neighbourhoods; and even a demonstrably non-regressive reassessment, as in New Haven, redistributes only if its proceeds are steered to under-served areas. Benefit-based charges such as the betterment levy and the special assessment sit closer to the benefit principle of local finance, asking those who gain to pay (Bird &amp; Slack, 2004), yet they too turn regressive where the gainers are disproportionately poor. The implication is a discipline, not a slogan: weigh incidence on both sides of the budget, collection and disbursement together, and build equity into instrument and tariff design from the outset rather than bolting it on afterwards.</w:t>
      </w:r>
    </w:p>
    <w:p w14:paraId="55CDC95F" w14:textId="77777777" w:rsidR="00011DC4" w:rsidRDefault="00000000">
      <w:r>
        <w:t xml:space="preserve">This bias, however, sits on the collection side and need not govern allocation. Because land-based finance recovers most value where land is valuable, the capturable base does concentrate in </w:t>
      </w:r>
      <w:r>
        <w:lastRenderedPageBreak/>
        <w:t>higher-value, higher-income areas, while the largest losses from climate shocks, measured in well-being rather than in asset value, fall on the poor, who are, in African and Asian cities alike, disproportionately settled in the flood-prone and otherwise hazardous locations that markets discount, and whose land commands little market value (Hallegatte et al., 2016, 2017; UN-Habitat et al., 2026). Yet who pays and who benefits are separable decisions. A ring-fenced fund that captures value where it is created and disburses it according to a needs-based rule, for example a municipal climate-adaptation trust fund whose allocation is governed by a vulnerability or sustainability index that prioritises the neighbourhoods with the lowest baseline access to protection and services, makes land-based finance itself redistributive rather than requiring a separate public programme (Smolka, 2013; Author, 2025). The stakes are concrete: access to urban green infrastructure in the Global South runs at roughly a third of the level in rich countries, and within-city inequality is far higher (a greenspace Gini of 0.47 against 0.27 in the Global North; UN-Habitat et al., 2026), so a portfolio that follows land value rather than need would deepen that gap rather than close it. The design principle is to capture where value is highest and invest where need is greatest, so that the well-being losses no land market prices are met precisely through the revenue that land markets generate. So configured, land-based finance can finance protection for low-value, high-vulnerability areas, provided the disbursement rule, not the geography of collection, drives the spending.</w:t>
      </w:r>
    </w:p>
    <w:p w14:paraId="52B333DA"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4.4 Transferability and policy implications</w:t>
      </w:r>
    </w:p>
    <w:p w14:paraId="3FD91314" w14:textId="77777777" w:rsidR="006D06C7" w:rsidRPr="00826382" w:rsidRDefault="00000000">
      <w:pPr>
        <w:rPr>
          <w:rFonts w:ascii="Calibri" w:hAnsi="Calibri" w:cs="Calibri"/>
        </w:rPr>
      </w:pPr>
      <w:r w:rsidRPr="00826382">
        <w:rPr>
          <w:rFonts w:ascii="Calibri" w:hAnsi="Calibri" w:cs="Calibri"/>
        </w:rPr>
        <w:t>What travels across these settings is not a single instrument but a sequence. The cases suggest that the path to LBF-financed adaptation runs through three sequential conditions, risk information, then capture institutions, then leverage, each of which is a prerequisite for the next (Figure 2). Cities cannot capture value that markets do not price, cannot pledge revenue they cannot reliably collect, and cannot leverage a stream that is not ring-fenced. This sequence reframes the policy question for constrained cities: the first investment is not a stormwater levy or a betterment charge but the cadastral, valuation, and disclosure infrastructure that makes any later instrument viable. It also clarifies why instrument transplants often fail, Lagos has a consolidated property tax on paper, yet a 30% compliance rate empties it of fiscal content. The instrument is necessary but not sufficient; the institutional substrate is what makes it work.</w:t>
      </w:r>
    </w:p>
    <w:p w14:paraId="05BDBACA" w14:textId="77777777" w:rsidR="006D06C7" w:rsidRPr="00826382" w:rsidRDefault="00000000">
      <w:pPr>
        <w:rPr>
          <w:rFonts w:ascii="Calibri" w:hAnsi="Calibri" w:cs="Calibri"/>
        </w:rPr>
      </w:pPr>
      <w:r w:rsidRPr="00826382">
        <w:rPr>
          <w:rFonts w:ascii="Calibri" w:hAnsi="Calibri" w:cs="Calibri"/>
        </w:rPr>
        <w:t xml:space="preserve">Three implications follow for cities and their financiers. First, mature-system instruments are templates, not </w:t>
      </w:r>
      <w:proofErr w:type="gramStart"/>
      <w:r w:rsidRPr="00826382">
        <w:rPr>
          <w:rFonts w:ascii="Calibri" w:hAnsi="Calibri" w:cs="Calibri"/>
        </w:rPr>
        <w:t>blueprints:</w:t>
      </w:r>
      <w:proofErr w:type="gramEnd"/>
      <w:r w:rsidRPr="00826382">
        <w:rPr>
          <w:rFonts w:ascii="Calibri" w:hAnsi="Calibri" w:cs="Calibri"/>
        </w:rPr>
        <w:t xml:space="preserve"> Copenhagen’s water-tariff model and Miami’s impervious-area stormwater fee both tie a recurring charge to a tangible service, a design principle that transfers </w:t>
      </w:r>
      <w:r w:rsidRPr="00826382">
        <w:rPr>
          <w:rFonts w:ascii="Calibri" w:hAnsi="Calibri" w:cs="Calibri"/>
        </w:rPr>
        <w:lastRenderedPageBreak/>
        <w:t>even where the specific legal vehicle does not. Second, the middle-income transition is the decisive frontier, Buenos Aires shows that demonstrating value creation is achievable well before capture is institutionalised, and that the policy task is to close that gap by legislating capture instruments and a ring-fenced vehicle while the political case is fresh. Third, for multilateral lenders and bond investors, the diagnostic that matters is not a city’s income level but its absorptive capacity; concessional finance and technical assistance are most catalytic when directed at building the cadastral and disclosure systems that convert latent value into pledgeable revenue, rather than at individual projects alone.</w:t>
      </w:r>
    </w:p>
    <w:p w14:paraId="5AB386A9" w14:textId="77777777" w:rsidR="00011DC4" w:rsidRDefault="00000000">
      <w:r>
        <w:t>Two clarifications guard against a Global-North reading. First, the positive land-based revenue evidence here comes from high- and middle-income cities, but the mechanism is not confined to them: Colombia’s contribución de valorización (a benefit-based betterment levy) has financed urban infrastructure in Bogotá and other cities for decades and remains the best-documented Majority-World case of land-based finance at scale (Smolka, 2013; OECD &amp; Lincoln Institute of Land Policy, 2022). Second, African evidence points the same way: a flagship review of land-based finance for African cities documents concrete reform pathways, from Freetown, where property-tax reform multiplied municipal revenue, to Lagos, where a simplified, formula-based valuation has outperformed technically sophisticated systems, while noting that stronger revenue mobilisation remains the unmet prerequisite for the creditworthiness most African cities still lack (UN-Habitat et al., 2026). The binding constraint, consistent with the absorption diagnosis, is less the instrument than the cadastral, valuation, and disclosure capacity that makes the revenue pledgeable.</w:t>
      </w:r>
    </w:p>
    <w:p w14:paraId="3441F2D6" w14:textId="77777777" w:rsidR="006D06C7" w:rsidRPr="00826382" w:rsidRDefault="00000000">
      <w:pPr>
        <w:pStyle w:val="Heading2"/>
        <w:rPr>
          <w:rFonts w:ascii="Calibri" w:hAnsi="Calibri" w:cs="Calibri"/>
          <w:b w:val="0"/>
          <w:bCs w:val="0"/>
          <w:sz w:val="22"/>
          <w:szCs w:val="22"/>
        </w:rPr>
      </w:pPr>
      <w:r w:rsidRPr="00826382">
        <w:rPr>
          <w:rFonts w:ascii="Calibri" w:hAnsi="Calibri" w:cs="Calibri"/>
          <w:b w:val="0"/>
          <w:bCs w:val="0"/>
          <w:sz w:val="22"/>
          <w:szCs w:val="22"/>
        </w:rPr>
        <w:t>4.5 Limitations</w:t>
      </w:r>
    </w:p>
    <w:p w14:paraId="610DD5BB" w14:textId="77777777" w:rsidR="006D06C7" w:rsidRPr="00826382" w:rsidRDefault="00000000">
      <w:pPr>
        <w:rPr>
          <w:rFonts w:ascii="Calibri" w:hAnsi="Calibri" w:cs="Calibri"/>
        </w:rPr>
      </w:pPr>
      <w:r w:rsidRPr="00826382">
        <w:rPr>
          <w:rFonts w:ascii="Calibri" w:hAnsi="Calibri" w:cs="Calibri"/>
        </w:rPr>
        <w:t>The study shares the limitations of comparative case research: variation in data availability and comparability across cities, reliance on secondary sources for some fiscal data, and the difficulty of attributing property-value changes specifically to adaptation versus other factors. The revenue and value figures are drawn from the most authoritative available estimates but differ in scope and methodology and should be read as indicative rather than strictly comparable; several, notably Buenos Aires’s value creation, are modelled rather than realised through capture. Future research should track LBF revenue from adaptation longitudinally, analyse distributional incidence empirically, and test whether demonstrated value creation can be reliably captured through betterment levies and property taxation in middle-income settings.</w:t>
      </w:r>
    </w:p>
    <w:p w14:paraId="6ACD468A"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lastRenderedPageBreak/>
        <w:t>5. Conclusion</w:t>
      </w:r>
    </w:p>
    <w:p w14:paraId="601813A4" w14:textId="77777777" w:rsidR="006D06C7" w:rsidRPr="00826382" w:rsidRDefault="00000000">
      <w:pPr>
        <w:rPr>
          <w:rFonts w:ascii="Calibri" w:hAnsi="Calibri" w:cs="Calibri"/>
        </w:rPr>
      </w:pPr>
      <w:r w:rsidRPr="00826382">
        <w:rPr>
          <w:rFonts w:ascii="Calibri" w:hAnsi="Calibri" w:cs="Calibri"/>
        </w:rPr>
        <w:t xml:space="preserve">This paper examined how land-based financing instruments generate revenue for climate adaptation across five cities spanning diverse institutional and market </w:t>
      </w:r>
      <w:proofErr w:type="gramStart"/>
      <w:r w:rsidRPr="00826382">
        <w:rPr>
          <w:rFonts w:ascii="Calibri" w:hAnsi="Calibri" w:cs="Calibri"/>
        </w:rPr>
        <w:t>conditions, and</w:t>
      </w:r>
      <w:proofErr w:type="gramEnd"/>
      <w:r w:rsidRPr="00826382">
        <w:rPr>
          <w:rFonts w:ascii="Calibri" w:hAnsi="Calibri" w:cs="Calibri"/>
        </w:rPr>
        <w:t xml:space="preserve"> used that evidence to define what makes an adaptation investment well-designed. Well-designed adaptation investments are those that simultaneously reduce climate risk, generate measurable land- and property-value increases, sustain benefit-cost ratios above one, operate within feasible institutions, and distribute costs and benefits equitably; this five-part definition gives cities and investors an operational test of bankability. The revenue evidence is concrete, not hypothetical: Copenhagen finances roughly €1.3 billion in cloudburst infrastructure mainly through water tariffs and recovers, via property tax, a share of an estimated €188 million in created value; Miami Beach raised over US$500 million through stormwater fees; Buenos Aires’s US$338 million investment created an estimated US$379 million in net land value.</w:t>
      </w:r>
    </w:p>
    <w:p w14:paraId="16B66FFE" w14:textId="77777777" w:rsidR="006D06C7" w:rsidRPr="00826382" w:rsidRDefault="00000000">
      <w:pPr>
        <w:rPr>
          <w:rFonts w:ascii="Calibri" w:hAnsi="Calibri" w:cs="Calibri"/>
        </w:rPr>
      </w:pPr>
      <w:r w:rsidRPr="00826382">
        <w:rPr>
          <w:rFonts w:ascii="Calibri" w:hAnsi="Calibri" w:cs="Calibri"/>
        </w:rPr>
        <w:t>Three conditions govern whether this potential is realised. Transparent risk information and functioning property markets are prerequisites, where risk is capitalised into prices (6% in Copenhagen, 7.5% in Ho Chi Minh City) the base for capture is visible; where it is under-priced (Lagos) there is little to recover. Institutional capacity, not instrument design, is the binding constraint, the same instrument produces radically different outcomes across Copenhagen and Lagos, so cities with weak systems need a phased path that builds registration, valuation, and disclosure first. And land-based revenue is the bridge to external climate finance: a predictable, ring-fenced stream is what makes an adaptation project bankable and closes the absorption gap from both sides, raising domestic revenue while building the institutions that let cities absorb external capital. For mayors and city decision-makers, the message is clear: adaptation generates value that can be captured to finance further adaptation and to attract international investors, and the first step is common to all, investing in the transparent risk information and fiscal institutions that let markets price climate risk and let cities capture the value adaptation creates. Consistent with the journal’s data-sharing policy, the study relies on publicly available secondary sources cited throughout; no new primary human-</w:t>
      </w:r>
      <w:proofErr w:type="gramStart"/>
      <w:r w:rsidRPr="00826382">
        <w:rPr>
          <w:rFonts w:ascii="Calibri" w:hAnsi="Calibri" w:cs="Calibri"/>
        </w:rPr>
        <w:t>subjects</w:t>
      </w:r>
      <w:proofErr w:type="gramEnd"/>
      <w:r w:rsidRPr="00826382">
        <w:rPr>
          <w:rFonts w:ascii="Calibri" w:hAnsi="Calibri" w:cs="Calibri"/>
        </w:rPr>
        <w:t xml:space="preserve"> data were generated.</w:t>
      </w:r>
    </w:p>
    <w:p w14:paraId="6FF32EF3" w14:textId="77777777" w:rsidR="006D06C7" w:rsidRPr="00826382" w:rsidRDefault="00000000">
      <w:pPr>
        <w:rPr>
          <w:rFonts w:ascii="Calibri" w:hAnsi="Calibri" w:cs="Calibri"/>
        </w:rPr>
      </w:pPr>
      <w:r w:rsidRPr="00826382">
        <w:rPr>
          <w:rFonts w:ascii="Calibri" w:hAnsi="Calibri" w:cs="Calibri"/>
        </w:rPr>
        <w:t>Acknowledgements, funding, and author contributions (CRediT) are provided on the separate title page in accordance with double-blind review.</w:t>
      </w:r>
    </w:p>
    <w:p w14:paraId="5F5D0BA6"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lastRenderedPageBreak/>
        <w:t>References</w:t>
      </w:r>
    </w:p>
    <w:p w14:paraId="0F94C463"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African Development Bank. (2018). Nigeria - Eko Atlantic City development: Shoreline protection, land reclamation, and city masterplanning (ESIA summary). African Development Bank.</w:t>
      </w:r>
    </w:p>
    <w:p w14:paraId="593EBEB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Alvarez Murillo, I. (2026). The absorption gap: An institutional readiness framework for water finance in Latin America (Policy brief). Convergence Advisory.</w:t>
      </w:r>
    </w:p>
    <w:p w14:paraId="57274786"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Asian Development Bank. (2010). Ho Chi Minh City adaptation to climate change. Asian Development Bank.</w:t>
      </w:r>
    </w:p>
    <w:p w14:paraId="18EFBFB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Author. (2024a). Copenhagen’s climate adaptation journey: Navigating risks, markets, and financing [Working paper]. [Reference details withheld for double-blind review.]</w:t>
      </w:r>
    </w:p>
    <w:p w14:paraId="409B8A41"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Author. (2024b). Aligning land, real estate markets and climate resilience strategies in Lagos [Working paper]. [Reference details withheld for double-blind review.]</w:t>
      </w:r>
    </w:p>
    <w:p w14:paraId="2A13BC3A"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Author. (2024c). Land-based financing instruments for climate action: Ho Chi Minh City case study [Working paper]. [Reference details withheld for double-blind review.]</w:t>
      </w:r>
    </w:p>
    <w:p w14:paraId="5228C40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Author. (2024d). Miami’s climate adaptation: Land markets, financing, and resilience [Working paper]. [Reference details withheld for double-blind review.]</w:t>
      </w:r>
    </w:p>
    <w:p w14:paraId="00F51AE9"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Author. (2024e). Buenos Aires: Land markets, flood risk pricing, and adaptation investments [Working paper]. [Reference details withheld for double-blind review.]</w:t>
      </w:r>
    </w:p>
    <w:p w14:paraId="5616125E" w14:textId="77777777" w:rsidR="00011DC4" w:rsidRDefault="00000000">
      <w:pPr>
        <w:spacing w:after="80" w:line="240" w:lineRule="auto"/>
        <w:ind w:left="720" w:hanging="720"/>
      </w:pPr>
      <w:r>
        <w:rPr>
          <w:sz w:val="20"/>
        </w:rPr>
        <w:t>Author. (2025). Multi-instrument land value capture and a municipal climate-adaptation trust fund: Evidence from a semi-arid Argentine municipality [Working paper]. [Reference details withheld for double-blind review.]</w:t>
      </w:r>
    </w:p>
    <w:p w14:paraId="27CB830F"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Avner, P., Rentschler, J., &amp; Hallegatte, S. (2022). Flood protection and land value creation: Evidence from Buenos Aires (Policy Research Working Paper). World Bank.</w:t>
      </w:r>
    </w:p>
    <w:p w14:paraId="456F8C66" w14:textId="77777777" w:rsidR="00011DC4" w:rsidRDefault="00000000">
      <w:pPr>
        <w:spacing w:after="80" w:line="240" w:lineRule="auto"/>
        <w:ind w:left="720" w:hanging="720"/>
      </w:pPr>
      <w:r>
        <w:rPr>
          <w:sz w:val="20"/>
        </w:rPr>
        <w:t xml:space="preserve">Bird, R. M., &amp; Slack, E. (Eds.). (2004). </w:t>
      </w:r>
      <w:r>
        <w:rPr>
          <w:i/>
          <w:sz w:val="20"/>
        </w:rPr>
        <w:t>International handbook of land and property taxation</w:t>
      </w:r>
      <w:r>
        <w:rPr>
          <w:sz w:val="20"/>
        </w:rPr>
        <w:t>. Edward Elgar.</w:t>
      </w:r>
    </w:p>
    <w:p w14:paraId="6369F680"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Brueckner, J. K. (2011). Lectures on urban economics. MIT Press.</w:t>
      </w:r>
    </w:p>
    <w:p w14:paraId="73227758"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C40 Cities. (2022). Why all cities need to adapt to climate change (Policy brief). C40 Knowledge Hub. https://www.c40knowledgehub.org/s/article/Why-all-cities-need-to-adapt-to-climate-change</w:t>
      </w:r>
    </w:p>
    <w:p w14:paraId="0C496BEC"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C40 Cities. (2023). Building the financial case for urban adaptation: Guidance and case studies. C40 Knowledge Hub. https://www.c40knowledgehub.org</w:t>
      </w:r>
    </w:p>
    <w:p w14:paraId="77BE076F"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C40 Cities. (2024). C40 Cities Finance Facility. C40 Cities. https://c40cff.org</w:t>
      </w:r>
    </w:p>
    <w:p w14:paraId="50303133"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Cities Alliance. (2024). Unlocking just urban climate finance: Why structure matters. Cities Alliance.</w:t>
      </w:r>
    </w:p>
    <w:p w14:paraId="63DC3F60"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City of Copenhagen. (2012). Cloudburst management plan. City of Copenhagen.</w:t>
      </w:r>
    </w:p>
    <w:p w14:paraId="13783B84"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Cohen, J. P., Dietz, M., &amp; Huang, Y. (2023). Green infrastructure, home values, land value capture, and equitable property assessment (Working Paper WP23JC1). Lincoln Institute of Land Policy.</w:t>
      </w:r>
    </w:p>
    <w:p w14:paraId="068FF12D"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Collier, P., Glaeser, E. L., Venables, A. J., Blake, M., &amp; Manwaring, P. (2017). Land and property taxes for municipal finance. International Growth Centre.</w:t>
      </w:r>
    </w:p>
    <w:p w14:paraId="5B2403F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Croitoru, L., Chang, J. C., &amp; Kelly, A. (2020). The cost of coastal zone degradation in Nigeria. World Bank and PROBLUE.</w:t>
      </w:r>
    </w:p>
    <w:p w14:paraId="0FBA0D6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lastRenderedPageBreak/>
        <w:t>Danmarks Nationalbank. (2021). Climate-related risks in the Danish financial sector. Danmarks Nationalbank.</w:t>
      </w:r>
    </w:p>
    <w:p w14:paraId="6FA0F1FF"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European Environment Agency. (2016). The economics of managing heavy rains and stormwater in Copenhagen (Climate-ADAPT case study). European Environment Agency.</w:t>
      </w:r>
    </w:p>
    <w:p w14:paraId="0C70ABB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General Statistics Office. (2018). Statistical yearbook of Vietnam. General Statistics Office.</w:t>
      </w:r>
    </w:p>
    <w:p w14:paraId="59784A7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Glaeser, E. L., Gyourko, J., &amp; Saks, R. (2005). Why have housing prices gone up? American Economic Review, 95(2), 329-333.</w:t>
      </w:r>
    </w:p>
    <w:p w14:paraId="76CEBAC2"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Gorey, J. (2026). How land value capture can support biodiversity, disaster recovery, and climate adaptation. Land Lines. Lincoln Institute of Land Policy.</w:t>
      </w:r>
    </w:p>
    <w:p w14:paraId="73DF8F65" w14:textId="77777777" w:rsidR="00011DC4" w:rsidRDefault="00000000">
      <w:pPr>
        <w:spacing w:after="80" w:line="240" w:lineRule="auto"/>
        <w:ind w:left="720" w:hanging="720"/>
      </w:pPr>
      <w:r>
        <w:rPr>
          <w:sz w:val="20"/>
        </w:rPr>
        <w:t xml:space="preserve">Hallegatte, S., Bangalore, M., Bonzanigo, L., Fay, M., Kane, T., Narloch, U., Rozenberg, J., Treguer, D., &amp; Vogt-Schilb, A. (2016). </w:t>
      </w:r>
      <w:r>
        <w:rPr>
          <w:i/>
          <w:sz w:val="20"/>
        </w:rPr>
        <w:t>Shock waves: Managing the impacts of climate change on poverty</w:t>
      </w:r>
      <w:r>
        <w:rPr>
          <w:sz w:val="20"/>
        </w:rPr>
        <w:t>. World Bank.</w:t>
      </w:r>
    </w:p>
    <w:p w14:paraId="628D1DAF" w14:textId="77777777" w:rsidR="00011DC4" w:rsidRDefault="00000000">
      <w:pPr>
        <w:spacing w:after="80" w:line="240" w:lineRule="auto"/>
        <w:ind w:left="720" w:hanging="720"/>
      </w:pPr>
      <w:r>
        <w:rPr>
          <w:sz w:val="20"/>
        </w:rPr>
        <w:t xml:space="preserve">Hallegatte, S., Vogt-Schilb, A., Bangalore, M., &amp; Rozenberg, J. (2017). </w:t>
      </w:r>
      <w:r>
        <w:rPr>
          <w:i/>
          <w:sz w:val="20"/>
        </w:rPr>
        <w:t>Unbreakable: Building the resilience of the poor in the face of natural disasters</w:t>
      </w:r>
      <w:r>
        <w:rPr>
          <w:sz w:val="20"/>
        </w:rPr>
        <w:t>. World Bank.</w:t>
      </w:r>
    </w:p>
    <w:p w14:paraId="5AB8B67D" w14:textId="77777777" w:rsidR="00011DC4" w:rsidRDefault="00000000">
      <w:pPr>
        <w:spacing w:after="80" w:line="240" w:lineRule="auto"/>
        <w:ind w:left="720" w:hanging="720"/>
      </w:pPr>
      <w:r>
        <w:rPr>
          <w:sz w:val="20"/>
        </w:rPr>
        <w:t xml:space="preserve">Hallegatte, S., Rentschler, J., &amp; Rozenberg, J. (2019). </w:t>
      </w:r>
      <w:r>
        <w:rPr>
          <w:i/>
          <w:sz w:val="20"/>
        </w:rPr>
        <w:t>Lifelines: The resilient infrastructure opportunity</w:t>
      </w:r>
      <w:r>
        <w:rPr>
          <w:sz w:val="20"/>
        </w:rPr>
        <w:t>. World Bank.</w:t>
      </w:r>
    </w:p>
    <w:p w14:paraId="7B3DB32C"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Hino, M., &amp; Burke, M. (2021). The effect of information about climate risk on property values. Proceedings of the National Academy of Sciences, 118(17), e2003374118.</w:t>
      </w:r>
    </w:p>
    <w:p w14:paraId="090F900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Intergovernmental Panel on Climate Change. (2022). Climate change 2022: Impacts, adaptation and vulnerability. Cambridge University Press.</w:t>
      </w:r>
    </w:p>
    <w:p w14:paraId="3516204F"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Karapantsiou, A., Korte, J., Anand, R., Ranalder, L., &amp; Cassanmagnago, D. (2026). Systemic readiness for climate action: Preparing for the 2027 IPCC Special Report on Climate Change and Cities. Deutsche Gesellschaft für Internationale Zusammenarbeit (GIZ), UN-Habitat, &amp; Global Covenant of Mayors for Climate and Energy.</w:t>
      </w:r>
    </w:p>
    <w:p w14:paraId="2CE24B85"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Katz, B., &amp; Noring, L. (2017). The Copenhagen City and Port Development Corporation. Brookings Institution.</w:t>
      </w:r>
    </w:p>
    <w:p w14:paraId="0077F879"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Leitold, R., Revilla Diez, J., &amp; Tran, V. (2020). Are we expecting too much from the private sector in flood adaptation? Climatic Change, 163(1), 359-378.</w:t>
      </w:r>
    </w:p>
    <w:p w14:paraId="1583F48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McAlpine, S. A., &amp; Porter, J. R. (2018). Estimating recent local impacts of sea-level rise on current real-estate losses: A housing market case study in Miami-Dade, Florida. Population Research and Policy Review, 37, 871-895.</w:t>
      </w:r>
    </w:p>
    <w:p w14:paraId="0249A0B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Mirone, G., &amp; Poeschl, J. (2021). Flood risk discounts in the Danish housing market (Economic Memo). Danmarks Nationalbank.</w:t>
      </w:r>
    </w:p>
    <w:p w14:paraId="5DA74324"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MSCI Institute. (2026). What the market thinks: How global insurers are responding to rising physical risk (R. Mahmood, P. Palena, &amp; D. Carlin, Authors). MSCI Institute.</w:t>
      </w:r>
    </w:p>
    <w:p w14:paraId="74C7962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Nguyen, H. T. B., Miller, N. G., Pham, N. K., &amp; Truong, H. T. (2022). Flood risk and buyer search behavior in Ho Chi Minh City. International Journal of Housing Markets and Analysis, 15(4), 895-909.</w:t>
      </w:r>
    </w:p>
    <w:p w14:paraId="27D9508F"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Obiefuna, J., Adeaga, O., Omojola, A., Atagbaza, A., &amp; Okolie, C. (2021). Flood risks to urban development on the Lekki Peninsula, Lagos, Nigeria. Scientific African, 12, e00787.</w:t>
      </w:r>
    </w:p>
    <w:p w14:paraId="56F43C5D"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Organisation for Economic Co-operation and Development. (2020). Financing water supply, sanitation and flood protection. OECD Publishing.</w:t>
      </w:r>
    </w:p>
    <w:p w14:paraId="72BCA163"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lastRenderedPageBreak/>
        <w:t>Organisation for Economic Co-operation and Development, &amp; Lincoln Institute of Land Policy. (2022). Global compendium of land value capture policies. OECD Publishing.</w:t>
      </w:r>
    </w:p>
    <w:p w14:paraId="4988387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Revilla Diez, J., Leitold, R., Tran, V., &amp; Garschagen, M. (2023). Micro-business participation in collective flood adaptation in Ho Chi Minh City [Preprint]. EGUsphere.</w:t>
      </w:r>
    </w:p>
    <w:p w14:paraId="09EC1869"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Smolka, M. O. (2013). Implementing value capture in Latin America: Policies and tools for urban development. Lincoln Institute of Land Policy.</w:t>
      </w:r>
    </w:p>
    <w:p w14:paraId="4171376E" w14:textId="77777777" w:rsidR="00011DC4" w:rsidRDefault="00000000">
      <w:pPr>
        <w:spacing w:after="80" w:line="240" w:lineRule="auto"/>
        <w:ind w:left="720" w:hanging="720"/>
      </w:pPr>
      <w:r>
        <w:rPr>
          <w:sz w:val="20"/>
        </w:rPr>
        <w:t xml:space="preserve">UN-Habitat, Lincoln Institute of Land Policy, &amp; World Resources Institute. (2026). </w:t>
      </w:r>
      <w:r>
        <w:rPr>
          <w:i/>
          <w:sz w:val="20"/>
        </w:rPr>
        <w:t>State of African cities report 2026: Harnessing the value of urban land for socioeconomic transformation in African cities</w:t>
      </w:r>
      <w:r>
        <w:rPr>
          <w:sz w:val="20"/>
        </w:rPr>
        <w:t>. UN-Habitat.</w:t>
      </w:r>
    </w:p>
    <w:p w14:paraId="2F685526"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United Nations Environment Programme. (2023). Adaptation gap report 2023. United Nations Environment Programme.</w:t>
      </w:r>
    </w:p>
    <w:p w14:paraId="509752A5"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Vousdoukas, M. I., Mentaschi, L., Hinkel, J., Voukouvalas, E., Mongelli, I., Ciscar, J.-C., &amp; Feyen, L. (2020). Economic motivation for raising coastal flood defenses in Europe. Nature Communications, 11, 2119.</w:t>
      </w:r>
    </w:p>
    <w:p w14:paraId="584A547D" w14:textId="77777777" w:rsidR="006D06C7" w:rsidRPr="00826382" w:rsidRDefault="00000000">
      <w:pPr>
        <w:spacing w:after="80" w:line="240" w:lineRule="auto"/>
        <w:ind w:left="720" w:hanging="720"/>
        <w:rPr>
          <w:rFonts w:ascii="Calibri" w:hAnsi="Calibri" w:cs="Calibri"/>
        </w:rPr>
      </w:pPr>
      <w:r w:rsidRPr="00D22C55">
        <w:rPr>
          <w:rFonts w:ascii="Calibri" w:hAnsi="Calibri" w:cs="Calibri"/>
          <w:highlight w:val="cyan"/>
        </w:rPr>
        <w:t>Welch, P., &amp; Maldonado, M. L.</w:t>
      </w:r>
      <w:r w:rsidRPr="00826382">
        <w:rPr>
          <w:rFonts w:ascii="Calibri" w:hAnsi="Calibri" w:cs="Calibri"/>
        </w:rPr>
        <w:t xml:space="preserve"> (2023). Land-based financing approaches for climate action. Lincoln Institute of Land Policy.</w:t>
      </w:r>
    </w:p>
    <w:p w14:paraId="3698235E"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Whittaker, S., &amp; Jespersen, K. (2022). Stretching or conforming? Financing urban climate change adaptation in Copenhagen. Buildings and Cities, 3(1), 974-999.</w:t>
      </w:r>
    </w:p>
    <w:p w14:paraId="05918C7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World Bank. (2016). From oil to cities: Nigeria’s next transformation. World Bank.</w:t>
      </w:r>
    </w:p>
    <w:p w14:paraId="3BC6775D"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World Bank. (2019). Financing a resilient urban future. World Bank.</w:t>
      </w:r>
    </w:p>
    <w:p w14:paraId="47DE0539"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World Bank. (2021). Lagos State: Public finance review. World Bank.</w:t>
      </w:r>
    </w:p>
    <w:p w14:paraId="2B7B3EC4"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World Bank. (2022). Vietnam country climate and development report. World Bank.</w:t>
      </w:r>
    </w:p>
    <w:p w14:paraId="32239DA0"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World Bank. (2026). Cities under water: Charting a resilient future in an urbanizing world. World Bank.</w:t>
      </w:r>
    </w:p>
    <w:p w14:paraId="1B62D45A"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Yin, R. K. (2018). Case study research and applications: Design and methods (6th ed.). Sage.</w:t>
      </w:r>
    </w:p>
    <w:p w14:paraId="39793047" w14:textId="77777777" w:rsidR="006D06C7" w:rsidRPr="00826382" w:rsidRDefault="00000000">
      <w:pPr>
        <w:spacing w:after="80" w:line="240" w:lineRule="auto"/>
        <w:ind w:left="720" w:hanging="720"/>
        <w:rPr>
          <w:rFonts w:ascii="Calibri" w:hAnsi="Calibri" w:cs="Calibri"/>
        </w:rPr>
      </w:pPr>
      <w:r w:rsidRPr="00826382">
        <w:rPr>
          <w:rFonts w:ascii="Calibri" w:hAnsi="Calibri" w:cs="Calibri"/>
        </w:rPr>
        <w:t>Ziersen, J., Clauson-Kaas, J., &amp; Rasmussen, J. (2017). The role of Greater Copenhagen Utility in implementing the city’s cloudburst management plan. Water Practice and Technology, 12(4), 813-819.</w:t>
      </w:r>
    </w:p>
    <w:p w14:paraId="793DD461" w14:textId="77777777" w:rsidR="006D06C7" w:rsidRPr="00826382" w:rsidRDefault="006D06C7">
      <w:pPr>
        <w:rPr>
          <w:rFonts w:ascii="Calibri" w:hAnsi="Calibri" w:cs="Calibri"/>
        </w:rPr>
      </w:pPr>
    </w:p>
    <w:p w14:paraId="54097D1B" w14:textId="77777777" w:rsidR="00011DC4" w:rsidRDefault="00000000">
      <w:pPr>
        <w:pStyle w:val="Heading1"/>
      </w:pPr>
      <w:r>
        <w:t>Figure captions and legends</w:t>
      </w:r>
    </w:p>
    <w:p w14:paraId="0B1155FF" w14:textId="77777777" w:rsidR="00011DC4" w:rsidRDefault="00000000">
      <w:r>
        <w:rPr>
          <w:sz w:val="20"/>
        </w:rPr>
        <w:t>Figure 1. The financing nexus: from adaptation value to bankable climate finance. Well-designed adaptation creates land and property value; land-based instruments capture a share of it as a ring-fenced, predictable revenue stream; that stream makes the project bankable and unlocks bond and multilateral climate finance, which in turn finances further adaptation. A needs-based disbursement rule governs allocation for equity. Source: own elaboration.</w:t>
      </w:r>
    </w:p>
    <w:p w14:paraId="331CBB4E" w14:textId="77777777" w:rsidR="00011DC4" w:rsidRDefault="00000000">
      <w:r>
        <w:rPr>
          <w:sz w:val="20"/>
        </w:rPr>
        <w:t>Figure 2. The readiness sequence for land-based adaptation finance. Three cumulative stages, risk information, capture institutions, then leverage, each a prerequisite for the next, mapped to the four readiness tiers from constrained to mature. Source: own elaboration.</w:t>
      </w:r>
    </w:p>
    <w:p w14:paraId="704A647E" w14:textId="77777777" w:rsidR="006D06C7" w:rsidRPr="00826382" w:rsidRDefault="00000000">
      <w:pPr>
        <w:pStyle w:val="Heading1"/>
        <w:rPr>
          <w:rFonts w:ascii="Calibri" w:hAnsi="Calibri" w:cs="Calibri"/>
          <w:b w:val="0"/>
          <w:bCs w:val="0"/>
          <w:sz w:val="22"/>
          <w:szCs w:val="22"/>
        </w:rPr>
      </w:pPr>
      <w:r w:rsidRPr="00826382">
        <w:rPr>
          <w:rFonts w:ascii="Calibri" w:hAnsi="Calibri" w:cs="Calibri"/>
          <w:b w:val="0"/>
          <w:bCs w:val="0"/>
          <w:sz w:val="22"/>
          <w:szCs w:val="22"/>
        </w:rPr>
        <w:lastRenderedPageBreak/>
        <w:t>Tables</w:t>
      </w:r>
    </w:p>
    <w:p w14:paraId="70FE28B6" w14:textId="77777777" w:rsidR="006D06C7" w:rsidRPr="00826382" w:rsidRDefault="00000000">
      <w:pPr>
        <w:rPr>
          <w:rFonts w:ascii="Calibri" w:hAnsi="Calibri" w:cs="Calibri"/>
        </w:rPr>
      </w:pPr>
      <w:r w:rsidRPr="00826382">
        <w:rPr>
          <w:rFonts w:ascii="Calibri" w:hAnsi="Calibri" w:cs="Calibri"/>
        </w:rPr>
        <w:t>Table 1. Case-study overview: cities, climate risks, instruments, and implementation status.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06C7" w:rsidRPr="00826382" w14:paraId="70AB69B0" w14:textId="77777777" w:rsidTr="006D06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6CC062" w14:textId="77777777" w:rsidR="006D06C7" w:rsidRPr="00826382" w:rsidRDefault="00000000">
            <w:pPr>
              <w:rPr>
                <w:rFonts w:ascii="Calibri" w:hAnsi="Calibri" w:cs="Calibri"/>
                <w:b w:val="0"/>
                <w:bCs w:val="0"/>
              </w:rPr>
            </w:pPr>
            <w:r w:rsidRPr="00826382">
              <w:rPr>
                <w:rFonts w:ascii="Calibri" w:hAnsi="Calibri" w:cs="Calibri"/>
                <w:b w:val="0"/>
                <w:bCs w:val="0"/>
              </w:rPr>
              <w:t>City (income level)</w:t>
            </w:r>
          </w:p>
        </w:tc>
        <w:tc>
          <w:tcPr>
            <w:tcW w:w="1728" w:type="dxa"/>
          </w:tcPr>
          <w:p w14:paraId="241D4998"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Primary climate risk</w:t>
            </w:r>
          </w:p>
        </w:tc>
        <w:tc>
          <w:tcPr>
            <w:tcW w:w="1728" w:type="dxa"/>
          </w:tcPr>
          <w:p w14:paraId="129D0578"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LBF instruments analysed</w:t>
            </w:r>
          </w:p>
        </w:tc>
        <w:tc>
          <w:tcPr>
            <w:tcW w:w="1728" w:type="dxa"/>
          </w:tcPr>
          <w:p w14:paraId="2CE77761"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Market / risk capitalisation</w:t>
            </w:r>
          </w:p>
        </w:tc>
        <w:tc>
          <w:tcPr>
            <w:tcW w:w="1728" w:type="dxa"/>
          </w:tcPr>
          <w:p w14:paraId="46DB9336"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Implementation status</w:t>
            </w:r>
          </w:p>
        </w:tc>
      </w:tr>
      <w:tr w:rsidR="006D06C7" w:rsidRPr="00826382" w14:paraId="2D27AF67"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02746D" w14:textId="77777777" w:rsidR="006D06C7" w:rsidRPr="00826382" w:rsidRDefault="00000000">
            <w:pPr>
              <w:rPr>
                <w:rFonts w:ascii="Calibri" w:hAnsi="Calibri" w:cs="Calibri"/>
                <w:b w:val="0"/>
                <w:bCs w:val="0"/>
              </w:rPr>
            </w:pPr>
            <w:r w:rsidRPr="00826382">
              <w:rPr>
                <w:rFonts w:ascii="Calibri" w:hAnsi="Calibri" w:cs="Calibri"/>
                <w:b w:val="0"/>
                <w:bCs w:val="0"/>
              </w:rPr>
              <w:t>Copenhagen (high)</w:t>
            </w:r>
          </w:p>
        </w:tc>
        <w:tc>
          <w:tcPr>
            <w:tcW w:w="1728" w:type="dxa"/>
          </w:tcPr>
          <w:p w14:paraId="28398497"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Cloudburst &amp; coastal flooding</w:t>
            </w:r>
          </w:p>
        </w:tc>
        <w:tc>
          <w:tcPr>
            <w:tcW w:w="1728" w:type="dxa"/>
          </w:tcPr>
          <w:p w14:paraId="41A06C99"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Water tariffs; property-tax capture of blue-green uplift; private works</w:t>
            </w:r>
          </w:p>
        </w:tc>
        <w:tc>
          <w:tcPr>
            <w:tcW w:w="1728" w:type="dxa"/>
          </w:tcPr>
          <w:p w14:paraId="4272F7F5"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Mature; 6% flood-risk discount</w:t>
            </w:r>
          </w:p>
        </w:tc>
        <w:tc>
          <w:tcPr>
            <w:tcW w:w="1728" w:type="dxa"/>
          </w:tcPr>
          <w:p w14:paraId="4F9F4BB1"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Implemented at scale</w:t>
            </w:r>
          </w:p>
        </w:tc>
      </w:tr>
      <w:tr w:rsidR="006D06C7" w:rsidRPr="00826382" w14:paraId="66901E2B" w14:textId="77777777" w:rsidTr="006D06C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80BDAF" w14:textId="77777777" w:rsidR="006D06C7" w:rsidRPr="00826382" w:rsidRDefault="00000000">
            <w:pPr>
              <w:rPr>
                <w:rFonts w:ascii="Calibri" w:hAnsi="Calibri" w:cs="Calibri"/>
                <w:b w:val="0"/>
                <w:bCs w:val="0"/>
              </w:rPr>
            </w:pPr>
            <w:r w:rsidRPr="00826382">
              <w:rPr>
                <w:rFonts w:ascii="Calibri" w:hAnsi="Calibri" w:cs="Calibri"/>
                <w:b w:val="0"/>
                <w:bCs w:val="0"/>
              </w:rPr>
              <w:t>Miami-Dade (high)</w:t>
            </w:r>
          </w:p>
        </w:tc>
        <w:tc>
          <w:tcPr>
            <w:tcW w:w="1728" w:type="dxa"/>
          </w:tcPr>
          <w:p w14:paraId="73F9D669"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Sea-level rise, surge, tidal flooding</w:t>
            </w:r>
          </w:p>
        </w:tc>
        <w:tc>
          <w:tcPr>
            <w:tcW w:w="1728" w:type="dxa"/>
          </w:tcPr>
          <w:p w14:paraId="52A3734E"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Stormwater fee (impervious area); revenue bonds; CRS insurance incentives</w:t>
            </w:r>
          </w:p>
        </w:tc>
        <w:tc>
          <w:tcPr>
            <w:tcW w:w="1728" w:type="dxa"/>
          </w:tcPr>
          <w:p w14:paraId="638B463C"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Mature but NFIP-distorted; 3-5% overvaluation</w:t>
            </w:r>
          </w:p>
        </w:tc>
        <w:tc>
          <w:tcPr>
            <w:tcW w:w="1728" w:type="dxa"/>
          </w:tcPr>
          <w:p w14:paraId="71124FE6"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Implemented</w:t>
            </w:r>
          </w:p>
        </w:tc>
      </w:tr>
      <w:tr w:rsidR="006D06C7" w:rsidRPr="00826382" w14:paraId="2436FE3A"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1E23BF3" w14:textId="77777777" w:rsidR="006D06C7" w:rsidRPr="00826382" w:rsidRDefault="00000000">
            <w:pPr>
              <w:rPr>
                <w:rFonts w:ascii="Calibri" w:hAnsi="Calibri" w:cs="Calibri"/>
                <w:b w:val="0"/>
                <w:bCs w:val="0"/>
              </w:rPr>
            </w:pPr>
            <w:r w:rsidRPr="00826382">
              <w:rPr>
                <w:rFonts w:ascii="Calibri" w:hAnsi="Calibri" w:cs="Calibri"/>
                <w:b w:val="0"/>
                <w:bCs w:val="0"/>
              </w:rPr>
              <w:t>Buenos Aires (middle)</w:t>
            </w:r>
          </w:p>
        </w:tc>
        <w:tc>
          <w:tcPr>
            <w:tcW w:w="1728" w:type="dxa"/>
          </w:tcPr>
          <w:p w14:paraId="1F22BB70"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Riverine &amp; pluvial flooding</w:t>
            </w:r>
          </w:p>
        </w:tc>
        <w:tc>
          <w:tcPr>
            <w:tcW w:w="1728" w:type="dxa"/>
          </w:tcPr>
          <w:p w14:paraId="127D6938"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Demonstrated value creation; LVC (building-rights, betterment) under exploration</w:t>
            </w:r>
          </w:p>
        </w:tc>
        <w:tc>
          <w:tcPr>
            <w:tcW w:w="1728" w:type="dxa"/>
          </w:tcPr>
          <w:p w14:paraId="703A3F4A"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Functioning; 4.3-11% discount</w:t>
            </w:r>
          </w:p>
        </w:tc>
        <w:tc>
          <w:tcPr>
            <w:tcW w:w="1728" w:type="dxa"/>
          </w:tcPr>
          <w:p w14:paraId="059AF1B2"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Value created; capture not institutionalised</w:t>
            </w:r>
          </w:p>
        </w:tc>
      </w:tr>
      <w:tr w:rsidR="006D06C7" w:rsidRPr="00826382" w14:paraId="5B58E42E" w14:textId="77777777" w:rsidTr="006D06C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C3B243" w14:textId="77777777" w:rsidR="006D06C7" w:rsidRPr="00826382" w:rsidRDefault="00000000">
            <w:pPr>
              <w:rPr>
                <w:rFonts w:ascii="Calibri" w:hAnsi="Calibri" w:cs="Calibri"/>
                <w:b w:val="0"/>
                <w:bCs w:val="0"/>
              </w:rPr>
            </w:pPr>
            <w:r w:rsidRPr="00826382">
              <w:rPr>
                <w:rFonts w:ascii="Calibri" w:hAnsi="Calibri" w:cs="Calibri"/>
                <w:b w:val="0"/>
                <w:bCs w:val="0"/>
              </w:rPr>
              <w:t>Ho Chi Minh City (lower-middle)</w:t>
            </w:r>
          </w:p>
        </w:tc>
        <w:tc>
          <w:tcPr>
            <w:tcW w:w="1728" w:type="dxa"/>
          </w:tcPr>
          <w:p w14:paraId="2A9AA136"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Tidal &amp; pluvial flooding, subsidence</w:t>
            </w:r>
          </w:p>
        </w:tc>
        <w:tc>
          <w:tcPr>
            <w:tcW w:w="1728" w:type="dxa"/>
          </w:tcPr>
          <w:p w14:paraId="09276B9D"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Land-use fees; land-use-rights transfers; property tax under consideration</w:t>
            </w:r>
          </w:p>
        </w:tc>
        <w:tc>
          <w:tcPr>
            <w:tcW w:w="1728" w:type="dxa"/>
          </w:tcPr>
          <w:p w14:paraId="48581517"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Emerging; 7.5% discount</w:t>
            </w:r>
          </w:p>
        </w:tc>
        <w:tc>
          <w:tcPr>
            <w:tcW w:w="1728" w:type="dxa"/>
          </w:tcPr>
          <w:p w14:paraId="762DEFE4"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Constrained; reform pending</w:t>
            </w:r>
          </w:p>
        </w:tc>
      </w:tr>
      <w:tr w:rsidR="006D06C7" w:rsidRPr="00826382" w14:paraId="611B61BD"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369731" w14:textId="77777777" w:rsidR="006D06C7" w:rsidRPr="00826382" w:rsidRDefault="00000000">
            <w:pPr>
              <w:rPr>
                <w:rFonts w:ascii="Calibri" w:hAnsi="Calibri" w:cs="Calibri"/>
                <w:b w:val="0"/>
                <w:bCs w:val="0"/>
              </w:rPr>
            </w:pPr>
            <w:r w:rsidRPr="00826382">
              <w:rPr>
                <w:rFonts w:ascii="Calibri" w:hAnsi="Calibri" w:cs="Calibri"/>
                <w:b w:val="0"/>
                <w:bCs w:val="0"/>
              </w:rPr>
              <w:t>Lagos (low)</w:t>
            </w:r>
          </w:p>
        </w:tc>
        <w:tc>
          <w:tcPr>
            <w:tcW w:w="1728" w:type="dxa"/>
          </w:tcPr>
          <w:p w14:paraId="555334E0"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 xml:space="preserve">Coastal &amp; pluvial </w:t>
            </w:r>
            <w:r w:rsidRPr="00826382">
              <w:rPr>
                <w:rFonts w:ascii="Calibri" w:hAnsi="Calibri" w:cs="Calibri"/>
              </w:rPr>
              <w:lastRenderedPageBreak/>
              <w:t>flooding, surge</w:t>
            </w:r>
          </w:p>
        </w:tc>
        <w:tc>
          <w:tcPr>
            <w:tcW w:w="1728" w:type="dxa"/>
          </w:tcPr>
          <w:p w14:paraId="74205BCD"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 xml:space="preserve">Land Use </w:t>
            </w:r>
            <w:r w:rsidRPr="00826382">
              <w:rPr>
                <w:rFonts w:ascii="Calibri" w:hAnsi="Calibri" w:cs="Calibri"/>
              </w:rPr>
              <w:lastRenderedPageBreak/>
              <w:t>Charge; neighbourhood improvement levy; developer surcharge</w:t>
            </w:r>
          </w:p>
        </w:tc>
        <w:tc>
          <w:tcPr>
            <w:tcW w:w="1728" w:type="dxa"/>
          </w:tcPr>
          <w:p w14:paraId="186EACEE"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 xml:space="preserve">Dysfunctional; </w:t>
            </w:r>
            <w:r w:rsidRPr="00826382">
              <w:rPr>
                <w:rFonts w:ascii="Calibri" w:hAnsi="Calibri" w:cs="Calibri"/>
              </w:rPr>
              <w:lastRenderedPageBreak/>
              <w:t>risk un-priced</w:t>
            </w:r>
          </w:p>
        </w:tc>
        <w:tc>
          <w:tcPr>
            <w:tcW w:w="1728" w:type="dxa"/>
          </w:tcPr>
          <w:p w14:paraId="68ECD7B0"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 xml:space="preserve">Largely </w:t>
            </w:r>
            <w:r w:rsidRPr="00826382">
              <w:rPr>
                <w:rFonts w:ascii="Calibri" w:hAnsi="Calibri" w:cs="Calibri"/>
              </w:rPr>
              <w:lastRenderedPageBreak/>
              <w:t>unrealised</w:t>
            </w:r>
          </w:p>
        </w:tc>
      </w:tr>
    </w:tbl>
    <w:p w14:paraId="72817197" w14:textId="77777777" w:rsidR="006D06C7" w:rsidRPr="00826382" w:rsidRDefault="00000000">
      <w:pPr>
        <w:rPr>
          <w:rFonts w:ascii="Calibri" w:hAnsi="Calibri" w:cs="Calibri"/>
        </w:rPr>
      </w:pPr>
      <w:r w:rsidRPr="00826382">
        <w:rPr>
          <w:rFonts w:ascii="Calibri" w:hAnsi="Calibri" w:cs="Calibri"/>
        </w:rPr>
        <w:lastRenderedPageBreak/>
        <w:t>Note. CRS = Community Rating System; LBF = land-based financing; LVC = land value capture; NFIP = National Flood Insurance Program. Source: own elaboration from Author (2024a-2024e) and sources cited in the text.</w:t>
      </w:r>
    </w:p>
    <w:p w14:paraId="6AEF9734" w14:textId="77777777" w:rsidR="006D06C7" w:rsidRPr="00826382" w:rsidRDefault="006D06C7">
      <w:pPr>
        <w:rPr>
          <w:rFonts w:ascii="Calibri" w:hAnsi="Calibri" w:cs="Calibri"/>
        </w:rPr>
      </w:pPr>
    </w:p>
    <w:p w14:paraId="04888E92" w14:textId="77777777" w:rsidR="006D06C7" w:rsidRPr="00826382" w:rsidRDefault="00000000">
      <w:pPr>
        <w:rPr>
          <w:rFonts w:ascii="Calibri" w:hAnsi="Calibri" w:cs="Calibri"/>
        </w:rPr>
      </w:pPr>
      <w:r w:rsidRPr="00826382">
        <w:rPr>
          <w:rFonts w:ascii="Calibri" w:hAnsi="Calibri" w:cs="Calibri"/>
        </w:rPr>
        <w:t>Table 2. Revenue evidence, value impacts, and benefit-cost ratios across the five cities.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6D06C7" w:rsidRPr="00826382" w14:paraId="5F8952FF" w14:textId="77777777" w:rsidTr="006D06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5D22114" w14:textId="77777777" w:rsidR="006D06C7" w:rsidRPr="00826382" w:rsidRDefault="00000000">
            <w:pPr>
              <w:rPr>
                <w:rFonts w:ascii="Calibri" w:hAnsi="Calibri" w:cs="Calibri"/>
                <w:b w:val="0"/>
                <w:bCs w:val="0"/>
              </w:rPr>
            </w:pPr>
            <w:r w:rsidRPr="00826382">
              <w:rPr>
                <w:rFonts w:ascii="Calibri" w:hAnsi="Calibri" w:cs="Calibri"/>
                <w:b w:val="0"/>
                <w:bCs w:val="0"/>
              </w:rPr>
              <w:t>City</w:t>
            </w:r>
          </w:p>
        </w:tc>
        <w:tc>
          <w:tcPr>
            <w:tcW w:w="1728" w:type="dxa"/>
          </w:tcPr>
          <w:p w14:paraId="694BABEB"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Adaptation investment</w:t>
            </w:r>
          </w:p>
        </w:tc>
        <w:tc>
          <w:tcPr>
            <w:tcW w:w="1728" w:type="dxa"/>
          </w:tcPr>
          <w:p w14:paraId="170F444B"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Land-based revenue / value captured</w:t>
            </w:r>
          </w:p>
        </w:tc>
        <w:tc>
          <w:tcPr>
            <w:tcW w:w="1728" w:type="dxa"/>
          </w:tcPr>
          <w:p w14:paraId="3FBBB6A1"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Benefit-cost ratio</w:t>
            </w:r>
          </w:p>
        </w:tc>
        <w:tc>
          <w:tcPr>
            <w:tcW w:w="1728" w:type="dxa"/>
          </w:tcPr>
          <w:p w14:paraId="1F5A1FF9" w14:textId="77777777" w:rsidR="006D06C7" w:rsidRPr="0082638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26382">
              <w:rPr>
                <w:rFonts w:ascii="Calibri" w:hAnsi="Calibri" w:cs="Calibri"/>
                <w:b w:val="0"/>
                <w:bCs w:val="0"/>
              </w:rPr>
              <w:t>Risk capitalisation</w:t>
            </w:r>
          </w:p>
        </w:tc>
      </w:tr>
      <w:tr w:rsidR="006D06C7" w:rsidRPr="00826382" w14:paraId="4014FE74"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41DBAD" w14:textId="77777777" w:rsidR="006D06C7" w:rsidRPr="00826382" w:rsidRDefault="00000000">
            <w:pPr>
              <w:rPr>
                <w:rFonts w:ascii="Calibri" w:hAnsi="Calibri" w:cs="Calibri"/>
                <w:b w:val="0"/>
                <w:bCs w:val="0"/>
              </w:rPr>
            </w:pPr>
            <w:r w:rsidRPr="00826382">
              <w:rPr>
                <w:rFonts w:ascii="Calibri" w:hAnsi="Calibri" w:cs="Calibri"/>
                <w:b w:val="0"/>
                <w:bCs w:val="0"/>
              </w:rPr>
              <w:t>Copenhagen</w:t>
            </w:r>
          </w:p>
        </w:tc>
        <w:tc>
          <w:tcPr>
            <w:tcW w:w="1728" w:type="dxa"/>
          </w:tcPr>
          <w:p w14:paraId="239549ED"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 €1.3 bn cloudburst (≈ €1.5 bn incl. private)</w:t>
            </w:r>
          </w:p>
        </w:tc>
        <w:tc>
          <w:tcPr>
            <w:tcW w:w="1728" w:type="dxa"/>
          </w:tcPr>
          <w:p w14:paraId="3141C6EA"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Mostly water tariffs (realised); ≈ €188 m property-value uplift (estimated), a share captured via property tax</w:t>
            </w:r>
          </w:p>
        </w:tc>
        <w:tc>
          <w:tcPr>
            <w:tcW w:w="1728" w:type="dxa"/>
          </w:tcPr>
          <w:p w14:paraId="4378D33A"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3.0-6.9 (coastal protection)</w:t>
            </w:r>
          </w:p>
        </w:tc>
        <w:tc>
          <w:tcPr>
            <w:tcW w:w="1728" w:type="dxa"/>
          </w:tcPr>
          <w:p w14:paraId="0D4C3835"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6% discount (100-yr risk)</w:t>
            </w:r>
          </w:p>
        </w:tc>
      </w:tr>
      <w:tr w:rsidR="006D06C7" w:rsidRPr="00826382" w14:paraId="43513355" w14:textId="77777777" w:rsidTr="006D06C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7280A3" w14:textId="77777777" w:rsidR="006D06C7" w:rsidRPr="00826382" w:rsidRDefault="00000000">
            <w:pPr>
              <w:rPr>
                <w:rFonts w:ascii="Calibri" w:hAnsi="Calibri" w:cs="Calibri"/>
                <w:b w:val="0"/>
                <w:bCs w:val="0"/>
              </w:rPr>
            </w:pPr>
            <w:r w:rsidRPr="00826382">
              <w:rPr>
                <w:rFonts w:ascii="Calibri" w:hAnsi="Calibri" w:cs="Calibri"/>
                <w:b w:val="0"/>
                <w:bCs w:val="0"/>
              </w:rPr>
              <w:t>Miami-Dade</w:t>
            </w:r>
          </w:p>
        </w:tc>
        <w:tc>
          <w:tcPr>
            <w:tcW w:w="1728" w:type="dxa"/>
          </w:tcPr>
          <w:p w14:paraId="43BD8E2F"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&gt; US$500 m (Miami Beach stormwater)</w:t>
            </w:r>
          </w:p>
        </w:tc>
        <w:tc>
          <w:tcPr>
            <w:tcW w:w="1728" w:type="dxa"/>
          </w:tcPr>
          <w:p w14:paraId="5A0477EA"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&gt; US$500 m via stormwater fee (realised); 15-25% CRS insurance discounts</w:t>
            </w:r>
          </w:p>
        </w:tc>
        <w:tc>
          <w:tcPr>
            <w:tcW w:w="1728" w:type="dxa"/>
          </w:tcPr>
          <w:p w14:paraId="78794550"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2.33-3.04 (stormwater)</w:t>
            </w:r>
          </w:p>
        </w:tc>
        <w:tc>
          <w:tcPr>
            <w:tcW w:w="1728" w:type="dxa"/>
          </w:tcPr>
          <w:p w14:paraId="5F65112F"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3-5% overvaluation</w:t>
            </w:r>
          </w:p>
        </w:tc>
      </w:tr>
      <w:tr w:rsidR="006D06C7" w:rsidRPr="00826382" w14:paraId="52078CDB"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2B1601" w14:textId="77777777" w:rsidR="006D06C7" w:rsidRPr="00826382" w:rsidRDefault="00000000">
            <w:pPr>
              <w:rPr>
                <w:rFonts w:ascii="Calibri" w:hAnsi="Calibri" w:cs="Calibri"/>
                <w:b w:val="0"/>
                <w:bCs w:val="0"/>
              </w:rPr>
            </w:pPr>
            <w:r w:rsidRPr="00826382">
              <w:rPr>
                <w:rFonts w:ascii="Calibri" w:hAnsi="Calibri" w:cs="Calibri"/>
                <w:b w:val="0"/>
                <w:bCs w:val="0"/>
              </w:rPr>
              <w:t>Buenos Aires</w:t>
            </w:r>
          </w:p>
        </w:tc>
        <w:tc>
          <w:tcPr>
            <w:tcW w:w="1728" w:type="dxa"/>
          </w:tcPr>
          <w:p w14:paraId="18F7DAD7"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 xml:space="preserve">US$338 m flood mitigation </w:t>
            </w:r>
            <w:r w:rsidRPr="00826382">
              <w:rPr>
                <w:rFonts w:ascii="Calibri" w:hAnsi="Calibri" w:cs="Calibri"/>
              </w:rPr>
              <w:lastRenderedPageBreak/>
              <w:t>(World Bank)</w:t>
            </w:r>
          </w:p>
        </w:tc>
        <w:tc>
          <w:tcPr>
            <w:tcW w:w="1728" w:type="dxa"/>
          </w:tcPr>
          <w:p w14:paraId="77931F9A"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 xml:space="preserve">≈ US$379 m net land-value gain </w:t>
            </w:r>
            <w:r w:rsidRPr="00826382">
              <w:rPr>
                <w:rFonts w:ascii="Calibri" w:hAnsi="Calibri" w:cs="Calibri"/>
              </w:rPr>
              <w:lastRenderedPageBreak/>
              <w:t>(estimated, modelled); not yet captured</w:t>
            </w:r>
          </w:p>
        </w:tc>
        <w:tc>
          <w:tcPr>
            <w:tcW w:w="1728" w:type="dxa"/>
          </w:tcPr>
          <w:p w14:paraId="62304B4F"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 xml:space="preserve">Investment more than </w:t>
            </w:r>
            <w:r w:rsidRPr="00826382">
              <w:rPr>
                <w:rFonts w:ascii="Calibri" w:hAnsi="Calibri" w:cs="Calibri"/>
              </w:rPr>
              <w:lastRenderedPageBreak/>
              <w:t>recovered by value created</w:t>
            </w:r>
          </w:p>
        </w:tc>
        <w:tc>
          <w:tcPr>
            <w:tcW w:w="1728" w:type="dxa"/>
          </w:tcPr>
          <w:p w14:paraId="71C5F2FB"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lastRenderedPageBreak/>
              <w:t>4.3-11% flood discount</w:t>
            </w:r>
          </w:p>
        </w:tc>
      </w:tr>
      <w:tr w:rsidR="006D06C7" w:rsidRPr="00826382" w14:paraId="1FE97C31" w14:textId="77777777" w:rsidTr="006D06C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6B38933" w14:textId="77777777" w:rsidR="006D06C7" w:rsidRPr="00826382" w:rsidRDefault="00000000">
            <w:pPr>
              <w:rPr>
                <w:rFonts w:ascii="Calibri" w:hAnsi="Calibri" w:cs="Calibri"/>
                <w:b w:val="0"/>
                <w:bCs w:val="0"/>
              </w:rPr>
            </w:pPr>
            <w:r w:rsidRPr="00826382">
              <w:rPr>
                <w:rFonts w:ascii="Calibri" w:hAnsi="Calibri" w:cs="Calibri"/>
                <w:b w:val="0"/>
                <w:bCs w:val="0"/>
              </w:rPr>
              <w:t>Ho Chi Minh City</w:t>
            </w:r>
          </w:p>
        </w:tc>
        <w:tc>
          <w:tcPr>
            <w:tcW w:w="1728" w:type="dxa"/>
          </w:tcPr>
          <w:p w14:paraId="30A322A0"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Below need; no dedicated stream</w:t>
            </w:r>
          </w:p>
        </w:tc>
        <w:tc>
          <w:tcPr>
            <w:tcW w:w="1728" w:type="dxa"/>
          </w:tcPr>
          <w:p w14:paraId="7D741755"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Land-use fees ≈ 8% of tax revenue; no recurrent property tax</w:t>
            </w:r>
          </w:p>
        </w:tc>
        <w:tc>
          <w:tcPr>
            <w:tcW w:w="1728" w:type="dxa"/>
          </w:tcPr>
          <w:p w14:paraId="69B01575"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High potential, unrealised</w:t>
            </w:r>
          </w:p>
        </w:tc>
        <w:tc>
          <w:tcPr>
            <w:tcW w:w="1728" w:type="dxa"/>
          </w:tcPr>
          <w:p w14:paraId="233413D4" w14:textId="77777777" w:rsidR="006D06C7" w:rsidRPr="00826382" w:rsidRDefault="00000000">
            <w:pPr>
              <w:cnfStyle w:val="000000010000" w:firstRow="0" w:lastRow="0" w:firstColumn="0" w:lastColumn="0" w:oddVBand="0" w:evenVBand="0" w:oddHBand="0" w:evenHBand="1" w:firstRowFirstColumn="0" w:firstRowLastColumn="0" w:lastRowFirstColumn="0" w:lastRowLastColumn="0"/>
              <w:rPr>
                <w:rFonts w:ascii="Calibri" w:hAnsi="Calibri" w:cs="Calibri"/>
              </w:rPr>
            </w:pPr>
            <w:r w:rsidRPr="00826382">
              <w:rPr>
                <w:rFonts w:ascii="Calibri" w:hAnsi="Calibri" w:cs="Calibri"/>
              </w:rPr>
              <w:t>7.5% flood discount</w:t>
            </w:r>
          </w:p>
        </w:tc>
      </w:tr>
      <w:tr w:rsidR="006D06C7" w:rsidRPr="00826382" w14:paraId="0FB536C9" w14:textId="77777777" w:rsidTr="006D06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4E24EA" w14:textId="77777777" w:rsidR="006D06C7" w:rsidRPr="00826382" w:rsidRDefault="00000000">
            <w:pPr>
              <w:rPr>
                <w:rFonts w:ascii="Calibri" w:hAnsi="Calibri" w:cs="Calibri"/>
                <w:b w:val="0"/>
                <w:bCs w:val="0"/>
              </w:rPr>
            </w:pPr>
            <w:r w:rsidRPr="00826382">
              <w:rPr>
                <w:rFonts w:ascii="Calibri" w:hAnsi="Calibri" w:cs="Calibri"/>
                <w:b w:val="0"/>
                <w:bCs w:val="0"/>
              </w:rPr>
              <w:t>Lagos</w:t>
            </w:r>
          </w:p>
        </w:tc>
        <w:tc>
          <w:tcPr>
            <w:tcW w:w="1728" w:type="dxa"/>
          </w:tcPr>
          <w:p w14:paraId="5FEAF8ED"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&lt; US$1 bn/yr vs &gt; US$50 bn gap</w:t>
            </w:r>
          </w:p>
        </w:tc>
        <w:tc>
          <w:tcPr>
            <w:tcW w:w="1728" w:type="dxa"/>
          </w:tcPr>
          <w:p w14:paraId="545C86B8"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Land Use Charge ≈ US$0.43 per capita; ≈ 30% compliance</w:t>
            </w:r>
          </w:p>
        </w:tc>
        <w:tc>
          <w:tcPr>
            <w:tcW w:w="1728" w:type="dxa"/>
          </w:tcPr>
          <w:p w14:paraId="7CA92CE3"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High potential, unrealised</w:t>
            </w:r>
          </w:p>
        </w:tc>
        <w:tc>
          <w:tcPr>
            <w:tcW w:w="1728" w:type="dxa"/>
          </w:tcPr>
          <w:p w14:paraId="012BFDD3" w14:textId="77777777" w:rsidR="006D06C7" w:rsidRPr="0082638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26382">
              <w:rPr>
                <w:rFonts w:ascii="Calibri" w:hAnsi="Calibri" w:cs="Calibri"/>
              </w:rPr>
              <w:t>Risk largely un-priced</w:t>
            </w:r>
          </w:p>
        </w:tc>
      </w:tr>
    </w:tbl>
    <w:p w14:paraId="36037A2A" w14:textId="77777777" w:rsidR="006D06C7" w:rsidRPr="00826382" w:rsidRDefault="00000000">
      <w:pPr>
        <w:rPr>
          <w:rFonts w:ascii="Calibri" w:hAnsi="Calibri" w:cs="Calibri"/>
        </w:rPr>
      </w:pPr>
      <w:r w:rsidRPr="00826382">
        <w:rPr>
          <w:rFonts w:ascii="Calibri" w:hAnsi="Calibri" w:cs="Calibri"/>
        </w:rPr>
        <w:t>Note. bn = billion; m = million; CRS = Community Rating System. Figures derive from the most authoritative available estimates and are not strictly comparable given differences in scope and method. Source: own elaboration from Author (2024a-2024e) and sources cited in the text.</w:t>
      </w:r>
    </w:p>
    <w:p w14:paraId="3E7264A1" w14:textId="77777777" w:rsidR="00011DC4" w:rsidRDefault="00011DC4"/>
    <w:p w14:paraId="458B3BAC" w14:textId="77777777" w:rsidR="00011DC4" w:rsidRDefault="00000000">
      <w:r>
        <w:rPr>
          <w:b/>
          <w:sz w:val="20"/>
        </w:rPr>
        <w:t>Table 3. Assessment of the five cities against the five criteria of a well-designed adaptation investment.</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011DC4" w14:paraId="274A5472" w14:textId="77777777" w:rsidTr="00011D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97CFE65" w14:textId="77777777" w:rsidR="00011DC4" w:rsidRDefault="00000000">
            <w:r>
              <w:t>City</w:t>
            </w:r>
          </w:p>
        </w:tc>
        <w:tc>
          <w:tcPr>
            <w:tcW w:w="1440" w:type="dxa"/>
          </w:tcPr>
          <w:p w14:paraId="1B38120E" w14:textId="77777777" w:rsidR="00011DC4" w:rsidRDefault="00000000">
            <w:pPr>
              <w:cnfStyle w:val="100000000000" w:firstRow="1" w:lastRow="0" w:firstColumn="0" w:lastColumn="0" w:oddVBand="0" w:evenVBand="0" w:oddHBand="0" w:evenHBand="0" w:firstRowFirstColumn="0" w:firstRowLastColumn="0" w:lastRowFirstColumn="0" w:lastRowLastColumn="0"/>
            </w:pPr>
            <w:r>
              <w:t>Value creation</w:t>
            </w:r>
          </w:p>
        </w:tc>
        <w:tc>
          <w:tcPr>
            <w:tcW w:w="1440" w:type="dxa"/>
          </w:tcPr>
          <w:p w14:paraId="511960C0" w14:textId="77777777" w:rsidR="00011DC4" w:rsidRDefault="00000000">
            <w:pPr>
              <w:cnfStyle w:val="100000000000" w:firstRow="1" w:lastRow="0" w:firstColumn="0" w:lastColumn="0" w:oddVBand="0" w:evenVBand="0" w:oddHBand="0" w:evenHBand="0" w:firstRowFirstColumn="0" w:firstRowLastColumn="0" w:lastRowFirstColumn="0" w:lastRowLastColumn="0"/>
            </w:pPr>
            <w:r>
              <w:t>Capture mechanism</w:t>
            </w:r>
          </w:p>
        </w:tc>
        <w:tc>
          <w:tcPr>
            <w:tcW w:w="1440" w:type="dxa"/>
          </w:tcPr>
          <w:p w14:paraId="55A19265" w14:textId="77777777" w:rsidR="00011DC4" w:rsidRDefault="00000000">
            <w:pPr>
              <w:cnfStyle w:val="100000000000" w:firstRow="1" w:lastRow="0" w:firstColumn="0" w:lastColumn="0" w:oddVBand="0" w:evenVBand="0" w:oddHBand="0" w:evenHBand="0" w:firstRowFirstColumn="0" w:firstRowLastColumn="0" w:lastRowFirstColumn="0" w:lastRowLastColumn="0"/>
            </w:pPr>
            <w:r>
              <w:t>Cost-effectiveness</w:t>
            </w:r>
          </w:p>
        </w:tc>
        <w:tc>
          <w:tcPr>
            <w:tcW w:w="1440" w:type="dxa"/>
          </w:tcPr>
          <w:p w14:paraId="327A1511" w14:textId="77777777" w:rsidR="00011DC4" w:rsidRDefault="00000000">
            <w:pPr>
              <w:cnfStyle w:val="100000000000" w:firstRow="1" w:lastRow="0" w:firstColumn="0" w:lastColumn="0" w:oddVBand="0" w:evenVBand="0" w:oddHBand="0" w:evenHBand="0" w:firstRowFirstColumn="0" w:firstRowLastColumn="0" w:lastRowFirstColumn="0" w:lastRowLastColumn="0"/>
            </w:pPr>
            <w:r>
              <w:t>Institutional feasibility</w:t>
            </w:r>
          </w:p>
        </w:tc>
        <w:tc>
          <w:tcPr>
            <w:tcW w:w="1440" w:type="dxa"/>
          </w:tcPr>
          <w:p w14:paraId="108707FE" w14:textId="77777777" w:rsidR="00011DC4" w:rsidRDefault="00000000">
            <w:pPr>
              <w:cnfStyle w:val="100000000000" w:firstRow="1" w:lastRow="0" w:firstColumn="0" w:lastColumn="0" w:oddVBand="0" w:evenVBand="0" w:oddHBand="0" w:evenHBand="0" w:firstRowFirstColumn="0" w:firstRowLastColumn="0" w:lastRowFirstColumn="0" w:lastRowLastColumn="0"/>
            </w:pPr>
            <w:r>
              <w:t>Equity / incidence</w:t>
            </w:r>
          </w:p>
        </w:tc>
      </w:tr>
      <w:tr w:rsidR="00011DC4" w14:paraId="69FD394F" w14:textId="77777777" w:rsidTr="00011D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9966397" w14:textId="77777777" w:rsidR="00011DC4" w:rsidRDefault="00000000">
            <w:r>
              <w:rPr>
                <w:sz w:val="18"/>
              </w:rPr>
              <w:t>Copenhagen</w:t>
            </w:r>
          </w:p>
        </w:tc>
        <w:tc>
          <w:tcPr>
            <w:tcW w:w="1440" w:type="dxa"/>
          </w:tcPr>
          <w:p w14:paraId="49779150"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 (blue-green uplift)</w:t>
            </w:r>
          </w:p>
        </w:tc>
        <w:tc>
          <w:tcPr>
            <w:tcW w:w="1440" w:type="dxa"/>
          </w:tcPr>
          <w:p w14:paraId="0B0E94C4"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 (water tariffs, property tax)</w:t>
            </w:r>
          </w:p>
        </w:tc>
        <w:tc>
          <w:tcPr>
            <w:tcW w:w="1440" w:type="dxa"/>
          </w:tcPr>
          <w:p w14:paraId="496DC97E"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 (BCR 3.0-6.9)</w:t>
            </w:r>
          </w:p>
        </w:tc>
        <w:tc>
          <w:tcPr>
            <w:tcW w:w="1440" w:type="dxa"/>
          </w:tcPr>
          <w:p w14:paraId="13D7B9A6"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w:t>
            </w:r>
          </w:p>
        </w:tc>
        <w:tc>
          <w:tcPr>
            <w:tcW w:w="1440" w:type="dxa"/>
          </w:tcPr>
          <w:p w14:paraId="55F9C4BC"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Partial (tariff incidence)</w:t>
            </w:r>
          </w:p>
        </w:tc>
      </w:tr>
      <w:tr w:rsidR="00011DC4" w14:paraId="237A5120" w14:textId="77777777" w:rsidTr="00011D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28C83CF" w14:textId="77777777" w:rsidR="00011DC4" w:rsidRDefault="00000000">
            <w:r>
              <w:rPr>
                <w:sz w:val="18"/>
              </w:rPr>
              <w:t>Miami-Dade</w:t>
            </w:r>
          </w:p>
        </w:tc>
        <w:tc>
          <w:tcPr>
            <w:tcW w:w="1440" w:type="dxa"/>
          </w:tcPr>
          <w:p w14:paraId="53A97C8E"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Partial (risk under-priced)</w:t>
            </w:r>
          </w:p>
        </w:tc>
        <w:tc>
          <w:tcPr>
            <w:tcW w:w="1440" w:type="dxa"/>
          </w:tcPr>
          <w:p w14:paraId="281C440E"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Strong (stormwater fee, bonds)</w:t>
            </w:r>
          </w:p>
        </w:tc>
        <w:tc>
          <w:tcPr>
            <w:tcW w:w="1440" w:type="dxa"/>
          </w:tcPr>
          <w:p w14:paraId="5F6B9936"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Strong (BCR 2.33-3.04)</w:t>
            </w:r>
          </w:p>
        </w:tc>
        <w:tc>
          <w:tcPr>
            <w:tcW w:w="1440" w:type="dxa"/>
          </w:tcPr>
          <w:p w14:paraId="3DE19B70"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Strong</w:t>
            </w:r>
          </w:p>
        </w:tc>
        <w:tc>
          <w:tcPr>
            <w:tcW w:w="1440" w:type="dxa"/>
          </w:tcPr>
          <w:p w14:paraId="1314E3F8"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Weak (benefits to coastal owners)</w:t>
            </w:r>
          </w:p>
        </w:tc>
      </w:tr>
      <w:tr w:rsidR="00011DC4" w14:paraId="314118EC" w14:textId="77777777" w:rsidTr="00011D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86FCA9" w14:textId="77777777" w:rsidR="00011DC4" w:rsidRDefault="00000000">
            <w:r>
              <w:rPr>
                <w:sz w:val="18"/>
              </w:rPr>
              <w:t>Buenos Aires</w:t>
            </w:r>
          </w:p>
        </w:tc>
        <w:tc>
          <w:tcPr>
            <w:tcW w:w="1440" w:type="dxa"/>
          </w:tcPr>
          <w:p w14:paraId="2397B68A"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 (modelled US$379 m)</w:t>
            </w:r>
          </w:p>
        </w:tc>
        <w:tc>
          <w:tcPr>
            <w:tcW w:w="1440" w:type="dxa"/>
          </w:tcPr>
          <w:p w14:paraId="0E428921"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Weak (not yet institutionalised)</w:t>
            </w:r>
          </w:p>
        </w:tc>
        <w:tc>
          <w:tcPr>
            <w:tcW w:w="1440" w:type="dxa"/>
          </w:tcPr>
          <w:p w14:paraId="299364EC"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Strong (self-financing)</w:t>
            </w:r>
          </w:p>
        </w:tc>
        <w:tc>
          <w:tcPr>
            <w:tcW w:w="1440" w:type="dxa"/>
          </w:tcPr>
          <w:p w14:paraId="1693727A"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Partial</w:t>
            </w:r>
          </w:p>
        </w:tc>
        <w:tc>
          <w:tcPr>
            <w:tcW w:w="1440" w:type="dxa"/>
          </w:tcPr>
          <w:p w14:paraId="319B6366"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Partial (targetable, untested)</w:t>
            </w:r>
          </w:p>
        </w:tc>
      </w:tr>
      <w:tr w:rsidR="00011DC4" w14:paraId="4AF93031" w14:textId="77777777" w:rsidTr="00011D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965D98C" w14:textId="77777777" w:rsidR="00011DC4" w:rsidRDefault="00000000">
            <w:r>
              <w:rPr>
                <w:sz w:val="18"/>
              </w:rPr>
              <w:t>Ho Chi Minh City</w:t>
            </w:r>
          </w:p>
        </w:tc>
        <w:tc>
          <w:tcPr>
            <w:tcW w:w="1440" w:type="dxa"/>
          </w:tcPr>
          <w:p w14:paraId="43579219"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Partial (risk priced, 7.5%)</w:t>
            </w:r>
          </w:p>
        </w:tc>
        <w:tc>
          <w:tcPr>
            <w:tcW w:w="1440" w:type="dxa"/>
          </w:tcPr>
          <w:p w14:paraId="118C9271"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Weak (no recurrent </w:t>
            </w:r>
            <w:r>
              <w:rPr>
                <w:sz w:val="18"/>
              </w:rPr>
              <w:lastRenderedPageBreak/>
              <w:t>property tax)</w:t>
            </w:r>
          </w:p>
        </w:tc>
        <w:tc>
          <w:tcPr>
            <w:tcW w:w="1440" w:type="dxa"/>
          </w:tcPr>
          <w:p w14:paraId="58DAA5DB"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lastRenderedPageBreak/>
              <w:t>High potential, unrealised</w:t>
            </w:r>
          </w:p>
        </w:tc>
        <w:tc>
          <w:tcPr>
            <w:tcW w:w="1440" w:type="dxa"/>
          </w:tcPr>
          <w:p w14:paraId="5719B439"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Weak (needs national reform)</w:t>
            </w:r>
          </w:p>
        </w:tc>
        <w:tc>
          <w:tcPr>
            <w:tcW w:w="1440" w:type="dxa"/>
          </w:tcPr>
          <w:p w14:paraId="1023DD9B"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Not assessed</w:t>
            </w:r>
          </w:p>
        </w:tc>
      </w:tr>
      <w:tr w:rsidR="00011DC4" w14:paraId="1EACAB8E" w14:textId="77777777" w:rsidTr="00011D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BA9A12" w14:textId="77777777" w:rsidR="00011DC4" w:rsidRDefault="00000000">
            <w:r>
              <w:rPr>
                <w:sz w:val="18"/>
              </w:rPr>
              <w:t>Lagos</w:t>
            </w:r>
          </w:p>
        </w:tc>
        <w:tc>
          <w:tcPr>
            <w:tcW w:w="1440" w:type="dxa"/>
          </w:tcPr>
          <w:p w14:paraId="15B58F51"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Weak (risk un-priced)</w:t>
            </w:r>
          </w:p>
        </w:tc>
        <w:tc>
          <w:tcPr>
            <w:tcW w:w="1440" w:type="dxa"/>
          </w:tcPr>
          <w:p w14:paraId="7147C3AE"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Weak (≈30% compliance)</w:t>
            </w:r>
          </w:p>
        </w:tc>
        <w:tc>
          <w:tcPr>
            <w:tcW w:w="1440" w:type="dxa"/>
          </w:tcPr>
          <w:p w14:paraId="692ADF52"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High potential, unrealised</w:t>
            </w:r>
          </w:p>
        </w:tc>
        <w:tc>
          <w:tcPr>
            <w:tcW w:w="1440" w:type="dxa"/>
          </w:tcPr>
          <w:p w14:paraId="2CC64965"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Weak</w:t>
            </w:r>
          </w:p>
        </w:tc>
        <w:tc>
          <w:tcPr>
            <w:tcW w:w="1440" w:type="dxa"/>
          </w:tcPr>
          <w:p w14:paraId="4DFA8427"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Weak (resilience inequality)</w:t>
            </w:r>
          </w:p>
        </w:tc>
      </w:tr>
    </w:tbl>
    <w:p w14:paraId="613E22D4" w14:textId="77777777" w:rsidR="00011DC4" w:rsidRDefault="00000000">
      <w:r>
        <w:rPr>
          <w:i/>
          <w:sz w:val="18"/>
        </w:rPr>
        <w:t>Note. Ordinal ratings (strong, partial, weak) reflect the documentary and market evidence in Section 3. BCR = benefit-cost ratio. Source: own elaboration.</w:t>
      </w:r>
    </w:p>
    <w:p w14:paraId="27CAFA5B" w14:textId="77777777" w:rsidR="00011DC4" w:rsidRDefault="00011DC4"/>
    <w:p w14:paraId="30F338A5" w14:textId="77777777" w:rsidR="00011DC4" w:rsidRDefault="00000000">
      <w:r>
        <w:rPr>
          <w:b/>
          <w:sz w:val="20"/>
        </w:rPr>
        <w:t>Table 4. From readiness tier to recommended instruments: a practitioner sequence.</w:t>
      </w:r>
    </w:p>
    <w:tbl>
      <w:tblPr>
        <w:tblStyle w:val="LightGrid-Accent1"/>
        <w:tblW w:w="0" w:type="auto"/>
        <w:jc w:val="center"/>
        <w:tblLook w:val="04A0" w:firstRow="1" w:lastRow="0" w:firstColumn="1" w:lastColumn="0" w:noHBand="0" w:noVBand="1"/>
      </w:tblPr>
      <w:tblGrid>
        <w:gridCol w:w="2160"/>
        <w:gridCol w:w="2160"/>
        <w:gridCol w:w="2160"/>
        <w:gridCol w:w="2160"/>
      </w:tblGrid>
      <w:tr w:rsidR="00011DC4" w14:paraId="643D48B8" w14:textId="77777777" w:rsidTr="00011D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D0E5A2" w14:textId="77777777" w:rsidR="00011DC4" w:rsidRDefault="00000000">
            <w:r>
              <w:t>Readiness tier</w:t>
            </w:r>
          </w:p>
        </w:tc>
        <w:tc>
          <w:tcPr>
            <w:tcW w:w="2160" w:type="dxa"/>
          </w:tcPr>
          <w:p w14:paraId="520673EF" w14:textId="77777777" w:rsidR="00011DC4" w:rsidRDefault="00000000">
            <w:pPr>
              <w:cnfStyle w:val="100000000000" w:firstRow="1" w:lastRow="0" w:firstColumn="0" w:lastColumn="0" w:oddVBand="0" w:evenVBand="0" w:oddHBand="0" w:evenHBand="0" w:firstRowFirstColumn="0" w:firstRowLastColumn="0" w:lastRowFirstColumn="0" w:lastRowLastColumn="0"/>
            </w:pPr>
            <w:r>
              <w:t>Illustrative city</w:t>
            </w:r>
          </w:p>
        </w:tc>
        <w:tc>
          <w:tcPr>
            <w:tcW w:w="2160" w:type="dxa"/>
          </w:tcPr>
          <w:p w14:paraId="5C9A69DF" w14:textId="77777777" w:rsidR="00011DC4" w:rsidRDefault="00000000">
            <w:pPr>
              <w:cnfStyle w:val="100000000000" w:firstRow="1" w:lastRow="0" w:firstColumn="0" w:lastColumn="0" w:oddVBand="0" w:evenVBand="0" w:oddHBand="0" w:evenHBand="0" w:firstRowFirstColumn="0" w:firstRowLastColumn="0" w:lastRowFirstColumn="0" w:lastRowLastColumn="0"/>
            </w:pPr>
            <w:r>
              <w:t>Recommended instruments</w:t>
            </w:r>
          </w:p>
        </w:tc>
        <w:tc>
          <w:tcPr>
            <w:tcW w:w="2160" w:type="dxa"/>
          </w:tcPr>
          <w:p w14:paraId="2ADC65E2" w14:textId="77777777" w:rsidR="00011DC4" w:rsidRDefault="00000000">
            <w:pPr>
              <w:cnfStyle w:val="100000000000" w:firstRow="1" w:lastRow="0" w:firstColumn="0" w:lastColumn="0" w:oddVBand="0" w:evenVBand="0" w:oddHBand="0" w:evenHBand="0" w:firstRowFirstColumn="0" w:firstRowLastColumn="0" w:lastRowFirstColumn="0" w:lastRowLastColumn="0"/>
            </w:pPr>
            <w:r>
              <w:t>Immediate first step</w:t>
            </w:r>
          </w:p>
        </w:tc>
      </w:tr>
      <w:tr w:rsidR="00011DC4" w14:paraId="2C50B65A" w14:textId="77777777" w:rsidTr="00011D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E1BAED6" w14:textId="77777777" w:rsidR="00011DC4" w:rsidRDefault="00000000">
            <w:r>
              <w:rPr>
                <w:sz w:val="18"/>
              </w:rPr>
              <w:t>Mature</w:t>
            </w:r>
          </w:p>
        </w:tc>
        <w:tc>
          <w:tcPr>
            <w:tcW w:w="2160" w:type="dxa"/>
          </w:tcPr>
          <w:p w14:paraId="270F021D"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Copenhagen, Miami</w:t>
            </w:r>
          </w:p>
        </w:tc>
        <w:tc>
          <w:tcPr>
            <w:tcW w:w="2160" w:type="dxa"/>
          </w:tcPr>
          <w:p w14:paraId="05D0D91F"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Service tariffs, revenue bonds, property-tax capture, insurance-linked incentives</w:t>
            </w:r>
          </w:p>
        </w:tc>
        <w:tc>
          <w:tcPr>
            <w:tcW w:w="2160" w:type="dxa"/>
          </w:tcPr>
          <w:p w14:paraId="382631C9"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Raise ambition; address tariff and benefit incidence</w:t>
            </w:r>
          </w:p>
        </w:tc>
      </w:tr>
      <w:tr w:rsidR="00011DC4" w14:paraId="0248980C" w14:textId="77777777" w:rsidTr="00011D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70555E" w14:textId="77777777" w:rsidR="00011DC4" w:rsidRDefault="00000000">
            <w:r>
              <w:rPr>
                <w:sz w:val="18"/>
              </w:rPr>
              <w:t>Innovative middle-income</w:t>
            </w:r>
          </w:p>
        </w:tc>
        <w:tc>
          <w:tcPr>
            <w:tcW w:w="2160" w:type="dxa"/>
          </w:tcPr>
          <w:p w14:paraId="0387B33F"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Buenos Aires</w:t>
            </w:r>
          </w:p>
        </w:tc>
        <w:tc>
          <w:tcPr>
            <w:tcW w:w="2160" w:type="dxa"/>
          </w:tcPr>
          <w:p w14:paraId="07F41EEE"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Betterment levies, sale of building rights, ring-fenced trust fund</w:t>
            </w:r>
          </w:p>
        </w:tc>
        <w:tc>
          <w:tcPr>
            <w:tcW w:w="2160" w:type="dxa"/>
          </w:tcPr>
          <w:p w14:paraId="3B5335ED"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Legislate capture instruments while the political case is fresh</w:t>
            </w:r>
          </w:p>
        </w:tc>
      </w:tr>
      <w:tr w:rsidR="00011DC4" w14:paraId="00204A3D" w14:textId="77777777" w:rsidTr="00011D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FDBAC2" w14:textId="77777777" w:rsidR="00011DC4" w:rsidRDefault="00000000">
            <w:r>
              <w:rPr>
                <w:sz w:val="18"/>
              </w:rPr>
              <w:t>Emerging</w:t>
            </w:r>
          </w:p>
        </w:tc>
        <w:tc>
          <w:tcPr>
            <w:tcW w:w="2160" w:type="dxa"/>
          </w:tcPr>
          <w:p w14:paraId="61F2795F"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Ho Chi Minh City</w:t>
            </w:r>
          </w:p>
        </w:tc>
        <w:tc>
          <w:tcPr>
            <w:tcW w:w="2160" w:type="dxa"/>
          </w:tcPr>
          <w:p w14:paraId="2E271AA3"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Recurrent property tax, betterment charges, business-association levies</w:t>
            </w:r>
          </w:p>
        </w:tc>
        <w:tc>
          <w:tcPr>
            <w:tcW w:w="2160" w:type="dxa"/>
          </w:tcPr>
          <w:p w14:paraId="2D35B2FC" w14:textId="77777777" w:rsidR="00011DC4" w:rsidRDefault="00000000">
            <w:pPr>
              <w:cnfStyle w:val="000000100000" w:firstRow="0" w:lastRow="0" w:firstColumn="0" w:lastColumn="0" w:oddVBand="0" w:evenVBand="0" w:oddHBand="1" w:evenHBand="0" w:firstRowFirstColumn="0" w:firstRowLastColumn="0" w:lastRowFirstColumn="0" w:lastRowLastColumn="0"/>
            </w:pPr>
            <w:r>
              <w:rPr>
                <w:sz w:val="18"/>
              </w:rPr>
              <w:t>Move to market-based valuation; pursue national enabling reform</w:t>
            </w:r>
          </w:p>
        </w:tc>
      </w:tr>
      <w:tr w:rsidR="00011DC4" w14:paraId="5DABAF38" w14:textId="77777777" w:rsidTr="00011DC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CCADB8" w14:textId="77777777" w:rsidR="00011DC4" w:rsidRDefault="00000000">
            <w:r>
              <w:rPr>
                <w:sz w:val="18"/>
              </w:rPr>
              <w:t>Constrained</w:t>
            </w:r>
          </w:p>
        </w:tc>
        <w:tc>
          <w:tcPr>
            <w:tcW w:w="2160" w:type="dxa"/>
          </w:tcPr>
          <w:p w14:paraId="54316873"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Lagos</w:t>
            </w:r>
          </w:p>
        </w:tc>
        <w:tc>
          <w:tcPr>
            <w:tcW w:w="2160" w:type="dxa"/>
          </w:tcPr>
          <w:p w14:paraId="0680EE8E"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Land Use Charge reform, developer obligations, formalised community levies</w:t>
            </w:r>
          </w:p>
        </w:tc>
        <w:tc>
          <w:tcPr>
            <w:tcW w:w="2160" w:type="dxa"/>
          </w:tcPr>
          <w:p w14:paraId="1B4C6AD8" w14:textId="77777777" w:rsidR="00011DC4" w:rsidRDefault="00000000">
            <w:pPr>
              <w:cnfStyle w:val="000000010000" w:firstRow="0" w:lastRow="0" w:firstColumn="0" w:lastColumn="0" w:oddVBand="0" w:evenVBand="0" w:oddHBand="0" w:evenHBand="1" w:firstRowFirstColumn="0" w:firstRowLastColumn="0" w:lastRowFirstColumn="0" w:lastRowLastColumn="0"/>
            </w:pPr>
            <w:r>
              <w:rPr>
                <w:sz w:val="18"/>
              </w:rPr>
              <w:t>Build the cadastre, valuation, and risk disclosure first</w:t>
            </w:r>
          </w:p>
        </w:tc>
      </w:tr>
    </w:tbl>
    <w:p w14:paraId="1E6DCD83" w14:textId="77777777" w:rsidR="00011DC4" w:rsidRDefault="00000000">
      <w:r>
        <w:rPr>
          <w:i/>
          <w:sz w:val="18"/>
        </w:rPr>
        <w:t>Note. The sequence is cumulative: each tier presupposes the readiness conditions of the one below it. Source: own elaboration from the typology in Section 3.6.</w:t>
      </w:r>
    </w:p>
    <w:sectPr w:rsidR="00011DC4"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AFD9" w14:textId="77777777" w:rsidR="009C00FC" w:rsidRDefault="009C00FC">
      <w:pPr>
        <w:spacing w:after="0" w:line="240" w:lineRule="auto"/>
      </w:pPr>
      <w:r>
        <w:separator/>
      </w:r>
    </w:p>
  </w:endnote>
  <w:endnote w:type="continuationSeparator" w:id="0">
    <w:p w14:paraId="0B18BC70" w14:textId="77777777" w:rsidR="009C00FC" w:rsidRDefault="009C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AF4A6" w14:textId="77777777" w:rsidR="006D06C7" w:rsidRDefault="00000000">
    <w:pPr>
      <w:pStyle w:val="Footer"/>
      <w:jc w:val="center"/>
    </w:pPr>
    <w:r>
      <w:fldChar w:fldCharType="begin"/>
    </w:r>
    <w:r>
      <w:instrText>PAGE</w:instrText>
    </w:r>
    <w:r>
      <w:fldChar w:fldCharType="separate"/>
    </w:r>
    <w:r w:rsidR="008263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A957" w14:textId="77777777" w:rsidR="009C00FC" w:rsidRDefault="009C00FC">
      <w:pPr>
        <w:spacing w:after="0" w:line="240" w:lineRule="auto"/>
      </w:pPr>
      <w:r>
        <w:separator/>
      </w:r>
    </w:p>
  </w:footnote>
  <w:footnote w:type="continuationSeparator" w:id="0">
    <w:p w14:paraId="5FB74324" w14:textId="77777777" w:rsidR="009C00FC" w:rsidRDefault="009C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862624">
    <w:abstractNumId w:val="8"/>
  </w:num>
  <w:num w:numId="2" w16cid:durableId="1268393510">
    <w:abstractNumId w:val="6"/>
  </w:num>
  <w:num w:numId="3" w16cid:durableId="1736317266">
    <w:abstractNumId w:val="5"/>
  </w:num>
  <w:num w:numId="4" w16cid:durableId="341247955">
    <w:abstractNumId w:val="4"/>
  </w:num>
  <w:num w:numId="5" w16cid:durableId="1816218720">
    <w:abstractNumId w:val="7"/>
  </w:num>
  <w:num w:numId="6" w16cid:durableId="926883379">
    <w:abstractNumId w:val="3"/>
  </w:num>
  <w:num w:numId="7" w16cid:durableId="803540616">
    <w:abstractNumId w:val="2"/>
  </w:num>
  <w:num w:numId="8" w16cid:durableId="1251310498">
    <w:abstractNumId w:val="1"/>
  </w:num>
  <w:num w:numId="9" w16cid:durableId="1262296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C4"/>
    <w:rsid w:val="00034616"/>
    <w:rsid w:val="0006063C"/>
    <w:rsid w:val="0015074B"/>
    <w:rsid w:val="0029639D"/>
    <w:rsid w:val="002B5C8E"/>
    <w:rsid w:val="00326F90"/>
    <w:rsid w:val="003C02BB"/>
    <w:rsid w:val="006D06C7"/>
    <w:rsid w:val="00826382"/>
    <w:rsid w:val="009C00FC"/>
    <w:rsid w:val="00AA1D8D"/>
    <w:rsid w:val="00B47730"/>
    <w:rsid w:val="00CB0664"/>
    <w:rsid w:val="00D22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5FE66"/>
  <w14:defaultImageDpi w14:val="300"/>
  <w15:docId w15:val="{7D67AB89-AC30-884C-81B1-3102CFD78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28</Pages>
  <Words>10839</Words>
  <Characters>58641</Characters>
  <Application>Microsoft Office Word</Application>
  <DocSecurity>0</DocSecurity>
  <Lines>977</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cgoytia</cp:lastModifiedBy>
  <cp:revision>3</cp:revision>
  <dcterms:created xsi:type="dcterms:W3CDTF">2013-12-23T23:15:00Z</dcterms:created>
  <dcterms:modified xsi:type="dcterms:W3CDTF">2026-06-15T18:17:00Z</dcterms:modified>
  <cp:category/>
</cp:coreProperties>
</file>