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E5869"/>
          <w:sz w:val="40"/>
        </w:rPr>
        <w:t>Inteligencia artificial y tributación del suelo</w:t>
      </w:r>
    </w:p>
    <w:p>
      <w:r>
        <w:rPr>
          <w:i/>
          <w:color w:val="4E5869"/>
          <w:sz w:val="26"/>
        </w:rPr>
        <w:t>Una discusión sobre escenarios futuros</w:t>
      </w:r>
    </w:p>
    <w:p>
      <w:r>
        <w:rPr>
          <w:b w:val="0"/>
          <w:i w:val="0"/>
          <w:color w:val="666666"/>
          <w:sz w:val="20"/>
        </w:rPr>
        <w:t>Gilles Duranton</w:t>
      </w:r>
      <w:r>
        <w:rPr>
          <w:color w:val="666666"/>
          <w:sz w:val="20"/>
        </w:rPr>
        <w:br/>
      </w:r>
      <w:r>
        <w:rPr>
          <w:b w:val="0"/>
          <w:i w:val="0"/>
          <w:color w:val="666666"/>
          <w:sz w:val="20"/>
        </w:rPr>
        <w:t xml:space="preserve"> Ensayo breve · Borrador para discusión · Junio de 2026 </w:t>
      </w:r>
    </w:p>
    <w:p>
      <w:pPr>
        <w:ind w:left="360"/>
      </w:pPr>
      <w:r>
        <w:rPr>
          <w:b/>
          <w:i w:val="0"/>
          <w:sz w:val="21"/>
        </w:rPr>
        <w:t>Resumen.</w:t>
      </w:r>
      <w:r>
        <w:rPr>
          <w:b w:val="0"/>
          <w:i w:val="0"/>
          <w:sz w:val="21"/>
        </w:rPr>
        <w:t xml:space="preserve"> La inteligencia artificial (IA) será recordada menos por lo que automátiza que por cómo redistribuye el excedente entre los factores de producción. En la lógica del equilibrio espacial, una porción considerable de cualquier ganancia de productividad termina capitalizándose en el valor del suelo. Esto reabre, con fuerza renovada, la vieja pregunta georgista: si la renta del suelo es un excedente no producido por su propietario, ¿no es ese el objeto tributario por excelencia? La idea de gravar las rentas de factores fijos a medida que la IA erosiona la base laboral ya está en la literatura —de Korinek y Stiglitz (2017/2019) a Korinek y Lockwood (2026). Mi contribución es doble: mostrar por qué el excedente se capitaliza </w:t>
      </w:r>
      <w:r>
        <w:rPr>
          <w:b w:val="0"/>
          <w:i/>
          <w:sz w:val="21"/>
        </w:rPr>
        <w:t>preferentemente</w:t>
      </w:r>
      <w:r>
        <w:rPr>
          <w:b w:val="0"/>
          <w:i w:val="0"/>
          <w:sz w:val="21"/>
        </w:rPr>
        <w:t xml:space="preserve"> en el suelo, y no de modo neutral entre factores fijos; y argumentar que la propia IA, al volver trivial la valuación separada del suelo, convierte al impuesto georgista de elegancia teórica en instrumento aplicable. Discuto tres escenarios —hiperaglomeración, gran dispersión y la revolución de la valuación— y sostengo que, cualquiera sea el patrón espacial que se imponga, el argumento a favor de gravar el valor del suelo se fortalece, no se debilita. </w:t>
      </w:r>
    </w:p>
    <w:p>
      <w:pPr>
        <w:pStyle w:val="Heading1"/>
        <w:jc w:val="left"/>
      </w:pPr>
      <w:r>
        <w:rPr>
          <w:color w:val="4E5869"/>
        </w:rPr>
        <w:t>1. El punto de partida</w:t>
      </w:r>
    </w:p>
    <w:p>
      <w:pPr>
        <w:jc w:val="both"/>
      </w:pPr>
      <w:r>
        <w:rPr>
          <w:b w:val="0"/>
          <w:i w:val="0"/>
        </w:rPr>
        <w:t xml:space="preserve">Conviene empezar por lo que sabemos con cierta confianza. Primero, el suelo es, en su componente de localización, un factor de oferta fija: no se produce más suelo central porque suba su precio. Segundo, en equilibrio espacial los hogares y las empresas son aproximadamente indiferentes entre localizaciones una vez que se descuentan salarios, precios y amenidades; las diferencias de productividad o de calidad de vida entre lugares no desaparecen, sino que se </w:t>
      </w:r>
      <w:r>
        <w:rPr>
          <w:b w:val="0"/>
          <w:i/>
        </w:rPr>
        <w:t>capitalizan</w:t>
      </w:r>
      <w:r>
        <w:rPr>
          <w:b w:val="0"/>
          <w:i w:val="0"/>
        </w:rPr>
        <w:t>. El corolario es incómodo pero robusto: cuando una innovación eleva la productividad de un lugar, buena parte de la ganancia no queda en manos de quien trabaja o invierte allí, sino de quien posee el suelo.</w:t>
      </w:r>
    </w:p>
    <w:p>
      <w:pPr>
        <w:jc w:val="both"/>
      </w:pPr>
      <w:r>
        <w:rPr>
          <w:b w:val="0"/>
          <w:i w:val="0"/>
        </w:rPr>
        <w:t>Estas dos observaciones bastan para sospechar que la IA y la tributación del suelo están más entrelazadas de lo que sugiere la conversación pública, hoy dominada por la automatización del empleo. Si la IA es, como muchos anticipan, una tecnología de propósito general, su efecto de largo plazo sobre los precios relativos de los factores será de primer orden. Y entre esos factores, el suelo ocupa una posición peculiar: es el único cuya oferta no responde, y por lo tanto el único cuyo gravamen no introduce, en principio, distorsiones de eficiencia. Henry George lo intuyó hace siglo y medio; la novedad es el contexto.</w:t>
      </w:r>
    </w:p>
    <w:p>
      <w:pPr>
        <w:pStyle w:val="Heading1"/>
        <w:jc w:val="left"/>
      </w:pPr>
      <w:r>
        <w:rPr>
          <w:color w:val="4E5869"/>
        </w:rPr>
        <w:t>2. El argumento de la capitalización</w:t>
      </w:r>
    </w:p>
    <w:p>
      <w:pPr>
        <w:jc w:val="both"/>
      </w:pPr>
      <w:r>
        <w:rPr>
          <w:b w:val="0"/>
          <w:i w:val="0"/>
        </w:rPr>
        <w:t>Supongamos que la IA aumenta la productividad del trabajo en las ocupaciones que se concentran en las ciudades —servicios profesionales, finanzas, diseño, investigación. En el corto plazo, eso eleva salarios y beneficios. Pero si los lugares productivos son escasos —y lo son, porque el suelo bien localizado es escaso— la competencia por acceder a ellos empuja hacia arriba las rentas. Parte de lo que la IA "regala" en productividad se filtra, vía precios inmobiliarios, hacia los propietarios del suelo. Es el mismo mecanismo que convirtió las ganancias de productividad de los centros tecnológicos en alquileres prohibitivos: la innovación se socializa como progreso y se privatiza como renta del suelo.</w:t>
      </w:r>
    </w:p>
    <w:p>
      <w:pPr>
        <w:jc w:val="both"/>
      </w:pPr>
      <w:r>
        <w:rPr>
          <w:b w:val="0"/>
          <w:i w:val="0"/>
        </w:rPr>
        <w:t>Este punto tiene una consecuencia distributiva que merece subrayarse. Gran parte de la preocupación contemporánea por la IA es que desplace rentas del trabajo hacia el capital —hacia quienes poseen los modelos, los datos y los centros de cómputo. Es un temor legítimo. Pero el capital, a diferencia del suelo, es reproducible: si su retorno sube, se acumula más capital y el retorno tiende a normalizarse. El suelo no. De modo que, en horizontes largos, una fracción desproporcionada del excedente de la IA podría no terminar en el capital sino en la tierra, el único factor que no puede multiplicarse en respuesta. Si esto es así, la política fiscal que mira solo al capital corporativo estaría vigilando la puerta equivocada.</w:t>
      </w:r>
    </w:p>
    <w:p>
      <w:pPr>
        <w:pStyle w:val="Heading1"/>
        <w:jc w:val="left"/>
      </w:pPr>
      <w:r>
        <w:rPr>
          <w:color w:val="4E5869"/>
        </w:rPr>
        <w:t>3. ¿Quién lo ha dicho antes? Situando el argumento</w:t>
      </w:r>
    </w:p>
    <w:p>
      <w:pPr>
        <w:jc w:val="both"/>
      </w:pPr>
      <w:r>
        <w:rPr>
          <w:b w:val="0"/>
          <w:i w:val="0"/>
        </w:rPr>
        <w:t xml:space="preserve">Conviene ser explícito sobre qué parte de esto es nueva y qué parte recoge una conversación que ya está en marcha. La idea de que la IA reactiva el caso por gravar las rentas de factores fijos no es mía. Su formulación más influyente es la de </w:t>
      </w:r>
      <w:r>
        <w:rPr>
          <w:b/>
          <w:i w:val="0"/>
        </w:rPr>
        <w:t>Korinek y Stiglitz</w:t>
      </w:r>
      <w:r>
        <w:rPr>
          <w:b w:val="0"/>
          <w:i w:val="0"/>
        </w:rPr>
        <w:t xml:space="preserve"> (2017/2019): a medida que la IA erosiona la participación del trabajo en el ingreso —y con ella la base imponible laboral—, gravar las rentas de los factores que no pueden reproducirse (suelo no mejorado, espectro, conjuntos de datos únicos) se vuelve a la vez más necesario y más eficiente. Su punto técnico es contundente: el resultado de Atkinson–Stiglitz, que en economías normales relega el impuesto al suelo, pierde fuerza precisamente cuando el trabajo deja de ser una base tributaria viable; el gravamen a la renta pura no introduce costo de eficiencia, mientras que la máxima recaudación laboral como proporción del producto tiende a cero cuando la participación del capital tiende a uno.</w:t>
      </w:r>
    </w:p>
    <w:p>
      <w:pPr>
        <w:jc w:val="both"/>
      </w:pPr>
      <w:r>
        <w:rPr>
          <w:b w:val="0"/>
          <w:i w:val="0"/>
        </w:rPr>
        <w:t xml:space="preserve">Esta línea se ha consolidado. </w:t>
      </w:r>
      <w:r>
        <w:rPr>
          <w:b/>
          <w:i w:val="0"/>
        </w:rPr>
        <w:t>Korinek y Lockwood</w:t>
      </w:r>
      <w:r>
        <w:rPr>
          <w:b w:val="0"/>
          <w:i w:val="0"/>
        </w:rPr>
        <w:t xml:space="preserve"> (2026), en su marco de finanzas públicas para la era de la IA, vuelven a colocar al suelo entre las bases naturales —junto a los superbeneficios de la concentración y a otras rentas— y discuten alternativas como fondos soberanos que inviertan en empresas de IA o gravamenes al capital. Trabajos recientes del </w:t>
      </w:r>
      <w:r>
        <w:rPr>
          <w:b/>
          <w:i w:val="0"/>
        </w:rPr>
        <w:t>FMI</w:t>
      </w:r>
      <w:r>
        <w:rPr>
          <w:b w:val="0"/>
          <w:i w:val="0"/>
        </w:rPr>
        <w:t xml:space="preserve"> (2025) sobre adopción de IA y desigualdad, y propuestas como la del "impuesto a la riqueza algorítmica" (2026), comparten el diagnóstico de fondo: el excedente migra hacia el capital, los datos y las rentas, y el sistema fiscal debe seguirlo. En el plano formal, la modelización del impuesto al valor del suelo conoce además un renacimiento propio —la tradición del </w:t>
      </w:r>
      <w:r>
        <w:rPr>
          <w:b/>
          <w:i w:val="0"/>
        </w:rPr>
        <w:t>teorema de Henry George</w:t>
      </w:r>
      <w:r>
        <w:rPr>
          <w:b w:val="0"/>
          <w:i w:val="0"/>
        </w:rPr>
        <w:t xml:space="preserve"> (Arnott y Stiglitz, 1979), según el cual, en la ciudad de tamaño óptimo, las rentas agregadas del suelo bastan para financiar los bienes públicos, lo que es directamente pertinente si se concibe a la IA como un shock de productividad de carácter cuasi–público.</w:t>
      </w:r>
    </w:p>
    <w:p>
      <w:pPr>
        <w:jc w:val="both"/>
      </w:pPr>
      <w:r>
        <w:rPr>
          <w:b w:val="0"/>
          <w:i w:val="0"/>
        </w:rPr>
        <w:t xml:space="preserve">Acaso lo más revelador es que el argumento ya no habita solo en la academia: lo formulan, casi con las mismas palabras, los propios constructores de la IA. En </w:t>
      </w:r>
      <w:r>
        <w:rPr>
          <w:b w:val="0"/>
          <w:i/>
        </w:rPr>
        <w:t>Moore's Law for Everything</w:t>
      </w:r>
      <w:r>
        <w:rPr>
          <w:b w:val="0"/>
          <w:i w:val="0"/>
        </w:rPr>
        <w:t xml:space="preserve"> (2021), </w:t>
      </w:r>
      <w:r>
        <w:rPr>
          <w:b/>
          <w:i w:val="0"/>
        </w:rPr>
        <w:t>Sam Altman</w:t>
      </w:r>
      <w:r>
        <w:rPr>
          <w:b w:val="0"/>
          <w:i w:val="0"/>
        </w:rPr>
        <w:t xml:space="preserve"> sostiene que la IA abaratará casi todo —porque el costo dominante a lo largo de la cadena es el trabajo—, de modo que las dos grandes fuentes de riqueza futuras serán las empresas que usan IA y el suelo, único activo de oferta fija. Su propuesta, el "American Equity Fund", grava empresas y suelo al 2,5 % anual y reparte el producto. Lo decisivo, para nuestro propósito, es la nota al pie de su razonamiento: Altman reconoce que </w:t>
      </w:r>
      <w:r>
        <w:rPr>
          <w:b w:val="0"/>
          <w:i/>
        </w:rPr>
        <w:t>lo teóricamente óptimo sería gravar solo el valor del suelo, no las mejoras</w:t>
      </w:r>
      <w:r>
        <w:rPr>
          <w:b w:val="0"/>
          <w:i w:val="0"/>
        </w:rPr>
        <w:t>, y que si propone gravar ambos a una tasa menor es únicamente porque valuar el suelo por separado le parece, "en la práctica", demasiado difícil. Es decir: uno de los principales artífices de la IA suscribe el ideal georgista y señala, como única objeción, exactamente el cuello de botella que este ensayo sostiene que la IA disuelve. No sorprende, entonces, que Altman sea el inversor principal de ValueBase, la empresa de valuación del suelo de Lars Doucet. El círculo se cierra: el capital de la IA financia la herramienta que vuelve trivial la objeción que el propio Altman invoca. Otros desde el mismo mundo —Vinod Khosla, o el documento de política fiscal de OpenAI, que propone desplazar la carga del trabajo al capital y a los retornos sostenidos de la IA— empujan en la misma dirección, aunque sin llegar al suelo con la nitidez de Altman.</w:t>
      </w:r>
    </w:p>
    <w:p>
      <w:pPr>
        <w:jc w:val="both"/>
      </w:pPr>
      <w:r>
        <w:rPr>
          <w:b w:val="0"/>
          <w:i w:val="0"/>
        </w:rPr>
        <w:t xml:space="preserve">¿Dónde queda, entonces, lo propio de este ensayo? En dos desplazamientos. </w:t>
      </w:r>
      <w:r>
        <w:rPr>
          <w:b w:val="0"/>
          <w:i/>
        </w:rPr>
        <w:t>Primero</w:t>
      </w:r>
      <w:r>
        <w:rPr>
          <w:b w:val="0"/>
          <w:i w:val="0"/>
        </w:rPr>
        <w:t xml:space="preserve">, la literatura de finanzas públicas trata al suelo como </w:t>
      </w:r>
      <w:r>
        <w:rPr>
          <w:b w:val="0"/>
          <w:i/>
        </w:rPr>
        <w:t>uno más</w:t>
      </w:r>
      <w:r>
        <w:rPr>
          <w:b w:val="0"/>
          <w:i w:val="0"/>
        </w:rPr>
        <w:t xml:space="preserve"> en una lista de factores fijos cuyas rentas conviene gravar cuando se agota la base laboral. El argumento espacial es más fuerte: por equilibrio espacial, las ganancias de productividad de la IA no se reparten al azar entre factores fijos, sino que se </w:t>
      </w:r>
      <w:r>
        <w:rPr>
          <w:b w:val="0"/>
          <w:i/>
        </w:rPr>
        <w:t>capitalizan preferentemente en el suelo</w:t>
      </w:r>
      <w:r>
        <w:rPr>
          <w:b w:val="0"/>
          <w:i w:val="0"/>
        </w:rPr>
        <w:t xml:space="preserve">, el único factor estrictamente no reproducible y, por tanto, el reclamante residual de última instancia. El suelo no es un ítem de la lista: tiende a ser el sumidero donde el excedente termina por acumularse. </w:t>
      </w:r>
      <w:r>
        <w:rPr>
          <w:b w:val="0"/>
          <w:i/>
        </w:rPr>
        <w:t>Segundo</w:t>
      </w:r>
      <w:r>
        <w:rPr>
          <w:b w:val="0"/>
          <w:i w:val="0"/>
        </w:rPr>
        <w:t xml:space="preserve">, y rara vez subrayado en esta literatura, la IA no solo cambia </w:t>
      </w:r>
      <w:r>
        <w:rPr>
          <w:b w:val="0"/>
          <w:i/>
        </w:rPr>
        <w:t>cuánto</w:t>
      </w:r>
      <w:r>
        <w:rPr>
          <w:b w:val="0"/>
          <w:i w:val="0"/>
        </w:rPr>
        <w:t xml:space="preserve"> hay que gravar sino </w:t>
      </w:r>
      <w:r>
        <w:rPr>
          <w:b w:val="0"/>
          <w:i/>
        </w:rPr>
        <w:t>cuán factible</w:t>
      </w:r>
      <w:r>
        <w:rPr>
          <w:b w:val="0"/>
          <w:i w:val="0"/>
        </w:rPr>
        <w:t xml:space="preserve"> es hacerlo: disuelve el cuello de botella administrativo que durante un siglo fue la objeción decisiva al impuesto georgista. No es casual que el renacimiento georgista contemporáneo —Lars Doucet, su libro </w:t>
      </w:r>
      <w:r>
        <w:rPr>
          <w:b w:val="0"/>
          <w:i/>
        </w:rPr>
        <w:t>Land Is a Big Deal</w:t>
      </w:r>
      <w:r>
        <w:rPr>
          <w:b w:val="0"/>
          <w:i w:val="0"/>
        </w:rPr>
        <w:t xml:space="preserve"> y la empresa de valuación del suelo ValueBase— combine activismo georgista con aprendizaje automático, y que su principal inversor provenga, con cierta ironía, del propio mundo de la IA. La técnica que concentra la renta es la misma que la vuelve medible.</w:t>
      </w:r>
    </w:p>
    <w:p>
      <w:pPr>
        <w:pStyle w:val="Heading1"/>
        <w:jc w:val="left"/>
      </w:pPr>
      <w:r>
        <w:rPr>
          <w:color w:val="4E5869"/>
        </w:rPr>
        <w:t>4. Tres escenarios</w:t>
      </w:r>
    </w:p>
    <w:p>
      <w:pPr>
        <w:jc w:val="both"/>
      </w:pPr>
      <w:r>
        <w:rPr>
          <w:b w:val="0"/>
          <w:i w:val="0"/>
        </w:rPr>
        <w:t>La dirección del efecto sobre las rentas es relativamente clara; su geografía, en cambio, no. Aquí conviene la honestidad del economista empírico: no sabemos aún cómo la IA reorganizará el espacio. Propongo tres escenarios, no como predicciones sino como casos límite útiles para pensar.</w:t>
      </w:r>
    </w:p>
    <w:p>
      <w:pPr>
        <w:pStyle w:val="Heading2"/>
      </w:pPr>
      <w:r>
        <w:rPr>
          <w:color w:val="4E5869"/>
        </w:rPr>
        <w:t>4.1. Hiperaglomeración</w:t>
      </w:r>
    </w:p>
    <w:p>
      <w:pPr>
        <w:jc w:val="both"/>
      </w:pPr>
      <w:r>
        <w:rPr>
          <w:b w:val="0"/>
          <w:i w:val="0"/>
        </w:rPr>
        <w:t xml:space="preserve">Si la IA </w:t>
      </w:r>
      <w:r>
        <w:rPr>
          <w:b w:val="0"/>
          <w:i/>
        </w:rPr>
        <w:t>complementa</w:t>
      </w:r>
      <w:r>
        <w:rPr>
          <w:b w:val="0"/>
          <w:i w:val="0"/>
        </w:rPr>
        <w:t xml:space="preserve"> el talento de alta calificación y las interacciones presenciales densas —si los mejores resultados surgen donde se combinan modelos potentes con concentraciones de personas que saben usarlos— las ciudades superestrella se vuelven aún más dominantes. El gradiente de precios del suelo se empina. En este mundo, las rentas se concentran geográficamente y la desigualdad entre lugares se agudiza. El impuesto al valor del suelo aparece aquí como el instrumento natural para recapturar, en favor de la colectividad, un excedente que la propia colectividad generó al aglomerarse.</w:t>
      </w:r>
    </w:p>
    <w:p>
      <w:pPr>
        <w:pStyle w:val="Heading2"/>
      </w:pPr>
      <w:r>
        <w:rPr>
          <w:color w:val="4E5869"/>
        </w:rPr>
        <w:t>4.2. La gran dispersión</w:t>
      </w:r>
    </w:p>
    <w:p>
      <w:pPr>
        <w:jc w:val="both"/>
      </w:pPr>
      <w:r>
        <w:rPr>
          <w:b w:val="0"/>
          <w:i w:val="0"/>
        </w:rPr>
        <w:t xml:space="preserve">Si, por el contrario, la IA </w:t>
      </w:r>
      <w:r>
        <w:rPr>
          <w:b w:val="0"/>
          <w:i/>
        </w:rPr>
        <w:t>sustituye</w:t>
      </w:r>
      <w:r>
        <w:rPr>
          <w:b w:val="0"/>
          <w:i w:val="0"/>
        </w:rPr>
        <w:t xml:space="preserve"> la proximidad —si vuelve prescindible estar en el mismo lugar para coordinar, decidir y crear— el gradiente se aplana. El valor migra del centro hacia una periferia más extensa y hacia ciudades intermedias antes rezagadas. Tentaría concluir que entonces "ya no hay renta que gravar". Sería un error. La renta no desaparece: se redistribuye en el territorio y, con frecuencia, se vuelve </w:t>
      </w:r>
      <w:r>
        <w:rPr>
          <w:b w:val="0"/>
          <w:i/>
        </w:rPr>
        <w:t>menos visible</w:t>
      </w:r>
      <w:r>
        <w:rPr>
          <w:b w:val="0"/>
          <w:i w:val="0"/>
        </w:rPr>
        <w:t xml:space="preserve"> y por ello más fácil de capturar de manera regresiva por la especulación. Un sistema tributario anclado en el valor del suelo se adapta automáticamente a esa redistribución; uno anclado en transacciones o en la mejora edilicia, no.</w:t>
      </w:r>
    </w:p>
    <w:p>
      <w:pPr>
        <w:pStyle w:val="Heading2"/>
      </w:pPr>
      <w:r>
        <w:rPr>
          <w:color w:val="4E5869"/>
        </w:rPr>
        <w:t>4.3. La revolución de la valuación</w:t>
      </w:r>
    </w:p>
    <w:p>
      <w:pPr>
        <w:jc w:val="both"/>
      </w:pPr>
      <w:r>
        <w:rPr>
          <w:b w:val="0"/>
          <w:i w:val="0"/>
        </w:rPr>
        <w:t>El tercer escenario es el menos discutido y, sospecho, el más consecuente. Durante un siglo, la objeción práctica al impuesto al valor del suelo no fue teórica sino administrativa: separar el valor del suelo del valor de las mejoras es difícil, costoso y disputable. Ese era el cuello de botella. La IA lo disuelve. Imágenes satelitales, registros transaccionales, modelos de valuación masiva y aprendizaje automático permiten hoy estimar superficies de valor del suelo con una resolución, frecuencia y transparencia impensables hace una década. La misma tecnología que reordena la renta provee, casi como subproducto, el instrumento para medirla. Por primera vez, el impuesto georgista deja de ser una elegancia teórica para volverse administrativamente trivial.</w:t>
      </w:r>
    </w:p>
    <w:p>
      <w:pPr>
        <w:pStyle w:val="Heading1"/>
        <w:jc w:val="left"/>
      </w:pPr>
      <w:r>
        <w:rPr>
          <w:color w:val="4E5869"/>
        </w:rPr>
        <w:t>5. Implicaciones de política</w:t>
      </w:r>
    </w:p>
    <w:p>
      <w:pPr>
        <w:jc w:val="both"/>
      </w:pPr>
      <w:r>
        <w:rPr>
          <w:b w:val="0"/>
          <w:i w:val="0"/>
        </w:rPr>
        <w:t>De los tres escenarios extraigo una conclusión común y un par de advertencias. La conclusión: cualquiera sea el patrón espacial que imponga la IA —concentración, dispersión o algo intermedio— el caso a favor de gravar el valor del suelo se refuerza. En todos los caminos, la IA genera excedente, ese excedente tiende a capitalizarse en el suelo, y ahora podemos medirlo. Un impuesto recurrente sobre el valor del suelo —no sobre la edificación, que es producida y debe alentarse— recauda sin distorsionar, desalienta la especulación con suelo ocioso y devuelve a la comunidad un valor que la comunidad creó.</w:t>
      </w:r>
    </w:p>
    <w:p>
      <w:pPr>
        <w:jc w:val="both"/>
      </w:pPr>
      <w:r>
        <w:rPr>
          <w:b w:val="0"/>
          <w:i w:val="0"/>
        </w:rPr>
        <w:t>Primera advertencia: la capacidad técnica de valuar no es lo mismo que la capacidad política de gravar. Los propietarios del suelo son, casi por definición, un grupo organizado y con voz. La IA elimina la excusa administrativa, pero no la resistencia distributiva; podría incluso agravarla si la concentración de la propiedad aumenta. Segunda advertencia: la valuación algorítmica masiva traslada poder a quien controla los modelos y los datos. Una administración tributaria opaca, dependiente de un proveedor privado de "precios del suelo", reproduciría en el Estado la misma asimetría que tememos en el mercado. La transparencia metodológica y el acceso público a los datos de valuación no son un detalle técnico: son la condición de legitimidad de todo el esquema.</w:t>
      </w:r>
    </w:p>
    <w:p>
      <w:pPr>
        <w:pStyle w:val="Heading1"/>
        <w:jc w:val="left"/>
      </w:pPr>
      <w:r>
        <w:rPr>
          <w:color w:val="4E5869"/>
        </w:rPr>
        <w:t>6. Una nota de cautela</w:t>
      </w:r>
    </w:p>
    <w:p>
      <w:pPr>
        <w:jc w:val="both"/>
      </w:pPr>
      <w:r>
        <w:rPr>
          <w:b w:val="0"/>
          <w:i w:val="0"/>
        </w:rPr>
        <w:t>Cerraría con la prudencia que el oficio aconseja. Casi todo lo anterior descansa en intuiciones de equilibrio espacial y en analogías históricas, no en evidencia sobre una tecnología que apenas comienza a desplegarse. No sabemos la magnitud de las ganancias de productividad, ni qué fracción se capitalizará en suelo frente a salarios o beneficios, ni a qué velocidad. La agenda empírica es enorme y está casi vacía: medir la elasticidad de los precios del suelo ante shocks de productividad atribuibles a la IA, distinguir complementariedad de sustitución en el uso del espacio, evaluar cómo se comportan las valuaciones algorítmicas bajo presión política.</w:t>
      </w:r>
    </w:p>
    <w:p>
      <w:pPr>
        <w:jc w:val="both"/>
      </w:pPr>
      <w:r>
        <w:rPr>
          <w:b w:val="0"/>
          <w:i w:val="0"/>
        </w:rPr>
        <w:t>Pero la incertidumbre sobre las magnitudes no debe confundirse con incertidumbre sobre la dirección. La lógica es clara: la IA produce excedente, el excedente busca el suelo, y por fin disponemos de la regla para medirlo. Que el siglo XXI termine recordando a Henry George no sería la menor de las ironías que nos depare la inteligencia artificial.</w:t>
      </w:r>
    </w:p>
    <w:p>
      <w:pPr>
        <w:pStyle w:val="Heading2"/>
      </w:pPr>
      <w:r>
        <w:rPr>
          <w:color w:val="4E5869"/>
        </w:rPr>
        <w:t>Referencias</w:t>
      </w:r>
    </w:p>
    <w:p>
      <w:pPr>
        <w:ind w:left="360" w:hanging="360"/>
      </w:pPr>
      <w:r>
        <w:rPr>
          <w:b w:val="0"/>
          <w:i w:val="0"/>
          <w:sz w:val="20"/>
        </w:rPr>
        <w:t xml:space="preserve">Altman, S. (2021). "Moore's Law for Everything". (Propone el </w:t>
      </w:r>
      <w:r>
        <w:rPr>
          <w:b w:val="0"/>
          <w:i/>
          <w:sz w:val="20"/>
        </w:rPr>
        <w:t>American Equity Fund</w:t>
      </w:r>
      <w:r>
        <w:rPr>
          <w:b w:val="0"/>
          <w:i w:val="0"/>
          <w:sz w:val="20"/>
        </w:rPr>
        <w:t>: gravar empresas y suelo al 2,5 % anual; reconoce que gravar solo el valor del suelo sería óptimo, pero lo descarta por la dificultad de valuación.)</w:t>
      </w:r>
    </w:p>
    <w:p>
      <w:pPr>
        <w:ind w:left="360" w:hanging="360"/>
      </w:pPr>
      <w:r>
        <w:rPr>
          <w:b w:val="0"/>
          <w:i w:val="0"/>
          <w:sz w:val="20"/>
        </w:rPr>
        <w:t xml:space="preserve">Arnott, R. y J. E. Stiglitz (1979). "Aggregate Land Rents, Expenditure on Public Goods, and Optimal City Size", </w:t>
      </w:r>
      <w:r>
        <w:rPr>
          <w:b w:val="0"/>
          <w:i/>
          <w:sz w:val="20"/>
        </w:rPr>
        <w:t>Quarterly Journal of Economics</w:t>
      </w:r>
      <w:r>
        <w:rPr>
          <w:b w:val="0"/>
          <w:i w:val="0"/>
          <w:sz w:val="20"/>
        </w:rPr>
        <w:t xml:space="preserve"> 93(4) (teorema de Henry George).</w:t>
      </w:r>
    </w:p>
    <w:p>
      <w:pPr>
        <w:ind w:left="360" w:hanging="360"/>
      </w:pPr>
      <w:r>
        <w:rPr>
          <w:b w:val="0"/>
          <w:i w:val="0"/>
          <w:sz w:val="20"/>
        </w:rPr>
        <w:t xml:space="preserve">Doucet, L. (2022). </w:t>
      </w:r>
      <w:r>
        <w:rPr>
          <w:b w:val="0"/>
          <w:i/>
          <w:sz w:val="20"/>
        </w:rPr>
        <w:t>Land Is a Big Deal</w:t>
      </w:r>
      <w:r>
        <w:rPr>
          <w:b w:val="0"/>
          <w:i w:val="0"/>
          <w:sz w:val="20"/>
        </w:rPr>
        <w:t xml:space="preserve">. (Véase también la serie "Does Georgism Work?" en </w:t>
      </w:r>
      <w:r>
        <w:rPr>
          <w:b w:val="0"/>
          <w:i/>
          <w:sz w:val="20"/>
        </w:rPr>
        <w:t>Astral Codex Ten</w:t>
      </w:r>
      <w:r>
        <w:rPr>
          <w:b w:val="0"/>
          <w:i w:val="0"/>
          <w:sz w:val="20"/>
        </w:rPr>
        <w:t>, y la empresa de valuación del suelo ValueBase.)</w:t>
      </w:r>
    </w:p>
    <w:p>
      <w:pPr>
        <w:ind w:left="360" w:hanging="360"/>
      </w:pPr>
      <w:r>
        <w:rPr>
          <w:b w:val="0"/>
          <w:i w:val="0"/>
          <w:sz w:val="20"/>
        </w:rPr>
        <w:t xml:space="preserve">Duranton, G. y D. Puga (2004). "Micro-foundations of Urban Agglomeration Economies", </w:t>
      </w:r>
      <w:r>
        <w:rPr>
          <w:b w:val="0"/>
          <w:i/>
          <w:sz w:val="20"/>
        </w:rPr>
        <w:t>Handbook of Regional and Urban Economics</w:t>
      </w:r>
      <w:r>
        <w:rPr>
          <w:b w:val="0"/>
          <w:i w:val="0"/>
          <w:sz w:val="20"/>
        </w:rPr>
        <w:t>, vol. 4.</w:t>
      </w:r>
    </w:p>
    <w:p>
      <w:pPr>
        <w:ind w:left="360" w:hanging="360"/>
      </w:pPr>
      <w:r>
        <w:rPr>
          <w:b w:val="0"/>
          <w:i w:val="0"/>
          <w:sz w:val="20"/>
        </w:rPr>
        <w:t xml:space="preserve">Duranton, G. y D. Puga (2020). "The Economics of Urban Density", </w:t>
      </w:r>
      <w:r>
        <w:rPr>
          <w:b w:val="0"/>
          <w:i/>
          <w:sz w:val="20"/>
        </w:rPr>
        <w:t>Journal of Economic Perspectives</w:t>
      </w:r>
      <w:r>
        <w:rPr>
          <w:b w:val="0"/>
          <w:i w:val="0"/>
          <w:sz w:val="20"/>
        </w:rPr>
        <w:t xml:space="preserve"> 34(3).</w:t>
      </w:r>
    </w:p>
    <w:p>
      <w:pPr>
        <w:ind w:left="360" w:hanging="360"/>
      </w:pPr>
      <w:r>
        <w:rPr>
          <w:b w:val="0"/>
          <w:i w:val="0"/>
          <w:sz w:val="20"/>
        </w:rPr>
        <w:t xml:space="preserve">Fondo Monetario Internacional (2025). "AI Adoption and Inequality", </w:t>
      </w:r>
      <w:r>
        <w:rPr>
          <w:b w:val="0"/>
          <w:i/>
          <w:sz w:val="20"/>
        </w:rPr>
        <w:t>IMF Working Paper</w:t>
      </w:r>
      <w:r>
        <w:rPr>
          <w:b w:val="0"/>
          <w:i w:val="0"/>
          <w:sz w:val="20"/>
        </w:rPr>
        <w:t xml:space="preserve"> 2025/068.</w:t>
      </w:r>
    </w:p>
    <w:p>
      <w:pPr>
        <w:ind w:left="360" w:hanging="360"/>
      </w:pPr>
      <w:r>
        <w:rPr>
          <w:b w:val="0"/>
          <w:i w:val="0"/>
          <w:sz w:val="20"/>
        </w:rPr>
        <w:t xml:space="preserve">George, H. (1879). </w:t>
      </w:r>
      <w:r>
        <w:rPr>
          <w:b w:val="0"/>
          <w:i/>
          <w:sz w:val="20"/>
        </w:rPr>
        <w:t>Progress and Poverty</w:t>
      </w:r>
      <w:r>
        <w:rPr>
          <w:b w:val="0"/>
          <w:i w:val="0"/>
          <w:sz w:val="20"/>
        </w:rPr>
        <w:t>.</w:t>
      </w:r>
    </w:p>
    <w:p>
      <w:pPr>
        <w:ind w:left="360" w:hanging="360"/>
      </w:pPr>
      <w:r>
        <w:rPr>
          <w:b w:val="0"/>
          <w:i w:val="0"/>
          <w:sz w:val="20"/>
        </w:rPr>
        <w:t xml:space="preserve">Korinek, A. y J. E. Stiglitz (2019). "Artificial Intelligence and Its Implications for Income Distribution and Unemployment", en </w:t>
      </w:r>
      <w:r>
        <w:rPr>
          <w:b w:val="0"/>
          <w:i/>
          <w:sz w:val="20"/>
        </w:rPr>
        <w:t>The Economics of Artificial Intelligence: An Agenda</w:t>
      </w:r>
      <w:r>
        <w:rPr>
          <w:b w:val="0"/>
          <w:i w:val="0"/>
          <w:sz w:val="20"/>
        </w:rPr>
        <w:t xml:space="preserve"> (NBER); versión previa NBER Working Paper 24174 (2017).</w:t>
      </w:r>
    </w:p>
    <w:p>
      <w:pPr>
        <w:ind w:left="360" w:hanging="360"/>
      </w:pPr>
      <w:r>
        <w:rPr>
          <w:b w:val="0"/>
          <w:i w:val="0"/>
          <w:sz w:val="20"/>
        </w:rPr>
        <w:t>Korinek, A. y L. Lockwood (2026). "Public Finance in the Age of AI: A Primer", NBER Working Paper 34873 / Brookings.</w:t>
      </w:r>
    </w:p>
    <w:p>
      <w:pPr>
        <w:jc w:val="both"/>
      </w:pPr>
      <w:r>
        <w:rPr>
          <w:b/>
          <w:i w:val="0"/>
        </w:rPr>
        <w:t>Una nota sobre la literatura.</w:t>
      </w:r>
      <w:r>
        <w:rPr>
          <w:b w:val="0"/>
          <w:i w:val="0"/>
        </w:rPr>
        <w:t xml:space="preserve"> El argumento de que gravar las rentas de factores fijos —el suelo entre ellos— se vuelve más atractivo a medida que la IA erosiona la base imponible laboral pertenece, ante todo, a Korinek y Stiglitz (2017/2019) y a la agenda de finanzas públicas que de allí deriva (Korinek y Lockwood, 2026). Lo que este ensayo añade es, primero, el énfasis espacial —por qué el excedente se capitaliza </w:t>
      </w:r>
      <w:r>
        <w:rPr>
          <w:b w:val="0"/>
          <w:i/>
        </w:rPr>
        <w:t>preferentemente</w:t>
      </w:r>
      <w:r>
        <w:rPr>
          <w:b w:val="0"/>
          <w:i w:val="0"/>
        </w:rPr>
        <w:t xml:space="preserve"> en el suelo y no se reparte de forma neutral entre factores fijos— y, segundo, el argumento de factibilidad: la IA disuelve el obstáculo administrativo histórico a la valuación separada del suelo, desplazando al impuesto georgista del terreno de la teoría al de la política aplicable.</w:t>
      </w:r>
    </w:p>
    <w:p>
      <w:pPr>
        <w:jc w:val="both"/>
      </w:pPr>
      <w:r>
        <w:rPr>
          <w:b w:val="0"/>
          <w:i w:val="0"/>
        </w:rPr>
        <w:t>Nota: este texto es un ensayo breve de discusión redactado en el estilo y la tradición analítica de la economía urbana. No constituye una publicación revisada por pares ni una declaración oficial de su autor citado.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