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400"/>
        <w:jc w:val="center"/>
      </w:pPr>
      <w:r>
        <w:rPr>
          <w:rFonts w:ascii="Times New Roman" w:cs="Times New Roman" w:eastAsia="Times New Roman" w:hAnsi="Times New Roman"/>
          <w:b/>
          <w:bCs/>
          <w:sz w:val="36"/>
          <w:szCs w:val="36"/>
        </w:rPr>
        <w:t xml:space="preserve">Land Value Capture for Climate Adaptation Finance:</w:t>
      </w:r>
    </w:p>
    <w:p>
      <w:pPr>
        <w:spacing w:after="400"/>
        <w:jc w:val="center"/>
      </w:pPr>
      <w:r>
        <w:rPr>
          <w:rFonts w:ascii="Times New Roman" w:cs="Times New Roman" w:eastAsia="Times New Roman" w:hAnsi="Times New Roman"/>
          <w:b/>
          <w:bCs/>
          <w:sz w:val="32"/>
          <w:szCs w:val="32"/>
        </w:rPr>
        <w:t xml:space="preserve">Integrating Investment Prioritization with Revenue Generation</w:t>
      </w:r>
    </w:p>
    <w:p>
      <w:pPr>
        <w:spacing w:after="200"/>
        <w:jc w:val="center"/>
      </w:pPr>
      <w:r>
        <w:rPr>
          <w:rFonts w:ascii="Times New Roman" w:cs="Times New Roman" w:eastAsia="Times New Roman" w:hAnsi="Times New Roman"/>
          <w:b/>
          <w:bCs/>
          <w:sz w:val="32"/>
          <w:szCs w:val="32"/>
        </w:rPr>
        <w:t xml:space="preserve">in a Water-Stressed Municipality</w:t>
      </w:r>
    </w:p>
    <w:p>
      <w:pPr>
        <w:spacing w:after="200"/>
      </w:pPr>
    </w:p>
    <w:p>
      <w:pPr>
        <w:spacing w:after="200"/>
      </w:pPr>
    </w:p>
    <w:p>
      <w:pPr>
        <w:spacing w:after="100"/>
        <w:jc w:val="center"/>
      </w:pPr>
      <w:r>
        <w:rPr>
          <w:rFonts w:ascii="Times New Roman" w:cs="Times New Roman" w:eastAsia="Times New Roman" w:hAnsi="Times New Roman"/>
          <w:i/>
          <w:iCs/>
          <w:sz w:val="28"/>
          <w:szCs w:val="28"/>
        </w:rPr>
        <w:t xml:space="preserve">POLICY GUIDELINES PAPER</w:t>
      </w:r>
    </w:p>
    <w:p>
      <w:pPr>
        <w:spacing w:after="200"/>
      </w:pPr>
    </w:p>
    <w:p>
      <w:pPr>
        <w:spacing w:after="200"/>
      </w:pPr>
    </w:p>
    <w:p>
      <w:pPr>
        <w:spacing w:after="200"/>
      </w:pPr>
    </w:p>
    <w:p>
      <w:pPr>
        <w:spacing w:after="200"/>
        <w:jc w:val="center"/>
      </w:pPr>
      <w:r>
        <w:rPr>
          <w:rFonts w:ascii="Times New Roman" w:cs="Times New Roman" w:eastAsia="Times New Roman" w:hAnsi="Times New Roman"/>
          <w:i/>
          <w:iCs/>
          <w:sz w:val="22"/>
          <w:szCs w:val="22"/>
        </w:rPr>
        <w:t xml:space="preserve">Keywords: water scarcity, land value capture, climate adaptation finance, bankable projects, trust fund mechanisms, intermediate cities</w:t>
      </w:r>
    </w:p>
    <w:p>
      <w:r>
        <w:br w:type="page"/>
      </w:r>
    </w:p>
    <w:p>
      <w:pPr>
        <w:pStyle w:val="Heading1"/>
        <w:spacing w:before="360" w:after="200"/>
      </w:pPr>
      <w:r>
        <w:rPr>
          <w:rFonts w:ascii="Times New Roman" w:cs="Times New Roman" w:eastAsia="Times New Roman" w:hAnsi="Times New Roman"/>
        </w:rPr>
        <w:t xml:space="preserve">Abstract</w:t>
      </w:r>
    </w:p>
    <w:p>
      <w:pPr>
        <w:spacing w:after="200" w:line="360"/>
        <w:jc w:val="both"/>
      </w:pPr>
      <w:r>
        <w:rPr>
          <w:rFonts w:ascii="Times New Roman" w:cs="Times New Roman" w:eastAsia="Times New Roman" w:hAnsi="Times New Roman"/>
          <w:sz w:val="24"/>
          <w:szCs w:val="24"/>
        </w:rPr>
        <w:t xml:space="preserve">With 2.4 billion people living in water-stressed countries, the need for documented climate adaptation financing models beyond the coastal flooding paradigm is urgent. Yet while evidence shows that adaptation investments generate measurable increases in urban land values, documented cases of land value capture (LVC) instruments actually financing such activities remain rare.</w:t>
      </w:r>
    </w:p>
    <w:p>
      <w:pPr>
        <w:spacing w:after="200" w:line="360"/>
        <w:jc w:val="both"/>
      </w:pPr>
      <w:r>
        <w:rPr>
          <w:rFonts w:ascii="Times New Roman" w:cs="Times New Roman" w:eastAsia="Times New Roman" w:hAnsi="Times New Roman"/>
          <w:sz w:val="24"/>
          <w:szCs w:val="24"/>
        </w:rPr>
        <w:t>This paper documents how Luján de Cuyo, a municipality (~175,000 inhabitants, 2022 census) in Argentina’s semi-arid wine region, developed a comprehensive integration of LVC with climate adaptation financing. Land conversion from agriculture to residential development generates private gains while imposing collective costs: reduced aquifer recharge, increased water demand, and loss of ecosystem services.</w:t>
      </w:r>
    </w:p>
    <w:p>
      <w:pPr>
        <w:spacing w:after="200" w:line="360"/>
        <w:jc w:val="both"/>
      </w:pPr>
      <w:r>
        <w:rPr>
          <w:rFonts w:ascii="Times New Roman" w:cs="Times New Roman" w:eastAsia="Times New Roman" w:hAnsi="Times New Roman"/>
          <w:sz w:val="24"/>
          <w:szCs w:val="24"/>
        </w:rPr>
        <w:t>We analyze the design and coordination of six LVC instruments—betterment contributions, differential rent capture from rezoning, vacant land charges, development rights sales, tax incentives, and transferable development rights—examining their coordination and revenue potential. Two of these instruments—the vacant-land surcharge and, alongside them, a water-and-sewer development charge—are already operational and generating own-source revenue, while the value-capture instruments remain designed and their revenue is estimated ex ante from real municipal works-programme and land-value data. The paper documents the institutional architecture linking these instruments: a Trust Fund structure that pools dedicated revenue streams, creating matchable own-source resources that strengthen municipal capacity to access green bonds and international climate finance for bankable adaptation projects.</w:t>
      </w:r>
    </w:p>
    <w:p>
      <w:pPr>
        <w:spacing w:after="200" w:line="360"/>
        <w:jc w:val="both"/>
      </w:pPr>
      <w:r>
        <w:rPr>
          <w:rFonts w:ascii="Times New Roman" w:cs="Times New Roman" w:eastAsia="Times New Roman" w:hAnsi="Times New Roman"/>
          <w:sz w:val="24"/>
          <w:szCs w:val="24"/>
        </w:rPr>
        <w:t xml:space="preserve">Central to the framework is a 24-indicator Sustainable Urbanism Priority Index that guides investment allocation toward water efficiency infrastructure, aquifer recharge protection, and compact development—embedding climate criteria directly into decision-making and addressing information gaps that limit cities’ access to international financing.</w:t>
      </w:r>
    </w:p>
    <w:p>
      <w:pPr>
        <w:spacing w:after="200" w:line="360"/>
        <w:jc w:val="both"/>
      </w:pPr>
      <w:r>
        <w:rPr>
          <w:rFonts w:ascii="Times New Roman" w:cs="Times New Roman" w:eastAsia="Times New Roman" w:hAnsi="Times New Roman"/>
          <w:sz w:val="24"/>
          <w:szCs w:val="24"/>
        </w:rPr>
        <w:t xml:space="preserve">For mayors in intermediate cities, this case provides transferable tools: instrument design principles, a replicable Trust Fund architecture for leveraging international capital, and an evidence-based allocation methodology applicable to water-stressed regions worldwide.</w:t>
      </w:r>
    </w:p>
    <w:p>
      <w:r>
        <w:br w:type="page"/>
      </w:r>
    </w:p>
    <w:p>
      <w:pPr>
        <w:pStyle w:val="Heading1"/>
        <w:spacing w:before="360" w:after="200"/>
      </w:pPr>
      <w:r>
        <w:rPr>
          <w:rFonts w:ascii="Times New Roman" w:cs="Times New Roman" w:eastAsia="Times New Roman" w:hAnsi="Times New Roman"/>
        </w:rPr>
        <w:t xml:space="preserve">1. Introduction</w:t>
      </w:r>
    </w:p>
    <w:p>
      <w:pPr>
        <w:pStyle w:val="Heading2"/>
        <w:spacing w:before="360" w:after="200"/>
      </w:pPr>
      <w:r>
        <w:rPr>
          <w:rFonts w:ascii="Times New Roman" w:cs="Times New Roman" w:eastAsia="Times New Roman" w:hAnsi="Times New Roman"/>
        </w:rPr>
        <w:t xml:space="preserve">1.1 The Water Stress Imperative</w:t>
      </w:r>
    </w:p>
    <w:p>
      <w:pPr>
        <w:spacing w:after="200" w:line="360"/>
        <w:jc w:val="both"/>
      </w:pPr>
      <w:r>
        <w:rPr>
          <w:rFonts w:ascii="Times New Roman" w:cs="Times New Roman" w:eastAsia="Times New Roman" w:hAnsi="Times New Roman"/>
          <w:sz w:val="24"/>
          <w:szCs w:val="24"/>
        </w:rPr>
        <w:t xml:space="preserve">Climate change is fundamentally reshaping the hydrological conditions under which cities operate. The United Nations estimates that 2.4 billion people currently reside in water-stressed countries, a figure projected to increase significantly as temperatures rise and precipitation patterns shift. While much of the climate adaptation discourse has concentrated on coastal flooding and sea-level rise, inland water scarcity presents an equally pressing—and arguably more widespread—challenge for urban governance. Cities in semi-arid regions face a compounding crisis: growing populations demand more water precisely as aquifer recharge diminishes and agricultural irrigation requirements intensify.</w:t>
      </w:r>
    </w:p>
    <w:p>
      <w:pPr>
        <w:spacing w:after="200" w:line="360"/>
        <w:jc w:val="both"/>
      </w:pPr>
      <w:r>
        <w:rPr>
          <w:rFonts w:ascii="Times New Roman" w:cs="Times New Roman" w:eastAsia="Times New Roman" w:hAnsi="Times New Roman"/>
          <w:sz w:val="24"/>
          <w:szCs w:val="24"/>
        </w:rPr>
        <w:t xml:space="preserve">The financing gap for climate adaptation is well documented. The United Nations Environment Programme’s Adaptation Gap Report estimates that developing countries require between USD 140 and 300 billion annually by 2030 for adaptation, yet current flows reach only a fraction of that figure. For intermediate cities—municipalities with populations between 50,000 and 500,000 that house roughly one-third of the global urban population—the financing challenge is particularly acute. These cities often lack the credit ratings, technical capacity, and institutional frameworks necessary to access international climate finance, green bonds, or multilateral development funds.</w:t>
      </w:r>
    </w:p>
    <w:p>
      <w:pPr>
        <w:spacing w:after="200" w:line="360"/>
        <w:jc w:val="both"/>
      </w:pPr>
      <w:r>
        <w:rPr>
          <w:rFonts w:ascii="Times New Roman" w:cs="Times New Roman" w:eastAsia="Times New Roman" w:hAnsi="Times New Roman"/>
          <w:sz w:val="24"/>
          <w:szCs w:val="24"/>
        </w:rPr>
        <w:t xml:space="preserve">This paper addresses a critical gap at the intersection of urban fiscal policy and climate adaptation: how can municipalities in water-stressed regions generate their own revenue streams for adaptation while simultaneously creating the institutional conditions that unlock external financing? We document the case of Luján de Cuyo, Argentina, where the integration of land value capture instruments with climate adaptation objectives offers a replicable model for intermediate cities worldwide.</w:t>
      </w:r>
    </w:p>
    <w:p>
      <w:pPr>
        <w:pStyle w:val="Heading2"/>
        <w:spacing w:before="360" w:after="200"/>
      </w:pPr>
      <w:r>
        <w:rPr>
          <w:rFonts w:ascii="Times New Roman" w:cs="Times New Roman" w:eastAsia="Times New Roman" w:hAnsi="Times New Roman"/>
        </w:rPr>
        <w:t xml:space="preserve">1.2 Land Value Capture as an Untapped Instrument</w:t>
      </w:r>
    </w:p>
    <w:p>
      <w:pPr>
        <w:spacing w:after="200" w:line="360"/>
        <w:jc w:val="both"/>
      </w:pPr>
      <w:r>
        <w:rPr>
          <w:rFonts w:ascii="Times New Roman" w:cs="Times New Roman" w:eastAsia="Times New Roman" w:hAnsi="Times New Roman"/>
          <w:sz w:val="24"/>
          <w:szCs w:val="24"/>
        </w:rPr>
        <w:t xml:space="preserve">Land value capture (LVC) encompasses a family of fiscal instruments through which public entities recover, for communal benefit, some or all of the land value increments generated by public investment, regulatory changes, or broader socioeconomic processes. The theoretical foundation is straightforward: when public infrastructure investments or planning decisions increase private land values, the resulting “unearned increment” represents an appropriate base for public revenue extraction.</w:t>
      </w:r>
    </w:p>
    <w:p>
      <w:pPr>
        <w:spacing w:after="200" w:line="360"/>
        <w:jc w:val="both"/>
      </w:pPr>
      <w:r>
        <w:rPr>
          <w:rFonts w:ascii="Times New Roman" w:cs="Times New Roman" w:eastAsia="Times New Roman" w:hAnsi="Times New Roman"/>
          <w:sz w:val="24"/>
          <w:szCs w:val="24"/>
        </w:rPr>
        <w:t xml:space="preserve">The literature on LVC in Latin America is substantial, with well-documented experiences from Bogotá, São Paulo, and other large metropolitan areas. Yet the application of LVC specifically to climate adaptation financing remains largely unexplored. Most documented LVC cases focus on transit-oriented development, infrastructure cost recovery, or general revenue generation. The explicit linkage between land value changes attributable to climate adaptation investments and the capture of those values to finance further adaptation activities represents a significant gap in both research and practice.</w:t>
      </w:r>
    </w:p>
    <w:p>
      <w:pPr>
        <w:spacing w:after="200" w:line="360"/>
        <w:jc w:val="both"/>
      </w:pPr>
      <w:r>
        <w:rPr>
          <w:rFonts w:ascii="Times New Roman" w:cs="Times New Roman" w:eastAsia="Times New Roman" w:hAnsi="Times New Roman"/>
          <w:sz w:val="24"/>
          <w:szCs w:val="24"/>
        </w:rPr>
        <w:t xml:space="preserve">Moreover, existing LVC literature overwhelmingly draws from large cities with established institutional capacity. Intermediate cities, which face some of the fastest urbanization rates globally, are rarely studied despite their growing importance. This paper contributes to filling both gaps by documenting a comprehensive LVC framework designed specifically for climate adaptation in a water-stressed intermediate municipality.</w:t>
      </w:r>
    </w:p>
    <w:p>
      <w:pPr>
        <w:pStyle w:val="Heading2"/>
        <w:spacing w:before="360" w:after="200"/>
      </w:pPr>
      <w:r>
        <w:rPr>
          <w:rFonts w:ascii="Times New Roman" w:cs="Times New Roman" w:eastAsia="Times New Roman" w:hAnsi="Times New Roman"/>
        </w:rPr>
        <w:t xml:space="preserve">1.3 Research Questions and Paper Structure</w:t>
      </w:r>
    </w:p>
    <w:p>
      <w:pPr>
        <w:spacing w:after="200" w:line="360"/>
        <w:jc w:val="both"/>
      </w:pPr>
      <w:r>
        <w:rPr>
          <w:rFonts w:ascii="Times New Roman" w:cs="Times New Roman" w:eastAsia="Times New Roman" w:hAnsi="Times New Roman"/>
          <w:sz w:val="24"/>
          <w:szCs w:val="24"/>
        </w:rPr>
        <w:t xml:space="preserve">This paper addresses three interconnected research questions. First, how can multiple LVC instruments be designed and coordinated to generate dedicated revenue for climate adaptation in a water-stressed municipality? Second, what institutional architecture is required to pool LVC revenues, create bankable projects, and leverage international climate finance? Third, how can investment allocation criteria embed climate priorities while generating the evidence base that international financiers require?</w:t>
      </w:r>
    </w:p>
    <w:p>
      <w:pPr>
        <w:spacing w:after="200" w:line="360"/>
        <w:jc w:val="both"/>
      </w:pPr>
      <w:r>
        <w:rPr>
          <w:rFonts w:ascii="Times New Roman" w:cs="Times New Roman" w:eastAsia="Times New Roman" w:hAnsi="Times New Roman"/>
          <w:sz w:val="24"/>
          <w:szCs w:val="24"/>
        </w:rPr>
        <w:t xml:space="preserve">The paper proceeds as follows. Section 2 reviews the literature on LVC, climate adaptation finance, and the specific challenges facing water-stressed intermediate cities. Section 3 describes the case context and methodology. Section 4 presents the six LVC instruments. Section 5 documents the Trust Fund architecture. Section 6 introduces the Sustainable Urbanism Priority Index. Section 7 analyzes revenue potential. Section 8 discusses transferability, and Section 9 concludes.</w:t>
      </w:r>
    </w:p>
    <w:p>
      <w:r>
        <w:br w:type="page"/>
      </w:r>
    </w:p>
    <w:p>
      <w:pPr>
        <w:pStyle w:val="Heading1"/>
        <w:spacing w:before="360" w:after="200"/>
      </w:pPr>
      <w:r>
        <w:rPr>
          <w:rFonts w:ascii="Times New Roman" w:cs="Times New Roman" w:eastAsia="Times New Roman" w:hAnsi="Times New Roman"/>
        </w:rPr>
        <w:t xml:space="preserve">2. Literature Review and Conceptual Framework</w:t>
      </w:r>
    </w:p>
    <w:p>
      <w:pPr>
        <w:pStyle w:val="Heading2"/>
        <w:spacing w:before="360" w:after="200"/>
      </w:pPr>
      <w:r>
        <w:rPr>
          <w:rFonts w:ascii="Times New Roman" w:cs="Times New Roman" w:eastAsia="Times New Roman" w:hAnsi="Times New Roman"/>
        </w:rPr>
        <w:t xml:space="preserve">2.1 Land Value Capture: Theory and Latin American Practice</w:t>
      </w:r>
    </w:p>
    <w:p>
      <w:pPr>
        <w:spacing w:after="200" w:line="360"/>
        <w:jc w:val="both"/>
      </w:pPr>
      <w:r>
        <w:rPr>
          <w:rFonts w:ascii="Times New Roman" w:cs="Times New Roman" w:eastAsia="Times New Roman" w:hAnsi="Times New Roman"/>
          <w:sz w:val="24"/>
          <w:szCs w:val="24"/>
        </w:rPr>
        <w:t xml:space="preserve">The intellectual foundations of land value capture rest on the Georgist principle that increments in land value arising from communal action—rather than individual effort—constitute an appropriate basis for public revenue. Henry George’s foundational argument, refined by subsequent urban economists, holds that public investments in infrastructure, zoning decisions that permit more intensive land use, and broader demographic and economic trends all generate increases in land value that are not attributable to the landowner’s own actions.</w:t>
      </w:r>
    </w:p>
    <w:p>
      <w:pPr>
        <w:spacing w:after="200" w:line="360"/>
        <w:jc w:val="both"/>
      </w:pPr>
      <w:r>
        <w:rPr>
          <w:rFonts w:ascii="Times New Roman" w:cs="Times New Roman" w:eastAsia="Times New Roman" w:hAnsi="Times New Roman"/>
          <w:sz w:val="24"/>
          <w:szCs w:val="24"/>
        </w:rPr>
        <w:t xml:space="preserve">In Latin America, the application of LVC has evolved considerably since the early experiences of contribución de valoración in Colombia during the 1930s. Bogotá’s betterment contributions have financed significant infrastructure programs, while São Paulo’s Certificados de Potencial Adicional de Construcção (CEPACs) demonstrate how development rights can be auctioned to finance urban improvements. Brazil’s City Statute of 2001 codified multiple LVC instruments, establishing a legal framework that has inspired reforms across the region.</w:t>
      </w:r>
    </w:p>
    <w:p>
      <w:pPr>
        <w:spacing w:after="200" w:line="360"/>
        <w:jc w:val="both"/>
      </w:pPr>
      <w:r>
        <w:rPr>
          <w:rFonts w:ascii="Times New Roman" w:cs="Times New Roman" w:eastAsia="Times New Roman" w:hAnsi="Times New Roman"/>
          <w:sz w:val="24"/>
          <w:szCs w:val="24"/>
        </w:rPr>
        <w:t xml:space="preserve">Despite these advances, Smolka (2013) observes that the implementation of LVC in Latin American cities remains uneven, with significant gaps between legal authorization and effective deployment. Instrument design often suffers from inadequate valuation methodologies, political resistance from landowners, and limited administrative capacity. These challenges are magnified in intermediate cities, where municipal technical staff may lack the expertise to design and administer complex fiscal instruments.</w:t>
      </w:r>
    </w:p>
    <w:p>
      <w:pPr>
        <w:pStyle w:val="Heading2"/>
        <w:spacing w:before="360" w:after="200"/>
      </w:pPr>
      <w:r>
        <w:rPr>
          <w:rFonts w:ascii="Times New Roman" w:cs="Times New Roman" w:eastAsia="Times New Roman" w:hAnsi="Times New Roman"/>
        </w:rPr>
        <w:t xml:space="preserve">2.2 Climate Adaptation Finance: The Bankability Problem</w:t>
      </w:r>
    </w:p>
    <w:p>
      <w:pPr>
        <w:spacing w:after="200" w:line="360"/>
        <w:jc w:val="both"/>
      </w:pPr>
      <w:r>
        <w:rPr>
          <w:rFonts w:ascii="Times New Roman" w:cs="Times New Roman" w:eastAsia="Times New Roman" w:hAnsi="Times New Roman"/>
          <w:sz w:val="24"/>
          <w:szCs w:val="24"/>
        </w:rPr>
        <w:t xml:space="preserve">The climate adaptation finance literature identifies a persistent “bankability gap”: while adaptation needs are immense, the pipeline of investment-ready projects remains thin. The Global Commission on Adaptation has emphasized that adaptation investments frequently yield benefit-cost ratios between 2:1 and 10:1, yet this economic logic has not translated into proportional financing flows.</w:t>
      </w:r>
    </w:p>
    <w:p>
      <w:pPr>
        <w:spacing w:after="200" w:line="360"/>
        <w:jc w:val="both"/>
      </w:pPr>
      <w:r>
        <w:rPr>
          <w:rFonts w:ascii="Times New Roman" w:cs="Times New Roman" w:eastAsia="Times New Roman" w:hAnsi="Times New Roman"/>
          <w:sz w:val="24"/>
          <w:szCs w:val="24"/>
        </w:rPr>
        <w:t xml:space="preserve">First, adaptation projects often generate public goods—reduced flood risk, improved water security, enhanced ecosystem services—that are difficult to monetize through user fees or tariffs. Unlike mitigation projects that can generate carbon credits or energy savings, adaptation benefits are often diffuse and non-excludable, complicating revenue model design. Second, municipal adaptation projects in developing countries face credibility challenges: international financiers require evidence of institutional capacity, dedicated revenue streams, and measurable outcomes that many municipalities cannot readily demonstrate.</w:t>
      </w:r>
    </w:p>
    <w:p>
      <w:pPr>
        <w:spacing w:after="200" w:line="360"/>
        <w:jc w:val="both"/>
      </w:pPr>
      <w:r>
        <w:rPr>
          <w:rFonts w:ascii="Times New Roman" w:cs="Times New Roman" w:eastAsia="Times New Roman" w:hAnsi="Times New Roman"/>
          <w:sz w:val="24"/>
          <w:szCs w:val="24"/>
        </w:rPr>
        <w:t xml:space="preserve">Third, and most critically for intermediate cities, there is a pronounced information asymmetry. Cities may understand their adaptation needs but struggle to articulate them in formats acceptable to international financiers. The Green Climate Fund, for instance, requires detailed feasibility studies, environmental and social impact assessments, and monitoring frameworks that exceed the technical capacity of most intermediate municipalities. This creates a circular problem: cities cannot access finance without capacity, and cannot build capacity without finance.</w:t>
      </w:r>
    </w:p>
    <w:p>
      <w:pPr>
        <w:pStyle w:val="Heading2"/>
        <w:spacing w:before="360" w:after="200"/>
      </w:pPr>
      <w:r>
        <w:rPr>
          <w:rFonts w:ascii="Times New Roman" w:cs="Times New Roman" w:eastAsia="Times New Roman" w:hAnsi="Times New Roman"/>
        </w:rPr>
        <w:t xml:space="preserve">2.3 Water Stress and Urban Land Markets</w:t>
      </w:r>
    </w:p>
    <w:p>
      <w:pPr>
        <w:spacing w:after="200" w:line="360"/>
        <w:jc w:val="both"/>
      </w:pPr>
      <w:r>
        <w:rPr>
          <w:rFonts w:ascii="Times New Roman" w:cs="Times New Roman" w:eastAsia="Times New Roman" w:hAnsi="Times New Roman"/>
          <w:sz w:val="24"/>
          <w:szCs w:val="24"/>
        </w:rPr>
        <w:t xml:space="preserve">The relationship between water availability and urban land values has received increasing scholarly attention. Studies from arid and semi-arid regions demonstrate that access to reliable water supply constitutes a significant component of land value, with premium estimates ranging from 8 to 25 percent depending on local conditions. Conversely, water scarcity or unreliable supply depresses property values and constrains development potential.</w:t>
      </w:r>
    </w:p>
    <w:p>
      <w:pPr>
        <w:spacing w:after="200" w:line="360"/>
        <w:jc w:val="both"/>
      </w:pPr>
      <w:r>
        <w:rPr>
          <w:rFonts w:ascii="Times New Roman" w:cs="Times New Roman" w:eastAsia="Times New Roman" w:hAnsi="Times New Roman"/>
          <w:sz w:val="24"/>
          <w:szCs w:val="24"/>
        </w:rPr>
        <w:t xml:space="preserve">In rapidly urbanizing areas, the conversion of agricultural land to residential use creates a distinctive value dynamic. Agricultural land in irrigated areas holds value partly because of water access; upon conversion to residential use, the land captures a “development premium” that reflects both the change in permitted use and assumptions about continued water availability. However, this land conversion simultaneously reduces aquifer recharge area, increases impervious surface coverage, and transfers water demand from agricultural to domestic use—often at higher per-capita consumption rates.</w:t>
      </w:r>
    </w:p>
    <w:p>
      <w:pPr>
        <w:spacing w:after="200" w:line="360"/>
        <w:jc w:val="both"/>
      </w:pPr>
      <w:r>
        <w:rPr>
          <w:rFonts w:ascii="Times New Roman" w:cs="Times New Roman" w:eastAsia="Times New Roman" w:hAnsi="Times New Roman"/>
          <w:sz w:val="24"/>
          <w:szCs w:val="24"/>
        </w:rPr>
        <w:t xml:space="preserve">This dynamic creates what we term the “water-land value paradox”: development that generates private land value gains simultaneously undermines the water resources that sustain urban land values over time. The paradox suggests a natural alignment between LVC and climate adaptation: capturing a portion of the development-generated value increment to finance water security investments addresses both the fiscal and the environmental dimensions of the challenge.</w:t>
      </w:r>
    </w:p>
    <w:p>
      <w:pPr>
        <w:pStyle w:val="Heading2"/>
        <w:spacing w:before="360" w:after="200"/>
      </w:pPr>
      <w:r>
        <w:rPr>
          <w:rFonts w:ascii="Times New Roman" w:cs="Times New Roman" w:eastAsia="Times New Roman" w:hAnsi="Times New Roman"/>
        </w:rPr>
        <w:t xml:space="preserve">2.4 Conceptual Framework: The LVC-Adaptation Nexus</w:t>
      </w:r>
    </w:p>
    <w:p>
      <w:pPr>
        <w:spacing w:after="200" w:line="360"/>
        <w:jc w:val="both"/>
      </w:pPr>
      <w:r>
        <w:rPr>
          <w:rFonts w:ascii="Times New Roman" w:cs="Times New Roman" w:eastAsia="Times New Roman" w:hAnsi="Times New Roman"/>
          <w:sz w:val="24"/>
          <w:szCs w:val="24"/>
        </w:rPr>
        <w:t xml:space="preserve">Drawing on these three literatures, we propose a conceptual framework that links LVC with climate adaptation through three mechanisms. The first mechanism is revenue generation: LVC instruments capture a portion of land value increments to create dedicated funding streams for adaptation investments. The second is institutional signaling: the existence of own-source revenue, pooled through a transparent fiduciary structure, demonstrates municipal commitment and capacity to external financiers, thereby reducing the bankability gap. The third is allocative efficiency: when LVC revenues are directed through evidence-based priority indices that embed climate criteria, investment decisions simultaneously address urban development needs and adaptation objectives.</w:t>
      </w:r>
    </w:p>
    <w:p>
      <w:pPr>
        <w:spacing w:after="200" w:line="360"/>
        <w:jc w:val="both"/>
      </w:pPr>
      <w:r>
        <w:rPr>
          <w:rFonts w:ascii="Times New Roman" w:cs="Times New Roman" w:eastAsia="Times New Roman" w:hAnsi="Times New Roman"/>
          <w:sz w:val="24"/>
          <w:szCs w:val="24"/>
        </w:rPr>
        <w:t xml:space="preserve">This integrated framework moves beyond the traditional view of LVC as merely a revenue tool and reconceptualizes it as a component of climate governance—linking land use regulation, fiscal policy, and adaptation strategy within a coherent institutional architecture.</w:t>
      </w:r>
    </w:p>
    <w:p>
      <w:r>
        <w:br w:type="page"/>
      </w:r>
    </w:p>
    <w:p>
      <w:pPr>
        <w:pStyle w:val="Heading1"/>
        <w:spacing w:before="360" w:after="200"/>
      </w:pPr>
      <w:r>
        <w:rPr>
          <w:rFonts w:ascii="Times New Roman" w:cs="Times New Roman" w:eastAsia="Times New Roman" w:hAnsi="Times New Roman"/>
        </w:rPr>
        <w:t xml:space="preserve">3. Case Context and Methodology</w:t>
      </w:r>
    </w:p>
    <w:p>
      <w:pPr>
        <w:pStyle w:val="Heading2"/>
        <w:spacing w:before="360" w:after="200"/>
      </w:pPr>
      <w:r>
        <w:rPr>
          <w:rFonts w:ascii="Times New Roman" w:cs="Times New Roman" w:eastAsia="Times New Roman" w:hAnsi="Times New Roman"/>
        </w:rPr>
        <w:t xml:space="preserve">3.1 Luján de Cuyo: Geographic and Institutional Setting</w:t>
      </w:r>
    </w:p>
    <w:p>
      <w:pPr>
        <w:spacing w:after="200" w:line="360"/>
        <w:jc w:val="both"/>
      </w:pPr>
      <w:r>
        <w:rPr>
          <w:rFonts w:ascii="Times New Roman" w:cs="Times New Roman" w:eastAsia="Times New Roman" w:hAnsi="Times New Roman"/>
          <w:sz w:val="24"/>
          <w:szCs w:val="24"/>
        </w:rPr>
        <w:t>Luján de Cuyo is a municipality of approximately 175,000 inhabitants (2022 national census, a 46 percent increase over 2010) located in the province of Mendoza, in western Argentina. The municipality lies within one of the world’s premier wine-producing regions, at the eastern foot of the Andes mountains. Its climate is classified as semi-arid, with annual precipitation averaging approximately 200 millimeters—well below the threshold for rainfed agriculture. The entire productive and urban system depends on snowmelt from the Andes, channeled through an irrigation network dating to pre-colonial times.</w:t>
      </w:r>
    </w:p>
    <w:p>
      <w:pPr>
        <w:spacing w:after="200" w:line="360"/>
        <w:jc w:val="both"/>
      </w:pPr>
      <w:r>
        <w:rPr>
          <w:rFonts w:ascii="Times New Roman" w:cs="Times New Roman" w:eastAsia="Times New Roman" w:hAnsi="Times New Roman"/>
          <w:sz w:val="24"/>
          <w:szCs w:val="24"/>
        </w:rPr>
        <w:t xml:space="preserve">The municipality faces acute water stress driven by multiple converging pressures. Andean snowpack, which constitutes the primary water source, has declined measurably over the past three decades as temperatures rise. Simultaneously, the municipality’s population has grown steadily, driven by migration from other provinces and the expansion of the greater Mendoza metropolitan area. Most critically, agricultural land—including vineyards and orchards that historically served as aquifer recharge zones—is being progressively converted to residential subdivisions, particularly in peri-urban areas.</w:t>
      </w:r>
    </w:p>
    <w:p>
      <w:pPr>
        <w:spacing w:after="200" w:line="360"/>
        <w:jc w:val="both"/>
      </w:pPr>
      <w:r>
        <w:rPr>
          <w:rFonts w:ascii="Times New Roman" w:cs="Times New Roman" w:eastAsia="Times New Roman" w:hAnsi="Times New Roman"/>
          <w:sz w:val="24"/>
          <w:szCs w:val="24"/>
        </w:rPr>
        <w:t xml:space="preserve">This land conversion dynamic is central to the case. Vineyard land in Luján de Cuyo holds significant agricultural value given the prestige of the region’s wines. However, the differential between agricultural and residential land values creates powerful incentives for conversion. When a vineyard is rezoned for residential use, the land value increase can be substantial—in some areas, values multiply by a factor of five to ten. This value increment represents a private gain to the landowner, yet the conversion imposes collective costs: each hectare converted reduces aquifer recharge, increases stormwater runoff, eliminates a carbon sink, and adds net water demand to an already stressed system.</w:t>
      </w:r>
    </w:p>
    <w:p>
      <w:pPr>
        <w:pStyle w:val="Heading2"/>
        <w:spacing w:before="360" w:after="200"/>
      </w:pPr>
      <w:r>
        <w:rPr>
          <w:rFonts w:ascii="Times New Roman" w:cs="Times New Roman" w:eastAsia="Times New Roman" w:hAnsi="Times New Roman"/>
        </w:rPr>
        <w:t xml:space="preserve">3.2 Institutional Context</w:t>
      </w:r>
    </w:p>
    <w:p>
      <w:pPr>
        <w:spacing w:after="200" w:line="360"/>
        <w:jc w:val="both"/>
      </w:pPr>
      <w:r>
        <w:rPr>
          <w:rFonts w:ascii="Times New Roman" w:cs="Times New Roman" w:eastAsia="Times New Roman" w:hAnsi="Times New Roman"/>
          <w:sz w:val="24"/>
          <w:szCs w:val="24"/>
        </w:rPr>
        <w:t xml:space="preserve">Argentina’s federal system grants municipalities considerable autonomy in land use planning and local taxation, though the specific powers vary by province. In Mendoza, municipalities have authority over zoning, building permits, and local taxes and fees, while the provincial government retains control over water rights allocation and major infrastructure. This institutional arrangement creates both opportunities and constraints for the integration of LVC with adaptation finance.</w:t>
      </w:r>
    </w:p>
    <w:p>
      <w:pPr>
        <w:spacing w:after="200" w:line="360"/>
        <w:jc w:val="both"/>
      </w:pPr>
      <w:r>
        <w:rPr>
          <w:rFonts w:ascii="Times New Roman" w:cs="Times New Roman" w:eastAsia="Times New Roman" w:hAnsi="Times New Roman"/>
          <w:sz w:val="24"/>
          <w:szCs w:val="24"/>
        </w:rPr>
        <w:t xml:space="preserve">The municipality of Luján de Cuyo initiated a comprehensive revision of its urban development plan in the mid-2010s, motivated by the recognition that uncontrolled peri-urban expansion was generating unsustainable water demand and degrading the environmental services upon which both agriculture and urban life depend. This planning process provided the institutional opening for the development of the LVC-adaptation framework documented in this paper.</w:t>
      </w:r>
    </w:p>
    <w:p>
      <w:pPr>
        <w:pStyle w:val="Heading2"/>
        <w:spacing w:before="360" w:after="200"/>
      </w:pPr>
      <w:r>
        <w:rPr>
          <w:rFonts w:ascii="Times New Roman" w:cs="Times New Roman" w:eastAsia="Times New Roman" w:hAnsi="Times New Roman"/>
        </w:rPr>
        <w:t xml:space="preserve">3.3 Methodology</w:t>
      </w:r>
    </w:p>
    <w:p>
      <w:pPr>
        <w:spacing w:after="200" w:line="360"/>
        <w:jc w:val="both"/>
      </w:pPr>
      <w:r>
        <w:rPr>
          <w:rFonts w:ascii="Times New Roman" w:cs="Times New Roman" w:eastAsia="Times New Roman" w:hAnsi="Times New Roman"/>
          <w:sz w:val="24"/>
          <w:szCs w:val="24"/>
        </w:rPr>
        <w:t xml:space="preserve">This study employs a single-case research design informed by institutional analysis and policy process frameworks. The research draws on multiple data sources collected between 2018 and 2024, including municipal planning documents, ordinance drafts, and technical studies; semi-structured interviews with municipal officials, planning staff, developers, and agricultural producers; analysis of land transaction data and property valuation records; and review of comparable international experiences for benchmarking instrument design parameters.</w:t>
      </w:r>
    </w:p>
    <w:p>
      <w:pPr>
        <w:spacing w:after="200" w:line="360"/>
        <w:jc w:val="both"/>
      </w:pPr>
      <w:r>
        <w:rPr>
          <w:rFonts w:ascii="Times New Roman" w:cs="Times New Roman" w:eastAsia="Times New Roman" w:hAnsi="Times New Roman"/>
          <w:sz w:val="24"/>
          <w:szCs w:val="24"/>
        </w:rPr>
        <w:t>The revenue figures presented in Section 7 rest on two distinct footings: realized collections from the municipality’s two operational land-based instruments (the water-and-sewer feasibility contribution and the vacant-land surcharge), drawn from municipal records and the 2026 tax roll; and ex-ante estimates for the designed value-capture instruments, obtained by applying the actual formulas of the draft Ordinance of Urban-Economy Instruments to real municipal parameters—the 2026 public-works programme and the municipal land-value and fiscal-assessment maps—rather than to assumed transaction data, since these instruments are not yet sanctioned. The Sustainable Urbanism Priority Index was developed through a participatory process involving technical experts, municipal planning staff, and community representatives, with indicator weights assigned through analytic hierarchy process (AHP) methods.</w:t>
      </w:r>
    </w:p>
    <w:p>
      <w:r>
        <w:br w:type="page"/>
      </w:r>
    </w:p>
    <w:p>
      <w:pPr>
        <w:pStyle w:val="Heading1"/>
        <w:spacing w:before="360" w:after="200"/>
      </w:pPr>
      <w:r>
        <w:rPr>
          <w:rFonts w:ascii="Times New Roman" w:cs="Times New Roman" w:eastAsia="Times New Roman" w:hAnsi="Times New Roman"/>
        </w:rPr>
        <w:t xml:space="preserve">4. Six Land Value Capture Instruments</w:t>
      </w:r>
    </w:p>
    <w:p>
      <w:pPr>
        <w:spacing w:after="200" w:line="360"/>
        <w:jc w:val="both"/>
      </w:pPr>
      <w:r>
        <w:rPr>
          <w:rFonts w:ascii="Times New Roman" w:cs="Times New Roman" w:eastAsia="Times New Roman" w:hAnsi="Times New Roman"/>
          <w:sz w:val="24"/>
          <w:szCs w:val="24"/>
        </w:rPr>
        <w:t xml:space="preserve">The Luján de Cuyo framework integrates six distinct LVC instruments, each targeting a different stage of the land development process and a different source of value increment. The instruments are designed to function as a coordinated system rather than as isolated tools.</w:t>
      </w:r>
    </w:p>
    <w:p>
      <w:pPr>
        <w:pStyle w:val="Heading2"/>
        <w:spacing w:before="360" w:after="200"/>
      </w:pPr>
      <w:r>
        <w:rPr>
          <w:rFonts w:ascii="Times New Roman" w:cs="Times New Roman" w:eastAsia="Times New Roman" w:hAnsi="Times New Roman"/>
        </w:rPr>
        <w:t xml:space="preserve">4.1 Betterment Contributions (Contribución por Mejoras)</w:t>
      </w:r>
    </w:p>
    <w:p>
      <w:pPr>
        <w:spacing w:after="200" w:line="360"/>
        <w:jc w:val="both"/>
      </w:pPr>
      <w:r>
        <w:rPr>
          <w:rFonts w:ascii="Times New Roman" w:cs="Times New Roman" w:eastAsia="Times New Roman" w:hAnsi="Times New Roman"/>
          <w:sz w:val="24"/>
          <w:szCs w:val="24"/>
        </w:rPr>
        <w:t xml:space="preserve">Betterment contributions are levied on property owners who benefit from specific public infrastructure investments. In the Luján de Cuyo framework, betterment contributions are triggered when municipal investments in water distribution networks, stormwater management systems, aquifer recharge infrastructure, or public green space generate identifiable increases in adjacent property values. The contribution is calculated as a proportion of the assessed value increment within a defined benefit zone, typically set at 30 to 50 percent of the estimated land value increase.</w:t>
      </w:r>
    </w:p>
    <w:p>
      <w:pPr>
        <w:spacing w:after="200" w:line="360"/>
        <w:jc w:val="both"/>
      </w:pPr>
      <w:r>
        <w:rPr>
          <w:rFonts w:ascii="Times New Roman" w:cs="Times New Roman" w:eastAsia="Times New Roman" w:hAnsi="Times New Roman"/>
          <w:sz w:val="24"/>
          <w:szCs w:val="24"/>
        </w:rPr>
        <w:t xml:space="preserve">Benefit zones are delineated through geographic information system (GIS) analysis that maps the spatial extent of value impacts from specific infrastructure investments. Property owners within the benefit zone may pay the contribution in installments over periods of up to five years, reducing the liquidity burden on lower-income households. The contribution is earmarked: revenue generated by water-related infrastructure investments is directed exclusively to the Climate Adaptation Trust Fund.</w:t>
      </w:r>
    </w:p>
    <w:p>
      <w:pPr>
        <w:pStyle w:val="Heading2"/>
        <w:spacing w:before="360" w:after="200"/>
      </w:pPr>
      <w:r>
        <w:rPr>
          <w:rFonts w:ascii="Times New Roman" w:cs="Times New Roman" w:eastAsia="Times New Roman" w:hAnsi="Times New Roman"/>
        </w:rPr>
        <w:t xml:space="preserve">4.2 Differential Rent Capture from Rezoning</w:t>
      </w:r>
    </w:p>
    <w:p>
      <w:pPr>
        <w:spacing w:after="200" w:line="360"/>
        <w:jc w:val="both"/>
      </w:pPr>
      <w:r>
        <w:rPr>
          <w:rFonts w:ascii="Times New Roman" w:cs="Times New Roman" w:eastAsia="Times New Roman" w:hAnsi="Times New Roman"/>
          <w:sz w:val="24"/>
          <w:szCs w:val="24"/>
        </w:rPr>
        <w:t xml:space="preserve">When municipal planning decisions rezone land from agricultural to residential or commercial use, the resulting value increment can be substantial. The differential rent capture instrument requires that landowners who benefit from rezoning decisions contribute a percentage of the assessed value increase to the municipality, typically 30 to 50 percent of the difference between pre-rezoning and post-rezoning assessed land value.</w:t>
      </w:r>
    </w:p>
    <w:p>
      <w:pPr>
        <w:spacing w:after="200" w:line="360"/>
        <w:jc w:val="both"/>
      </w:pPr>
      <w:r>
        <w:rPr>
          <w:rFonts w:ascii="Times New Roman" w:cs="Times New Roman" w:eastAsia="Times New Roman" w:hAnsi="Times New Roman"/>
          <w:sz w:val="24"/>
          <w:szCs w:val="24"/>
        </w:rPr>
        <w:t xml:space="preserve">Critically, this instrument creates a direct fiscal link between the process that generates adaptation costs (land conversion from permeable agricultural use to impervious residential use) and the revenue stream that finances adaptation responses. Every rezoning decision that converts vineyard or agricultural land to residential use triggers both a climate cost and a fiscal response directed to the Trust Fund.</w:t>
      </w:r>
    </w:p>
    <w:p>
      <w:pPr>
        <w:pStyle w:val="Heading2"/>
        <w:spacing w:before="360" w:after="200"/>
      </w:pPr>
      <w:r>
        <w:rPr>
          <w:rFonts w:ascii="Times New Roman" w:cs="Times New Roman" w:eastAsia="Times New Roman" w:hAnsi="Times New Roman"/>
        </w:rPr>
        <w:t xml:space="preserve">4.3 Vacant Land Charges (Sobretasa al Baldío)</w:t>
      </w:r>
    </w:p>
    <w:p>
      <w:pPr>
        <w:spacing w:after="200" w:line="360"/>
        <w:jc w:val="both"/>
      </w:pPr>
      <w:r>
        <w:rPr>
          <w:rFonts w:ascii="Times New Roman" w:cs="Times New Roman" w:eastAsia="Times New Roman" w:hAnsi="Times New Roman"/>
          <w:sz w:val="24"/>
          <w:szCs w:val="24"/>
        </w:rPr>
        <w:t xml:space="preserve">Vacant land charges impose a progressively increasing surcharge on the standard property tax for parcels within the urbanized perimeter that remain undeveloped beyond a defined grace period. From a climate adaptation perspective, vacant land charges serve a dual function: they promote compact development patterns that reduce per-capita infrastructure costs and limit the expansion of impervious surface into peripheral recharge areas, while generating revenue for the Trust Fund.</w:t>
      </w:r>
    </w:p>
    <w:p>
      <w:pPr>
        <w:pStyle w:val="Heading2"/>
        <w:spacing w:before="360" w:after="200"/>
      </w:pPr>
      <w:r>
        <w:rPr>
          <w:rFonts w:ascii="Times New Roman" w:cs="Times New Roman" w:eastAsia="Times New Roman" w:hAnsi="Times New Roman"/>
        </w:rPr>
        <w:t xml:space="preserve">4.4 Development Rights Sales</w:t>
      </w:r>
    </w:p>
    <w:p>
      <w:pPr>
        <w:spacing w:after="200" w:line="360"/>
        <w:jc w:val="both"/>
      </w:pPr>
      <w:r>
        <w:rPr>
          <w:rFonts w:ascii="Times New Roman" w:cs="Times New Roman" w:eastAsia="Times New Roman" w:hAnsi="Times New Roman"/>
          <w:sz w:val="24"/>
          <w:szCs w:val="24"/>
        </w:rPr>
        <w:t xml:space="preserve">The development rights sales instrument allows the municipality to generate revenue by selling additional building rights above the base floor-area ratio (FAR) established in the zoning code. Drawing on the Brazilian CEPAC model but adapted for intermediate cities, the municipality sells development rights directly to developers through a transparent pricing formula linked to reference land values in each planning zone. Density bonuses are available for projects incorporating water efficiency features.</w:t>
      </w:r>
    </w:p>
    <w:p>
      <w:pPr>
        <w:pStyle w:val="Heading2"/>
        <w:spacing w:before="360" w:after="200"/>
      </w:pPr>
      <w:r>
        <w:rPr>
          <w:rFonts w:ascii="Times New Roman" w:cs="Times New Roman" w:eastAsia="Times New Roman" w:hAnsi="Times New Roman"/>
        </w:rPr>
        <w:t xml:space="preserve">4.5 Tax Incentives for Climate-Responsive Development</w:t>
      </w:r>
    </w:p>
    <w:p>
      <w:pPr>
        <w:spacing w:after="200" w:line="360"/>
        <w:jc w:val="both"/>
      </w:pPr>
      <w:r>
        <w:rPr>
          <w:rFonts w:ascii="Times New Roman" w:cs="Times New Roman" w:eastAsia="Times New Roman" w:hAnsi="Times New Roman"/>
          <w:sz w:val="24"/>
          <w:szCs w:val="24"/>
        </w:rPr>
        <w:t xml:space="preserve">Tax incentives operate through the reduction of fiscal obligations for development that meets specified climate adaptation criteria. Developers who incorporate water efficiency technologies, maintain minimum permeable surface ratios, preserve existing tree cover, or construct to green building standards receive reductions in building permit fees, property tax rates, or development charges for defined periods.</w:t>
      </w:r>
    </w:p>
    <w:p>
      <w:pPr>
        <w:spacing w:after="200" w:line="360"/>
        <w:jc w:val="both"/>
      </w:pPr>
      <w:r>
        <w:rPr>
          <w:rFonts w:ascii="Times New Roman" w:cs="Times New Roman" w:eastAsia="Times New Roman" w:hAnsi="Times New Roman"/>
          <w:sz w:val="24"/>
          <w:szCs w:val="24"/>
        </w:rPr>
        <w:t xml:space="preserve">The integration of tax incentives with the other LVC instruments creates a policy gradient: development that converts agricultural land without climate-responsive features faces the full weight of differential rent capture and betterment contributions, while development that incorporates adaptation features receives offsetting incentives. This gradient internalizes the externalities of land conversion.</w:t>
      </w:r>
    </w:p>
    <w:p>
      <w:pPr>
        <w:pStyle w:val="Heading2"/>
        <w:spacing w:before="360" w:after="200"/>
      </w:pPr>
      <w:r>
        <w:rPr>
          <w:rFonts w:ascii="Times New Roman" w:cs="Times New Roman" w:eastAsia="Times New Roman" w:hAnsi="Times New Roman"/>
        </w:rPr>
        <w:t xml:space="preserve">4.6 Transferable Development Rights (TDR)</w:t>
      </w:r>
    </w:p>
    <w:p>
      <w:pPr>
        <w:spacing w:after="200" w:line="360"/>
        <w:jc w:val="both"/>
      </w:pPr>
      <w:r>
        <w:rPr>
          <w:rFonts w:ascii="Times New Roman" w:cs="Times New Roman" w:eastAsia="Times New Roman" w:hAnsi="Times New Roman"/>
          <w:sz w:val="24"/>
          <w:szCs w:val="24"/>
        </w:rPr>
        <w:t xml:space="preserve">Transferable development rights allow the municipality to protect environmentally sensitive areas—aquifer recharge zones, riparian buffers, and agricultural land designated for permanent preservation—without incurring the fiscal cost of outright purchase. Property owners in designated “sending zones” receive development rights that can be sold to developers in designated “receiving zones” where higher density is desirable.</w:t>
      </w:r>
    </w:p>
    <w:p>
      <w:pPr>
        <w:spacing w:after="200" w:line="360"/>
        <w:jc w:val="both"/>
      </w:pPr>
      <w:r>
        <w:rPr>
          <w:rFonts w:ascii="Times New Roman" w:cs="Times New Roman" w:eastAsia="Times New Roman" w:hAnsi="Times New Roman"/>
          <w:sz w:val="24"/>
          <w:szCs w:val="24"/>
        </w:rPr>
        <w:t xml:space="preserve">The TDR instrument addresses one of the most politically sensitive aspects of climate adaptation in agricultural regions: the restriction of development on private land for public environmental benefit. By providing a market-based compensation mechanism, TDRs reduce political resistance to environmental restrictions while achieving conservation objectives without direct public expenditure.</w:t>
      </w:r>
    </w:p>
    <w:p>
      <w:pPr>
        <w:pStyle w:val="Heading2"/>
        <w:spacing w:before="360" w:after="200"/>
      </w:pPr>
      <w:r>
        <w:rPr>
          <w:rFonts w:ascii="Times New Roman" w:cs="Times New Roman" w:eastAsia="Times New Roman" w:hAnsi="Times New Roman"/>
        </w:rPr>
        <w:t xml:space="preserve">4.7 Instrument Coordination and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700"/>
        <w:gridCol w:w="1600"/>
        <w:gridCol w:w="2560"/>
      </w:tblGrid>
      <w:tr>
        <w:tc>
          <w:tcPr>
            <w:tcW w:type="dxa" w:w="1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Instrument</w:t>
            </w:r>
          </w:p>
        </w:tc>
        <w:tc>
          <w:tcPr>
            <w:tcW w:type="dxa" w:w="1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Trigger</w:t>
            </w:r>
          </w:p>
        </w:tc>
        <w:tc>
          <w:tcPr>
            <w:tcW w:type="dxa" w:w="1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Revenue Mechanism</w:t>
            </w:r>
          </w:p>
        </w:tc>
        <w:tc>
          <w:tcPr>
            <w:tcW w:type="dxa" w:w="1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Capture Rate</w:t>
            </w:r>
          </w:p>
        </w:tc>
        <w:tc>
          <w:tcPr>
            <w:tcW w:type="dxa" w:w="25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Climate Function</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jc w:val="left"/>
            </w:pPr>
            <w:r>
              <w:rPr>
                <w:rFonts w:ascii="Times New Roman" w:cs="Times New Roman" w:eastAsia="Times New Roman" w:hAnsi="Times New Roman"/>
                <w:sz w:val="24"/>
                <w:szCs w:val="24"/>
              </w:rPr>
              <w:t xml:space="preserve">Betterment Contributions</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jc w:val="left"/>
            </w:pPr>
            <w:r>
              <w:rPr>
                <w:rFonts w:ascii="Times New Roman" w:cs="Times New Roman" w:eastAsia="Times New Roman" w:hAnsi="Times New Roman"/>
                <w:sz w:val="24"/>
                <w:szCs w:val="24"/>
              </w:rPr>
              <w:t xml:space="preserve">Public infrastructure investment</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jc w:val="left"/>
            </w:pPr>
            <w:r>
              <w:rPr>
                <w:rFonts w:ascii="Times New Roman" w:cs="Times New Roman" w:eastAsia="Times New Roman" w:hAnsi="Times New Roman"/>
                <w:sz w:val="24"/>
                <w:szCs w:val="24"/>
              </w:rPr>
              <w:t xml:space="preserve">Levy on assessed value increment</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jc w:val="left"/>
            </w:pPr>
            <w:r>
              <w:rPr>
                <w:rFonts w:ascii="Times New Roman" w:cs="Times New Roman" w:eastAsia="Times New Roman" w:hAnsi="Times New Roman"/>
                <w:sz w:val="24"/>
                <w:szCs w:val="24"/>
              </w:rPr>
              <w:t xml:space="preserve">30–50% of value increase</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jc w:val="left"/>
            </w:pPr>
            <w:r>
              <w:rPr>
                <w:rFonts w:ascii="Times New Roman" w:cs="Times New Roman" w:eastAsia="Times New Roman" w:hAnsi="Times New Roman"/>
                <w:sz w:val="24"/>
                <w:szCs w:val="24"/>
              </w:rPr>
              <w:t xml:space="preserve">Finances water infrastructure; demonstrates investment returns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jc w:val="left"/>
            </w:pPr>
            <w:r>
              <w:rPr>
                <w:rFonts w:ascii="Times New Roman" w:cs="Times New Roman" w:eastAsia="Times New Roman" w:hAnsi="Times New Roman"/>
                <w:sz w:val="24"/>
                <w:szCs w:val="24"/>
              </w:rPr>
              <w:t xml:space="preserve">Differential Rent Capture</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jc w:val="left"/>
            </w:pPr>
            <w:r>
              <w:rPr>
                <w:rFonts w:ascii="Times New Roman" w:cs="Times New Roman" w:eastAsia="Times New Roman" w:hAnsi="Times New Roman"/>
                <w:sz w:val="24"/>
                <w:szCs w:val="24"/>
              </w:rPr>
              <w:t xml:space="preserve">Rezoning agricultural to residential</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jc w:val="left"/>
            </w:pPr>
            <w:r>
              <w:rPr>
                <w:rFonts w:ascii="Times New Roman" w:cs="Times New Roman" w:eastAsia="Times New Roman" w:hAnsi="Times New Roman"/>
                <w:sz w:val="24"/>
                <w:szCs w:val="24"/>
              </w:rPr>
              <w:t xml:space="preserve">Payment on value differential</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jc w:val="left"/>
            </w:pPr>
            <w:r>
              <w:rPr>
                <w:rFonts w:ascii="Times New Roman" w:cs="Times New Roman" w:eastAsia="Times New Roman" w:hAnsi="Times New Roman"/>
                <w:sz w:val="24"/>
                <w:szCs w:val="24"/>
              </w:rPr>
              <w:t xml:space="preserve">30–50% of value differential</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jc w:val="left"/>
            </w:pPr>
            <w:r>
              <w:rPr>
                <w:rFonts w:ascii="Times New Roman" w:cs="Times New Roman" w:eastAsia="Times New Roman" w:hAnsi="Times New Roman"/>
                <w:sz w:val="24"/>
                <w:szCs w:val="24"/>
              </w:rPr>
              <w:t xml:space="preserve">Links land conversion costs to adaptation revenue</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jc w:val="left"/>
            </w:pPr>
            <w:r>
              <w:rPr>
                <w:rFonts w:ascii="Times New Roman" w:cs="Times New Roman" w:eastAsia="Times New Roman" w:hAnsi="Times New Roman"/>
                <w:sz w:val="24"/>
                <w:szCs w:val="24"/>
              </w:rPr>
              <w:t xml:space="preserve">Vacant Land Charges</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jc w:val="left"/>
            </w:pPr>
            <w:r>
              <w:rPr>
                <w:rFonts w:ascii="Times New Roman" w:cs="Times New Roman" w:eastAsia="Times New Roman" w:hAnsi="Times New Roman"/>
                <w:sz w:val="24"/>
                <w:szCs w:val="24"/>
              </w:rPr>
              <w:t xml:space="preserve">Undeveloped serviced parcels</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jc w:val="left"/>
            </w:pPr>
            <w:r>
              <w:rPr>
                <w:rFonts w:ascii="Times New Roman" w:cs="Times New Roman" w:eastAsia="Times New Roman" w:hAnsi="Times New Roman"/>
                <w:sz w:val="24"/>
                <w:szCs w:val="24"/>
              </w:rPr>
              <w:t xml:space="preserve">Progressive annual surcharge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jc w:val="left"/>
            </w:pPr>
            <w:r>
              <w:rPr>
                <w:rFonts w:ascii="Times New Roman" w:cs="Times New Roman" w:eastAsia="Times New Roman" w:hAnsi="Times New Roman"/>
                <w:sz w:val="24"/>
                <w:szCs w:val="24"/>
              </w:rPr>
              <w:t xml:space="preserve">Graduated, increasing annually</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jc w:val="left"/>
            </w:pPr>
            <w:r>
              <w:rPr>
                <w:rFonts w:ascii="Times New Roman" w:cs="Times New Roman" w:eastAsia="Times New Roman" w:hAnsi="Times New Roman"/>
                <w:sz w:val="24"/>
                <w:szCs w:val="24"/>
              </w:rPr>
              <w:t xml:space="preserve">Promotes compact development; reduces sprawl</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jc w:val="left"/>
            </w:pPr>
            <w:r>
              <w:rPr>
                <w:rFonts w:ascii="Times New Roman" w:cs="Times New Roman" w:eastAsia="Times New Roman" w:hAnsi="Times New Roman"/>
                <w:sz w:val="24"/>
                <w:szCs w:val="24"/>
              </w:rPr>
              <w:t xml:space="preserve">Development Rights Sales</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jc w:val="left"/>
            </w:pPr>
            <w:r>
              <w:rPr>
                <w:rFonts w:ascii="Times New Roman" w:cs="Times New Roman" w:eastAsia="Times New Roman" w:hAnsi="Times New Roman"/>
                <w:sz w:val="24"/>
                <w:szCs w:val="24"/>
              </w:rPr>
              <w:t xml:space="preserve">Density above base FAR</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jc w:val="left"/>
            </w:pPr>
            <w:r>
              <w:rPr>
                <w:rFonts w:ascii="Times New Roman" w:cs="Times New Roman" w:eastAsia="Times New Roman" w:hAnsi="Times New Roman"/>
                <w:sz w:val="24"/>
                <w:szCs w:val="24"/>
              </w:rPr>
              <w:t xml:space="preserve">Direct sale of building rights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jc w:val="left"/>
            </w:pPr>
            <w:r>
              <w:rPr>
                <w:rFonts w:ascii="Times New Roman" w:cs="Times New Roman" w:eastAsia="Times New Roman" w:hAnsi="Times New Roman"/>
                <w:sz w:val="24"/>
                <w:szCs w:val="24"/>
              </w:rPr>
              <w:t xml:space="preserve">Market-based pricing</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jc w:val="left"/>
            </w:pPr>
            <w:r>
              <w:rPr>
                <w:rFonts w:ascii="Times New Roman" w:cs="Times New Roman" w:eastAsia="Times New Roman" w:hAnsi="Times New Roman"/>
                <w:sz w:val="24"/>
                <w:szCs w:val="24"/>
              </w:rPr>
              <w:t xml:space="preserve">Channels density; incentivizes water efficiency</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jc w:val="left"/>
            </w:pPr>
            <w:r>
              <w:rPr>
                <w:rFonts w:ascii="Times New Roman" w:cs="Times New Roman" w:eastAsia="Times New Roman" w:hAnsi="Times New Roman"/>
                <w:sz w:val="24"/>
                <w:szCs w:val="24"/>
              </w:rPr>
              <w:t xml:space="preserve">Tax Incentives</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jc w:val="left"/>
            </w:pPr>
            <w:r>
              <w:rPr>
                <w:rFonts w:ascii="Times New Roman" w:cs="Times New Roman" w:eastAsia="Times New Roman" w:hAnsi="Times New Roman"/>
                <w:sz w:val="24"/>
                <w:szCs w:val="24"/>
              </w:rPr>
              <w:t xml:space="preserve">Climate-responsive features</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jc w:val="left"/>
            </w:pPr>
            <w:r>
              <w:rPr>
                <w:rFonts w:ascii="Times New Roman" w:cs="Times New Roman" w:eastAsia="Times New Roman" w:hAnsi="Times New Roman"/>
                <w:sz w:val="24"/>
                <w:szCs w:val="24"/>
              </w:rPr>
              <w:t xml:space="preserve">Reduced fees/taxes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jc w:val="left"/>
            </w:pPr>
            <w:r>
              <w:rPr>
                <w:rFonts w:ascii="Times New Roman" w:cs="Times New Roman" w:eastAsia="Times New Roman" w:hAnsi="Times New Roman"/>
                <w:sz w:val="24"/>
                <w:szCs w:val="24"/>
              </w:rPr>
              <w:t xml:space="preserve">Variable by feature</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jc w:val="left"/>
            </w:pPr>
            <w:r>
              <w:rPr>
                <w:rFonts w:ascii="Times New Roman" w:cs="Times New Roman" w:eastAsia="Times New Roman" w:hAnsi="Times New Roman"/>
                <w:sz w:val="24"/>
                <w:szCs w:val="24"/>
              </w:rPr>
              <w:t xml:space="preserve">Market incentives for adaptation</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jc w:val="left"/>
            </w:pPr>
            <w:r>
              <w:rPr>
                <w:rFonts w:ascii="Times New Roman" w:cs="Times New Roman" w:eastAsia="Times New Roman" w:hAnsi="Times New Roman"/>
                <w:sz w:val="24"/>
                <w:szCs w:val="24"/>
              </w:rPr>
              <w:t xml:space="preserve">Transferable Dev. Rights</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jc w:val="left"/>
            </w:pPr>
            <w:r>
              <w:rPr>
                <w:rFonts w:ascii="Times New Roman" w:cs="Times New Roman" w:eastAsia="Times New Roman" w:hAnsi="Times New Roman"/>
                <w:sz w:val="24"/>
                <w:szCs w:val="24"/>
              </w:rPr>
              <w:t xml:space="preserve">Development in receiving zones</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jc w:val="left"/>
            </w:pPr>
            <w:r>
              <w:rPr>
                <w:rFonts w:ascii="Times New Roman" w:cs="Times New Roman" w:eastAsia="Times New Roman" w:hAnsi="Times New Roman"/>
                <w:sz w:val="24"/>
                <w:szCs w:val="24"/>
              </w:rPr>
              <w:t xml:space="preserve">Market transactions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jc w:val="left"/>
            </w:pPr>
            <w:r>
              <w:rPr>
                <w:rFonts w:ascii="Times New Roman" w:cs="Times New Roman" w:eastAsia="Times New Roman" w:hAnsi="Times New Roman"/>
                <w:sz w:val="24"/>
                <w:szCs w:val="24"/>
              </w:rPr>
              <w:t xml:space="preserve">Market-determined</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jc w:val="left"/>
            </w:pPr>
            <w:r>
              <w:rPr>
                <w:rFonts w:ascii="Times New Roman" w:cs="Times New Roman" w:eastAsia="Times New Roman" w:hAnsi="Times New Roman"/>
                <w:sz w:val="24"/>
                <w:szCs w:val="24"/>
              </w:rPr>
              <w:t xml:space="preserve">Protects recharge zones without purchase costs</w:t>
            </w:r>
          </w:p>
        </w:tc>
      </w:tr>
    </w:tbl>
    <w:p>
      <w:pPr>
        <w:spacing w:after="200"/>
      </w:pPr>
    </w:p>
    <w:p>
      <w:pPr>
        <w:spacing w:after="200" w:line="360"/>
        <w:jc w:val="center"/>
      </w:pPr>
      <w:r>
        <w:rPr>
          <w:rFonts w:ascii="Times New Roman" w:cs="Times New Roman" w:eastAsia="Times New Roman" w:hAnsi="Times New Roman"/>
          <w:i/>
          <w:iCs/>
          <w:sz w:val="24"/>
          <w:szCs w:val="24"/>
        </w:rPr>
        <w:t xml:space="preserve">Table 1: Summary of LVC instruments, their triggers, and climate adaptation functions.</w:t>
      </w:r>
    </w:p>
    <w:p>
      <w:r>
        <w:br w:type="page"/>
      </w:r>
    </w:p>
    <w:p>
      <w:pPr>
        <w:pStyle w:val="Heading1"/>
        <w:spacing w:before="360" w:after="200"/>
      </w:pPr>
      <w:r>
        <w:rPr>
          <w:rFonts w:ascii="Times New Roman" w:cs="Times New Roman" w:eastAsia="Times New Roman" w:hAnsi="Times New Roman"/>
        </w:rPr>
        <w:t xml:space="preserve">5. Institutional Architecture: The Climate Adaptation Trust Fund</w:t>
      </w:r>
    </w:p>
    <w:p>
      <w:pPr>
        <w:pStyle w:val="Heading2"/>
        <w:spacing w:before="360" w:after="200"/>
      </w:pPr>
      <w:r>
        <w:rPr>
          <w:rFonts w:ascii="Times New Roman" w:cs="Times New Roman" w:eastAsia="Times New Roman" w:hAnsi="Times New Roman"/>
        </w:rPr>
        <w:t xml:space="preserve">5.1 Rationale for a Trust Fund Structure</w:t>
      </w:r>
    </w:p>
    <w:p>
      <w:pPr>
        <w:spacing w:after="200" w:line="360"/>
        <w:jc w:val="both"/>
      </w:pPr>
      <w:r>
        <w:rPr>
          <w:rFonts w:ascii="Times New Roman" w:cs="Times New Roman" w:eastAsia="Times New Roman" w:hAnsi="Times New Roman"/>
          <w:sz w:val="24"/>
          <w:szCs w:val="24"/>
        </w:rPr>
        <w:t xml:space="preserve">The decision to channel LVC revenues through a dedicated Trust Fund, rather than the municipality’s general budget, reflects both practical and strategic considerations. From a practical standpoint, earmarking creates predictable revenue streams that support medium-term infrastructure planning. From a strategic standpoint, the Trust Fund addresses the bankability gap: it creates a visible, auditable pool of own-source resources that international financiers can evaluate as evidence of municipal commitment and repayment capacity.</w:t>
      </w:r>
    </w:p>
    <w:p>
      <w:pPr>
        <w:spacing w:after="200" w:line="360"/>
        <w:jc w:val="both"/>
      </w:pPr>
      <w:r>
        <w:rPr>
          <w:rFonts w:ascii="Times New Roman" w:cs="Times New Roman" w:eastAsia="Times New Roman" w:hAnsi="Times New Roman"/>
          <w:sz w:val="24"/>
          <w:szCs w:val="24"/>
        </w:rPr>
        <w:t xml:space="preserve">The Trust Fund operates as a fiduciary mechanism legally distinct from the municipal general fund, with a dedicated board of trustees, transparent governance procedures, independent auditing, and defined investment policies. This institutional separation protects adaptation revenues from reallocation during fiscal stress, provides governance structures that green bond investors require, and creates an institutional focal point for climate adaptation decision-making.</w:t>
      </w:r>
    </w:p>
    <w:p>
      <w:pPr>
        <w:pStyle w:val="Heading2"/>
        <w:spacing w:before="360" w:after="200"/>
      </w:pPr>
      <w:r>
        <w:rPr>
          <w:rFonts w:ascii="Times New Roman" w:cs="Times New Roman" w:eastAsia="Times New Roman" w:hAnsi="Times New Roman"/>
        </w:rPr>
        <w:t xml:space="preserve">5.2 Revenue Pooling and Fund Structure</w:t>
      </w:r>
    </w:p>
    <w:p>
      <w:pPr>
        <w:spacing w:after="200" w:line="360"/>
        <w:jc w:val="both"/>
      </w:pPr>
      <w:r>
        <w:rPr>
          <w:rFonts w:ascii="Times New Roman" w:cs="Times New Roman" w:eastAsia="Times New Roman" w:hAnsi="Times New Roman"/>
          <w:sz w:val="24"/>
          <w:szCs w:val="24"/>
        </w:rPr>
        <w:t xml:space="preserve">The Trust Fund pools revenue from all six LVC instruments into a unified structure with three defined sub-accounts. The Infrastructure Investment Account (60 percent of net revenues) finances capital expenditure on water efficiency infrastructure, aquifer recharge facilities, stormwater management, and green infrastructure. The Maintenance and Operations Account (25 percent) covers recurring costs of maintaining adaptation infrastructure. The Leverage Account (15 percent) accumulates reserves specifically designated as matching funds for external financing, creating the own-source contribution that green bonds and international climate facilities typically require.</w:t>
      </w:r>
    </w:p>
    <w:p>
      <w:pPr>
        <w:pStyle w:val="Heading2"/>
        <w:spacing w:before="360" w:after="200"/>
      </w:pPr>
      <w:r>
        <w:rPr>
          <w:rFonts w:ascii="Times New Roman" w:cs="Times New Roman" w:eastAsia="Times New Roman" w:hAnsi="Times New Roman"/>
        </w:rPr>
        <w:t xml:space="preserve">5.3 Leveraging International Climate Finance</w:t>
      </w:r>
    </w:p>
    <w:p>
      <w:pPr>
        <w:spacing w:after="200" w:line="360"/>
        <w:jc w:val="both"/>
      </w:pPr>
      <w:r>
        <w:rPr>
          <w:rFonts w:ascii="Times New Roman" w:cs="Times New Roman" w:eastAsia="Times New Roman" w:hAnsi="Times New Roman"/>
          <w:sz w:val="24"/>
          <w:szCs w:val="24"/>
        </w:rPr>
        <w:t xml:space="preserve">The Trust Fund is designed to support three levels of financial leverage. At the first level, accumulated Leverage Account resources serve as matching funds for bilateral and multilateral grants, typically requiring matches of 10 to 30 percent. At the second level, the predictable revenue stream can be pledged as security for green bond issuance. At the third level, the demonstrated track record of successful project implementation builds institutional credibility required to access larger facilities such as the Green Climate Fund.</w:t>
      </w:r>
    </w:p>
    <w:p>
      <w:pPr>
        <w:spacing w:after="200" w:line="360"/>
        <w:jc w:val="both"/>
      </w:pPr>
      <w:r>
        <w:rPr>
          <w:rFonts w:ascii="Times New Roman" w:cs="Times New Roman" w:eastAsia="Times New Roman" w:hAnsi="Times New Roman"/>
          <w:sz w:val="24"/>
          <w:szCs w:val="24"/>
        </w:rPr>
        <w:t xml:space="preserve">This graduated leverage strategy recognizes that intermediate cities must build credibility incrementally. The initial LVC revenues finance smaller, demonstrable projects; their success, combined with the Trust Fund’s transparent governance, positions the municipality for progressively larger financing rounds.</w:t>
      </w:r>
    </w:p>
    <w:p>
      <w:pPr>
        <w:pStyle w:val="Heading2"/>
        <w:spacing w:before="360" w:after="200"/>
      </w:pPr>
      <w:r>
        <w:rPr>
          <w:rFonts w:ascii="Times New Roman" w:cs="Times New Roman" w:eastAsia="Times New Roman" w:hAnsi="Times New Roman"/>
        </w:rPr>
        <w:t xml:space="preserve">5.4 Governance and Accountability</w:t>
      </w:r>
    </w:p>
    <w:p>
      <w:pPr>
        <w:spacing w:after="200" w:line="360"/>
        <w:jc w:val="both"/>
      </w:pPr>
      <w:r>
        <w:rPr>
          <w:rFonts w:ascii="Times New Roman" w:cs="Times New Roman" w:eastAsia="Times New Roman" w:hAnsi="Times New Roman"/>
          <w:sz w:val="24"/>
          <w:szCs w:val="24"/>
        </w:rPr>
        <w:t xml:space="preserve">The Trust Fund’s governance structure includes the municipal intendente (mayor), the director of urban planning, the municipal comptroller, and two external members—one representing the agricultural sector and one with expertise in environmental finance. Board decisions require a qualified majority, preventing unilateral diversion of funds. Annual audits are conducted by independent auditors, with audit reports and quarterly financial statements published on the municipal website.</w:t>
      </w:r>
    </w:p>
    <w:p>
      <w:r>
        <w:br w:type="page"/>
      </w:r>
    </w:p>
    <w:p>
      <w:pPr>
        <w:pStyle w:val="Heading1"/>
        <w:spacing w:before="360" w:after="200"/>
      </w:pPr>
      <w:r>
        <w:rPr>
          <w:rFonts w:ascii="Times New Roman" w:cs="Times New Roman" w:eastAsia="Times New Roman" w:hAnsi="Times New Roman"/>
        </w:rPr>
        <w:t xml:space="preserve">6. The Sustainable Urbanism Priority Index</w:t>
      </w:r>
    </w:p>
    <w:p>
      <w:pPr>
        <w:pStyle w:val="Heading2"/>
        <w:spacing w:before="360" w:after="200"/>
      </w:pPr>
      <w:r>
        <w:rPr>
          <w:rFonts w:ascii="Times New Roman" w:cs="Times New Roman" w:eastAsia="Times New Roman" w:hAnsi="Times New Roman"/>
        </w:rPr>
        <w:t xml:space="preserve">6.1 Purpose and Design Rationale</w:t>
      </w:r>
    </w:p>
    <w:p>
      <w:pPr>
        <w:spacing w:after="200" w:line="360"/>
        <w:jc w:val="both"/>
      </w:pPr>
      <w:r>
        <w:rPr>
          <w:rFonts w:ascii="Times New Roman" w:cs="Times New Roman" w:eastAsia="Times New Roman" w:hAnsi="Times New Roman"/>
          <w:sz w:val="24"/>
          <w:szCs w:val="24"/>
        </w:rPr>
        <w:t>The Sustainable Urbanism Priority Index (SUPI), operationalised by the municipality as the Índice de Ciudad Deseada, is a 24-indicator composite index that guides the allocation of Trust Fund resources across competing investment priorities. The Index serves three interconnected functions: providing an evidence-based methodology for ranking investment projects; embedding climate adaptation criteria directly into municipal decision-making; and generating the quantitative evidence base that international climate financiers require when evaluating project proposals.</w:t>
      </w:r>
    </w:p>
    <w:p>
      <w:pPr>
        <w:pStyle w:val="Heading2"/>
        <w:spacing w:before="360" w:after="200"/>
      </w:pPr>
      <w:r>
        <w:rPr>
          <w:rFonts w:ascii="Times New Roman" w:cs="Times New Roman" w:eastAsia="Times New Roman" w:hAnsi="Times New Roman"/>
        </w:rPr>
        <w:t xml:space="preserve">6.2 Index Structure and Indicators</w:t>
      </w:r>
    </w:p>
    <w:p>
      <w:pPr>
        <w:spacing w:after="200" w:line="360"/>
        <w:jc w:val="both"/>
      </w:pPr>
      <w:r>
        <w:rPr>
          <w:rFonts w:ascii="Times New Roman" w:cs="Times New Roman" w:eastAsia="Times New Roman" w:hAnsi="Times New Roman"/>
          <w:sz w:val="24"/>
          <w:szCs w:val="24"/>
        </w:rPr>
        <w:t xml:space="preserve">The SUPI is organized into four dimensions, each containing six indicators. The Water Security dimension encompasses indicators measuring aquifer recharge protection, water distribution efficiency, per-capita water consumption trends, rainwater harvesting adoption, greywater recycling capacity, and drought resilience. The Compact Development dimension includes urban density, vacant land ratios, agricultural land conversion rates, average commute distance, infrastructure cost per dwelling unit, and impervious surface coverage.</w:t>
      </w:r>
    </w:p>
    <w:p>
      <w:pPr>
        <w:spacing w:after="200" w:line="360"/>
        <w:jc w:val="both"/>
      </w:pPr>
      <w:r>
        <w:rPr>
          <w:rFonts w:ascii="Times New Roman" w:cs="Times New Roman" w:eastAsia="Times New Roman" w:hAnsi="Times New Roman"/>
          <w:sz w:val="24"/>
          <w:szCs w:val="24"/>
        </w:rPr>
        <w:t xml:space="preserve">The Ecosystem Services dimension encompasses permeable surface ratios, urban tree canopy coverage, riparian buffer integrity, soil organic carbon, biodiversity index scores, and urban heat island intensity. The Institutional Capacity dimension includes municipal own-source revenue growth, project completion rates, stakeholder engagement levels, data quality for decision-making, inter-jurisdictional coordination, and adaptation plan implementation progress.</w:t>
      </w:r>
    </w:p>
    <w:p>
      <w:pPr>
        <w:pStyle w:val="Heading2"/>
        <w:spacing w:before="360" w:after="200"/>
      </w:pPr>
      <w:r>
        <w:rPr>
          <w:rFonts w:ascii="Times New Roman" w:cs="Times New Roman" w:eastAsia="Times New Roman" w:hAnsi="Times New Roman"/>
        </w:rPr>
        <w:t xml:space="preserve">6.3 Weighting and Scoring</w:t>
      </w:r>
    </w:p>
    <w:p>
      <w:pPr>
        <w:spacing w:after="200" w:line="360"/>
        <w:jc w:val="both"/>
      </w:pPr>
      <w:r>
        <w:rPr>
          <w:rFonts w:ascii="Times New Roman" w:cs="Times New Roman" w:eastAsia="Times New Roman" w:hAnsi="Times New Roman"/>
          <w:sz w:val="24"/>
          <w:szCs w:val="24"/>
        </w:rPr>
        <w:t xml:space="preserve">Indicator weights were assigned through an analytic hierarchy process (AHP). The Water Security dimension received the highest aggregate weight (35 percent), reflecting the centrality of water stress. Compact Development received 25 percent, Ecosystem Services 22 percent, and Institutional Capacity 18 percent. Each indicator is scored on a normalized 0–100 scale with defined rubrics, recalculated annually.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1400"/>
        <w:gridCol w:w="1400"/>
      </w:tblGrid>
      <w:tr>
        <w:tc>
          <w:tcPr>
            <w:tcW w:type="dxa" w:w="2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Dimension</w:t>
            </w:r>
          </w:p>
        </w:tc>
        <w:tc>
          <w:tcPr>
            <w:tcW w:type="dxa" w:w="43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Sample Indicators</w:t>
            </w:r>
          </w:p>
        </w:tc>
        <w:tc>
          <w:tcPr>
            <w:tcW w:type="dxa" w:w="1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Weight</w:t>
            </w:r>
          </w:p>
        </w:tc>
        <w:tc>
          <w:tcPr>
            <w:tcW w:type="dxa" w:w="1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Indicators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jc w:val="left"/>
            </w:pPr>
            <w:r>
              <w:rPr>
                <w:rFonts w:ascii="Times New Roman" w:cs="Times New Roman" w:eastAsia="Times New Roman" w:hAnsi="Times New Roman"/>
                <w:sz w:val="24"/>
                <w:szCs w:val="24"/>
              </w:rPr>
              <w:t xml:space="preserve">Water Security</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jc w:val="left"/>
            </w:pPr>
            <w:r>
              <w:rPr>
                <w:rFonts w:ascii="Times New Roman" w:cs="Times New Roman" w:eastAsia="Times New Roman" w:hAnsi="Times New Roman"/>
                <w:sz w:val="24"/>
                <w:szCs w:val="24"/>
              </w:rPr>
              <w:t xml:space="preserve">Aquifer recharge, distribution efficiency, per-capita consumption, drought resilience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jc w:val="center"/>
            </w:pPr>
            <w:r>
              <w:rPr>
                <w:rFonts w:ascii="Times New Roman" w:cs="Times New Roman" w:eastAsia="Times New Roman" w:hAnsi="Times New Roman"/>
                <w:sz w:val="24"/>
                <w:szCs w:val="24"/>
              </w:rPr>
              <w:t xml:space="preserve">35%</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jc w:val="center"/>
            </w:pPr>
            <w:r>
              <w:rPr>
                <w:rFonts w:ascii="Times New Roman" w:cs="Times New Roman" w:eastAsia="Times New Roman" w:hAnsi="Times New Roman"/>
                <w:sz w:val="24"/>
                <w:szCs w:val="24"/>
              </w:rPr>
              <w:t xml:space="preserve">6</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jc w:val="left"/>
            </w:pPr>
            <w:r>
              <w:rPr>
                <w:rFonts w:ascii="Times New Roman" w:cs="Times New Roman" w:eastAsia="Times New Roman" w:hAnsi="Times New Roman"/>
                <w:sz w:val="24"/>
                <w:szCs w:val="24"/>
              </w:rPr>
              <w:t xml:space="preserve">Compact Development</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jc w:val="left"/>
            </w:pPr>
            <w:r>
              <w:rPr>
                <w:rFonts w:ascii="Times New Roman" w:cs="Times New Roman" w:eastAsia="Times New Roman" w:hAnsi="Times New Roman"/>
                <w:sz w:val="24"/>
                <w:szCs w:val="24"/>
              </w:rPr>
              <w:t xml:space="preserve">Urban density, vacant land ratio, conversion rate, infrastructure cost per dwelling</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jc w:val="center"/>
            </w:pPr>
            <w:r>
              <w:rPr>
                <w:rFonts w:ascii="Times New Roman" w:cs="Times New Roman" w:eastAsia="Times New Roman" w:hAnsi="Times New Roman"/>
                <w:sz w:val="24"/>
                <w:szCs w:val="24"/>
              </w:rPr>
              <w:t xml:space="preserve">25%</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jc w:val="center"/>
            </w:pPr>
            <w:r>
              <w:rPr>
                <w:rFonts w:ascii="Times New Roman" w:cs="Times New Roman" w:eastAsia="Times New Roman" w:hAnsi="Times New Roman"/>
                <w:sz w:val="24"/>
                <w:szCs w:val="24"/>
              </w:rPr>
              <w:t xml:space="preserve">6</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jc w:val="left"/>
            </w:pPr>
            <w:r>
              <w:rPr>
                <w:rFonts w:ascii="Times New Roman" w:cs="Times New Roman" w:eastAsia="Times New Roman" w:hAnsi="Times New Roman"/>
                <w:sz w:val="24"/>
                <w:szCs w:val="24"/>
              </w:rPr>
              <w:t xml:space="preserve">Ecosystem Services</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jc w:val="left"/>
            </w:pPr>
            <w:r>
              <w:rPr>
                <w:rFonts w:ascii="Times New Roman" w:cs="Times New Roman" w:eastAsia="Times New Roman" w:hAnsi="Times New Roman"/>
                <w:sz w:val="24"/>
                <w:szCs w:val="24"/>
              </w:rPr>
              <w:t xml:space="preserve">Permeable surface, tree canopy, riparian buffer, urban heat island</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jc w:val="center"/>
            </w:pPr>
            <w:r>
              <w:rPr>
                <w:rFonts w:ascii="Times New Roman" w:cs="Times New Roman" w:eastAsia="Times New Roman" w:hAnsi="Times New Roman"/>
                <w:sz w:val="24"/>
                <w:szCs w:val="24"/>
              </w:rPr>
              <w:t xml:space="preserve">22%</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jc w:val="center"/>
            </w:pPr>
            <w:r>
              <w:rPr>
                <w:rFonts w:ascii="Times New Roman" w:cs="Times New Roman" w:eastAsia="Times New Roman" w:hAnsi="Times New Roman"/>
                <w:sz w:val="24"/>
                <w:szCs w:val="24"/>
              </w:rPr>
              <w:t xml:space="preserve">6</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jc w:val="left"/>
            </w:pPr>
            <w:r>
              <w:rPr>
                <w:rFonts w:ascii="Times New Roman" w:cs="Times New Roman" w:eastAsia="Times New Roman" w:hAnsi="Times New Roman"/>
                <w:sz w:val="24"/>
                <w:szCs w:val="24"/>
              </w:rPr>
              <w:t xml:space="preserve">Institutional Capacity</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jc w:val="left"/>
            </w:pPr>
            <w:r>
              <w:rPr>
                <w:rFonts w:ascii="Times New Roman" w:cs="Times New Roman" w:eastAsia="Times New Roman" w:hAnsi="Times New Roman"/>
                <w:sz w:val="24"/>
                <w:szCs w:val="24"/>
              </w:rPr>
              <w:t xml:space="preserve">Revenue growth, project completion, stakeholder engagement, data quality</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jc w:val="center"/>
            </w:pPr>
            <w:r>
              <w:rPr>
                <w:rFonts w:ascii="Times New Roman" w:cs="Times New Roman" w:eastAsia="Times New Roman" w:hAnsi="Times New Roman"/>
                <w:sz w:val="24"/>
                <w:szCs w:val="24"/>
              </w:rPr>
              <w:t xml:space="preserve">18%</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jc w:val="center"/>
            </w:pPr>
            <w:r>
              <w:rPr>
                <w:rFonts w:ascii="Times New Roman" w:cs="Times New Roman" w:eastAsia="Times New Roman" w:hAnsi="Times New Roman"/>
                <w:sz w:val="24"/>
                <w:szCs w:val="24"/>
              </w:rPr>
              <w:t xml:space="preserve">6</w:t>
            </w:r>
          </w:p>
        </w:tc>
      </w:tr>
    </w:tbl>
    <w:p>
      <w:pPr>
        <w:spacing w:after="200"/>
      </w:pPr>
    </w:p>
    <w:p>
      <w:pPr>
        <w:spacing w:after="200" w:line="360"/>
        <w:jc w:val="center"/>
      </w:pPr>
      <w:r>
        <w:rPr>
          <w:rFonts w:ascii="Times New Roman" w:cs="Times New Roman" w:eastAsia="Times New Roman" w:hAnsi="Times New Roman"/>
          <w:i/>
          <w:iCs/>
          <w:sz w:val="24"/>
          <w:szCs w:val="24"/>
        </w:rPr>
        <w:t xml:space="preserve">Table 2: Sustainable Urbanism Priority Index dimensions, sample indicators, and weights.</w:t>
      </w:r>
    </w:p>
    <w:p>
      <w:r>
        <w:br w:type="page"/>
      </w:r>
    </w:p>
    <w:p>
      <w:pPr>
        <w:pStyle w:val="Heading1"/>
      </w:pPr>
      <w:r>
        <w:t>7. Revenue Potential and Financial Projections</w:t>
      </w:r>
    </w:p>
    <w:p>
      <w:pPr>
        <w:pStyle w:val="Heading2"/>
      </w:pPr>
      <w:r>
        <w:t>7.1 Estimation Methodology and Data Sources</w:t>
      </w:r>
    </w:p>
    <w:p>
      <w:r>
        <w:t>This section reports revenue on two distinct evidentiary footings, and we are explicit about which is which. The first is realized revenue: amounts actually collected by the two instruments that are already operational—the water-and-sewer feasibility contribution and the vacant-land surcharge. These are drawn from municipal collection records for 2021–2025 and from the 2026 tax roll (padrón), and are expressed in inflation- and exchange-rate-adjusted US dollars using INDEC consumer-price and official ARS/USD series. The second is ex-ante potential: scenario-based estimates for the value-capture instruments that are designed but not yet sanctioned and applied—the betterment levy (Contribución por Mejoras), differential rent capture (Participación en la Valoración de Activos), and development-rights sales (Suelo Creado / CEODEC). Because no transactions exist for these instruments yet, their estimates combine the actual calculation formulas set out in the draft Ordinance of Urban-Economy Instruments with parameters calibrated against real municipal data: the itemised 2026 public-works programme for the betterment levy, and the municipal land-value and fiscal-assessment maps for the development-rights and differential-rent instruments. The value of the Tax Unit (Unidad Tributaria, UT) is set at its real 2026 level of ARS 235 (Tarifaria 2026, Art. 54), and all figures are converted at the 2025 average exchange rate of ARS 1,244.17 per US dollar. We model three scenarios—conservative (Low), baseline (Base), and optimistic (High)—and emphasise that the ex-ante point estimates are illustrative: their contribution is the method and the realized-revenue evidence, not precise forecasts.</w:t>
      </w:r>
    </w:p>
    <w:p>
      <w:pPr>
        <w:pStyle w:val="Heading2"/>
      </w:pPr>
      <w:r>
        <w:t>7.2 Realized Revenue: The Two Operational Instruments</w:t>
      </w:r>
    </w:p>
    <w:p>
      <w:r>
        <w:t>The strongest evidence that land-based own-source revenue can scale comes from the water-and-sewer feasibility contribution, a development charge levied to reserve or obtain service capacity for new development. Collections rose from USD 60,699 in 2021 to USD 690,497 in 2025—an eleven-fold real increase, equivalent to a compound annual growth rate of 83.7 percent in exchange-rate-adjusted terms (Table 3). This trajectory demonstrates that an own-source, land-linked charge can become a material revenue line within a few years, even amid acute macroeconomic volatility. Although this charge is a development levy rather than one of the six value-capture instruments analysed in Section 4, it is the clearest realized proof of concept for the framework.</w:t>
      </w:r>
    </w:p>
    <w:p>
      <w:r>
        <w:t>The vacant-land surcharge provides the second realized data point, and it is one of the six instruments. The 2026 tax roll identifies 5,315 affected parcels: 4,996 taxed at a 100-percent surcharge on the general-services tax in standard tax zones, and 319 taxed at 200 percent in designated priority urban voids. The surcharge adds approximately ARS 493 million to the 2026 emission; allowing for collection efficiency, the municipality estimates annual collection of roughly ARS 345 million (USD 277,539), or about ARS 93,000 of surcharge per vacant lot. Taken together, the two operational instruments yield on the order of USD 0.97 million per year at current scale—revenue that already exists, audited and bankable, before any value-capture instrument is sanctioned.</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Year</w:t>
            </w:r>
          </w:p>
        </w:tc>
        <w:tc>
          <w:tcPr>
            <w:tcW w:type="dxa" w:w="2340"/>
          </w:tcPr>
          <w:p>
            <w:r/>
            <w:r>
              <w:rPr>
                <w:b/>
              </w:rPr>
              <w:t>Water &amp; sewer contribution (USD)</w:t>
            </w:r>
          </w:p>
        </w:tc>
        <w:tc>
          <w:tcPr>
            <w:tcW w:type="dxa" w:w="2340"/>
          </w:tcPr>
          <w:p>
            <w:r/>
            <w:r>
              <w:rPr>
                <w:b/>
              </w:rPr>
              <w:t>Vacant-land surcharge (USD)</w:t>
            </w:r>
          </w:p>
        </w:tc>
        <w:tc>
          <w:tcPr>
            <w:tcW w:type="dxa" w:w="2340"/>
          </w:tcPr>
          <w:p>
            <w:r/>
            <w:r>
              <w:rPr>
                <w:b/>
              </w:rPr>
              <w:t>Total (USD)</w:t>
            </w:r>
          </w:p>
        </w:tc>
      </w:tr>
      <w:tr>
        <w:tc>
          <w:tcPr>
            <w:tcW w:type="dxa" w:w="2340"/>
          </w:tcPr>
          <w:p>
            <w:r/>
            <w:r>
              <w:t>2021</w:t>
            </w:r>
          </w:p>
        </w:tc>
        <w:tc>
          <w:tcPr>
            <w:tcW w:type="dxa" w:w="2340"/>
          </w:tcPr>
          <w:p>
            <w:r/>
            <w:r>
              <w:t>60,699</w:t>
            </w:r>
          </w:p>
        </w:tc>
        <w:tc>
          <w:tcPr>
            <w:tcW w:type="dxa" w:w="2340"/>
          </w:tcPr>
          <w:p>
            <w:r/>
            <w:r>
              <w:t>–</w:t>
            </w:r>
          </w:p>
        </w:tc>
        <w:tc>
          <w:tcPr>
            <w:tcW w:type="dxa" w:w="2340"/>
          </w:tcPr>
          <w:p>
            <w:r/>
            <w:r>
              <w:t>60,699</w:t>
            </w:r>
          </w:p>
        </w:tc>
      </w:tr>
      <w:tr>
        <w:tc>
          <w:tcPr>
            <w:tcW w:type="dxa" w:w="2340"/>
          </w:tcPr>
          <w:p>
            <w:r/>
            <w:r>
              <w:t>2022</w:t>
            </w:r>
          </w:p>
        </w:tc>
        <w:tc>
          <w:tcPr>
            <w:tcW w:type="dxa" w:w="2340"/>
          </w:tcPr>
          <w:p>
            <w:r/>
            <w:r>
              <w:t>97,212</w:t>
            </w:r>
          </w:p>
        </w:tc>
        <w:tc>
          <w:tcPr>
            <w:tcW w:type="dxa" w:w="2340"/>
          </w:tcPr>
          <w:p>
            <w:r/>
            <w:r>
              <w:t>–</w:t>
            </w:r>
          </w:p>
        </w:tc>
        <w:tc>
          <w:tcPr>
            <w:tcW w:type="dxa" w:w="2340"/>
          </w:tcPr>
          <w:p>
            <w:r/>
            <w:r>
              <w:t>97,212</w:t>
            </w:r>
          </w:p>
        </w:tc>
      </w:tr>
      <w:tr>
        <w:tc>
          <w:tcPr>
            <w:tcW w:type="dxa" w:w="2340"/>
          </w:tcPr>
          <w:p>
            <w:r/>
            <w:r>
              <w:t>2023</w:t>
            </w:r>
          </w:p>
        </w:tc>
        <w:tc>
          <w:tcPr>
            <w:tcW w:type="dxa" w:w="2340"/>
          </w:tcPr>
          <w:p>
            <w:r/>
            <w:r>
              <w:t>168,756</w:t>
            </w:r>
          </w:p>
        </w:tc>
        <w:tc>
          <w:tcPr>
            <w:tcW w:type="dxa" w:w="2340"/>
          </w:tcPr>
          <w:p>
            <w:r/>
            <w:r>
              <w:t>–</w:t>
            </w:r>
          </w:p>
        </w:tc>
        <w:tc>
          <w:tcPr>
            <w:tcW w:type="dxa" w:w="2340"/>
          </w:tcPr>
          <w:p>
            <w:r/>
            <w:r>
              <w:t>168,756</w:t>
            </w:r>
          </w:p>
        </w:tc>
      </w:tr>
      <w:tr>
        <w:tc>
          <w:tcPr>
            <w:tcW w:type="dxa" w:w="2340"/>
          </w:tcPr>
          <w:p>
            <w:r/>
            <w:r>
              <w:t>2024</w:t>
            </w:r>
          </w:p>
        </w:tc>
        <w:tc>
          <w:tcPr>
            <w:tcW w:type="dxa" w:w="2340"/>
          </w:tcPr>
          <w:p>
            <w:r/>
            <w:r>
              <w:t>246,004</w:t>
            </w:r>
          </w:p>
        </w:tc>
        <w:tc>
          <w:tcPr>
            <w:tcW w:type="dxa" w:w="2340"/>
          </w:tcPr>
          <w:p>
            <w:r/>
            <w:r>
              <w:t>–</w:t>
            </w:r>
          </w:p>
        </w:tc>
        <w:tc>
          <w:tcPr>
            <w:tcW w:type="dxa" w:w="2340"/>
          </w:tcPr>
          <w:p>
            <w:r/>
            <w:r>
              <w:t>246,004</w:t>
            </w:r>
          </w:p>
        </w:tc>
      </w:tr>
      <w:tr>
        <w:tc>
          <w:tcPr>
            <w:tcW w:type="dxa" w:w="2340"/>
          </w:tcPr>
          <w:p>
            <w:r/>
            <w:r>
              <w:t>2025</w:t>
            </w:r>
          </w:p>
        </w:tc>
        <w:tc>
          <w:tcPr>
            <w:tcW w:type="dxa" w:w="2340"/>
          </w:tcPr>
          <w:p>
            <w:r/>
            <w:r>
              <w:t>690,497</w:t>
            </w:r>
          </w:p>
        </w:tc>
        <w:tc>
          <w:tcPr>
            <w:tcW w:type="dxa" w:w="2340"/>
          </w:tcPr>
          <w:p>
            <w:r/>
            <w:r>
              <w:t>–</w:t>
            </w:r>
          </w:p>
        </w:tc>
        <w:tc>
          <w:tcPr>
            <w:tcW w:type="dxa" w:w="2340"/>
          </w:tcPr>
          <w:p>
            <w:r/>
            <w:r>
              <w:t>690,497</w:t>
            </w:r>
          </w:p>
        </w:tc>
      </w:tr>
      <w:tr>
        <w:tc>
          <w:tcPr>
            <w:tcW w:type="dxa" w:w="2340"/>
          </w:tcPr>
          <w:p>
            <w:r/>
            <w:r>
              <w:t>2026 (est.)</w:t>
            </w:r>
          </w:p>
        </w:tc>
        <w:tc>
          <w:tcPr>
            <w:tcW w:type="dxa" w:w="2340"/>
          </w:tcPr>
          <w:p>
            <w:r/>
            <w:r>
              <w:t>–</w:t>
            </w:r>
          </w:p>
        </w:tc>
        <w:tc>
          <w:tcPr>
            <w:tcW w:type="dxa" w:w="2340"/>
          </w:tcPr>
          <w:p>
            <w:r/>
            <w:r>
              <w:t>277,539</w:t>
            </w:r>
          </w:p>
        </w:tc>
        <w:tc>
          <w:tcPr>
            <w:tcW w:type="dxa" w:w="2340"/>
          </w:tcPr>
          <w:p>
            <w:r/>
            <w:r>
              <w:t>277,539</w:t>
            </w:r>
          </w:p>
        </w:tc>
      </w:tr>
    </w:tbl>
    <w:p>
      <w:r>
        <w:rPr>
          <w:i/>
          <w:sz w:val="18"/>
        </w:rPr>
        <w:t>Table 3: Realized revenue from the two operational instruments, in FX- and inflation-adjusted US dollars. Water &amp; sewer real CAGR 2021–2025 = 83.7% (≈11× real growth). Vacant-land surcharge estimated from the 2026 tax roll (5,315 lots; ≈ARS 345 million). Source: municipal collection records and 2026 padrón; INDEC and official ARS/USD series.</w:t>
      </w:r>
    </w:p>
    <w:p>
      <w:pPr>
        <w:pStyle w:val="Heading2"/>
      </w:pPr>
      <w:r>
        <w:t>7.3 Ex-ante Potential of the Value-Capture Instruments</w:t>
      </w:r>
    </w:p>
    <w:p>
      <w:r>
        <w:t>For the designed instruments we apply the ordinance formulas to real municipal parameters. The betterment levy is sized against the municipality’s actual 2026 public-works programme (Table 4), which budgets approximately ARS 6.85 billion (about USD 5.5 million) across ten funded road, public-space, and infrastructure projects; a further twelve projects carry no separate budget, being financed within the operating pavement budget or executed by the province, and are excluded from the base. Each funded project carries a planning-priority weight in the programme (80 percent for priority-1 works, 20 percent for priority-2). Applying these weights and excluding the network-level east–west canal bridge—the single largest item, whose benefit to land value is diffuse rather than localised—leaves a betterment-eligible, priority-weighted base of about ARS 3.49 billion (USD 2.81 million). Applying cost-recovery shares of 25 to 50 percent, within the ordinance’s legal ceilings (recovery may not exceed the value increment, and aggregate betterment charges may not exceed 50 percent of assessed value), yields a betterment potential of roughly ARS 0.87 to 1.75 billion per year (USD 0.70–1.40 million).</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
              <w:rPr>
                <w:b/>
              </w:rPr>
              <w:t>ID</w:t>
            </w:r>
          </w:p>
        </w:tc>
        <w:tc>
          <w:tcPr>
            <w:tcW w:type="dxa" w:w="1872"/>
          </w:tcPr>
          <w:p>
            <w:r/>
            <w:r>
              <w:rPr>
                <w:b/>
              </w:rPr>
              <w:t>Project</w:t>
            </w:r>
          </w:p>
        </w:tc>
        <w:tc>
          <w:tcPr>
            <w:tcW w:type="dxa" w:w="1872"/>
          </w:tcPr>
          <w:p>
            <w:r/>
            <w:r>
              <w:rPr>
                <w:b/>
              </w:rPr>
              <w:t>Programme</w:t>
            </w:r>
          </w:p>
        </w:tc>
        <w:tc>
          <w:tcPr>
            <w:tcW w:type="dxa" w:w="1872"/>
          </w:tcPr>
          <w:p>
            <w:r/>
            <w:r>
              <w:rPr>
                <w:b/>
              </w:rPr>
              <w:t>Budget (ARS)</w:t>
            </w:r>
          </w:p>
        </w:tc>
        <w:tc>
          <w:tcPr>
            <w:tcW w:type="dxa" w:w="1872"/>
          </w:tcPr>
          <w:p>
            <w:r/>
            <w:r>
              <w:rPr>
                <w:b/>
              </w:rPr>
              <w:t>Priority (EA)</w:t>
            </w:r>
          </w:p>
        </w:tc>
      </w:tr>
      <w:tr>
        <w:tc>
          <w:tcPr>
            <w:tcW w:type="dxa" w:w="1872"/>
          </w:tcPr>
          <w:p>
            <w:r/>
            <w:r>
              <w:t>1274</w:t>
            </w:r>
          </w:p>
        </w:tc>
        <w:tc>
          <w:tcPr>
            <w:tcW w:type="dxa" w:w="1872"/>
          </w:tcPr>
          <w:p>
            <w:r/>
            <w:r>
              <w:t>Cacique Guaymallén canal bridge (E–W integration)</w:t>
            </w:r>
          </w:p>
        </w:tc>
        <w:tc>
          <w:tcPr>
            <w:tcW w:type="dxa" w:w="1872"/>
          </w:tcPr>
          <w:p>
            <w:r/>
            <w:r>
              <w:t>Road works</w:t>
            </w:r>
          </w:p>
        </w:tc>
        <w:tc>
          <w:tcPr>
            <w:tcW w:type="dxa" w:w="1872"/>
          </w:tcPr>
          <w:p>
            <w:r/>
            <w:r>
              <w:t>2,000,000,000</w:t>
            </w:r>
          </w:p>
        </w:tc>
        <w:tc>
          <w:tcPr>
            <w:tcW w:type="dxa" w:w="1872"/>
          </w:tcPr>
          <w:p>
            <w:r/>
            <w:r>
              <w:t>1 (80%)</w:t>
            </w:r>
          </w:p>
        </w:tc>
      </w:tr>
      <w:tr>
        <w:tc>
          <w:tcPr>
            <w:tcW w:type="dxa" w:w="1872"/>
          </w:tcPr>
          <w:p>
            <w:r/>
            <w:r>
              <w:t>395</w:t>
            </w:r>
          </w:p>
        </w:tc>
        <w:tc>
          <w:tcPr>
            <w:tcW w:type="dxa" w:w="1872"/>
          </w:tcPr>
          <w:p>
            <w:r/>
            <w:r>
              <w:t>Urban centrality — street/pedestrian/drainage upgrade</w:t>
            </w:r>
          </w:p>
        </w:tc>
        <w:tc>
          <w:tcPr>
            <w:tcW w:type="dxa" w:w="1872"/>
          </w:tcPr>
          <w:p>
            <w:r/>
            <w:r>
              <w:t>Urban centrality</w:t>
            </w:r>
          </w:p>
        </w:tc>
        <w:tc>
          <w:tcPr>
            <w:tcW w:type="dxa" w:w="1872"/>
          </w:tcPr>
          <w:p>
            <w:r/>
            <w:r>
              <w:t>1,500,000,000</w:t>
            </w:r>
          </w:p>
        </w:tc>
        <w:tc>
          <w:tcPr>
            <w:tcW w:type="dxa" w:w="1872"/>
          </w:tcPr>
          <w:p>
            <w:r/>
            <w:r>
              <w:t>1 (80%)</w:t>
            </w:r>
          </w:p>
        </w:tc>
      </w:tr>
      <w:tr>
        <w:tc>
          <w:tcPr>
            <w:tcW w:type="dxa" w:w="1872"/>
          </w:tcPr>
          <w:p>
            <w:r/>
            <w:r>
              <w:t>773</w:t>
            </w:r>
          </w:p>
        </w:tc>
        <w:tc>
          <w:tcPr>
            <w:tcW w:type="dxa" w:w="1872"/>
          </w:tcPr>
          <w:p>
            <w:r/>
            <w:r>
              <w:t>Saenz Peña–La Carrodilla / Ruta 15 centrality</w:t>
            </w:r>
          </w:p>
        </w:tc>
        <w:tc>
          <w:tcPr>
            <w:tcW w:type="dxa" w:w="1872"/>
          </w:tcPr>
          <w:p>
            <w:r/>
            <w:r>
              <w:t>Urban centrality</w:t>
            </w:r>
          </w:p>
        </w:tc>
        <w:tc>
          <w:tcPr>
            <w:tcW w:type="dxa" w:w="1872"/>
          </w:tcPr>
          <w:p>
            <w:r/>
            <w:r>
              <w:t>1,500,000,000</w:t>
            </w:r>
          </w:p>
        </w:tc>
        <w:tc>
          <w:tcPr>
            <w:tcW w:type="dxa" w:w="1872"/>
          </w:tcPr>
          <w:p>
            <w:r/>
            <w:r>
              <w:t>1 (80%)</w:t>
            </w:r>
          </w:p>
        </w:tc>
      </w:tr>
      <w:tr>
        <w:tc>
          <w:tcPr>
            <w:tcW w:type="dxa" w:w="1872"/>
          </w:tcPr>
          <w:p>
            <w:r/>
            <w:r>
              <w:t>865</w:t>
            </w:r>
          </w:p>
        </w:tc>
        <w:tc>
          <w:tcPr>
            <w:tcW w:type="dxa" w:w="1872"/>
          </w:tcPr>
          <w:p>
            <w:r/>
            <w:r>
              <w:t>Microplazas (20 planned; ~10 in 2026)</w:t>
            </w:r>
          </w:p>
        </w:tc>
        <w:tc>
          <w:tcPr>
            <w:tcW w:type="dxa" w:w="1872"/>
          </w:tcPr>
          <w:p>
            <w:r/>
            <w:r>
              <w:t>Parks &amp; squares</w:t>
            </w:r>
          </w:p>
        </w:tc>
        <w:tc>
          <w:tcPr>
            <w:tcW w:type="dxa" w:w="1872"/>
          </w:tcPr>
          <w:p>
            <w:r/>
            <w:r>
              <w:t>1,200,000,000</w:t>
            </w:r>
          </w:p>
        </w:tc>
        <w:tc>
          <w:tcPr>
            <w:tcW w:type="dxa" w:w="1872"/>
          </w:tcPr>
          <w:p>
            <w:r/>
            <w:r>
              <w:t>1 (80%)</w:t>
            </w:r>
          </w:p>
        </w:tc>
      </w:tr>
      <w:tr>
        <w:tc>
          <w:tcPr>
            <w:tcW w:type="dxa" w:w="1872"/>
          </w:tcPr>
          <w:p>
            <w:r/>
            <w:r>
              <w:t>993</w:t>
            </w:r>
          </w:p>
        </w:tc>
        <w:tc>
          <w:tcPr>
            <w:tcW w:type="dxa" w:w="1872"/>
          </w:tcPr>
          <w:p>
            <w:r/>
            <w:r>
              <w:t>Speed reducers / safe prefabricated crossings</w:t>
            </w:r>
          </w:p>
        </w:tc>
        <w:tc>
          <w:tcPr>
            <w:tcW w:type="dxa" w:w="1872"/>
          </w:tcPr>
          <w:p>
            <w:r/>
            <w:r>
              <w:t>Road works</w:t>
            </w:r>
          </w:p>
        </w:tc>
        <w:tc>
          <w:tcPr>
            <w:tcW w:type="dxa" w:w="1872"/>
          </w:tcPr>
          <w:p>
            <w:r/>
            <w:r>
              <w:t>350,000,000</w:t>
            </w:r>
          </w:p>
        </w:tc>
        <w:tc>
          <w:tcPr>
            <w:tcW w:type="dxa" w:w="1872"/>
          </w:tcPr>
          <w:p>
            <w:r/>
            <w:r>
              <w:t>2 (20%)</w:t>
            </w:r>
          </w:p>
        </w:tc>
      </w:tr>
      <w:tr>
        <w:tc>
          <w:tcPr>
            <w:tcW w:type="dxa" w:w="1872"/>
          </w:tcPr>
          <w:p>
            <w:r/>
            <w:r>
              <w:t>994</w:t>
            </w:r>
          </w:p>
        </w:tc>
        <w:tc>
          <w:tcPr>
            <w:tcW w:type="dxa" w:w="1872"/>
          </w:tcPr>
          <w:p>
            <w:r/>
            <w:r>
              <w:t>Secure monitored infrastructure points (5 stops)</w:t>
            </w:r>
          </w:p>
        </w:tc>
        <w:tc>
          <w:tcPr>
            <w:tcW w:type="dxa" w:w="1872"/>
          </w:tcPr>
          <w:p>
            <w:r/>
            <w:r>
              <w:t>Infrastructure</w:t>
            </w:r>
          </w:p>
        </w:tc>
        <w:tc>
          <w:tcPr>
            <w:tcW w:type="dxa" w:w="1872"/>
          </w:tcPr>
          <w:p>
            <w:r/>
            <w:r>
              <w:t>200,000,000</w:t>
            </w:r>
          </w:p>
        </w:tc>
        <w:tc>
          <w:tcPr>
            <w:tcW w:type="dxa" w:w="1872"/>
          </w:tcPr>
          <w:p>
            <w:r/>
            <w:r>
              <w:t>2 (20%)</w:t>
            </w:r>
          </w:p>
        </w:tc>
      </w:tr>
      <w:tr>
        <w:tc>
          <w:tcPr>
            <w:tcW w:type="dxa" w:w="1872"/>
          </w:tcPr>
          <w:p>
            <w:r/>
            <w:r>
              <w:t>464</w:t>
            </w:r>
          </w:p>
        </w:tc>
        <w:tc>
          <w:tcPr>
            <w:tcW w:type="dxa" w:w="1872"/>
          </w:tcPr>
          <w:p>
            <w:r/>
            <w:r>
              <w:t>Connected bus shelters</w:t>
            </w:r>
          </w:p>
        </w:tc>
        <w:tc>
          <w:tcPr>
            <w:tcW w:type="dxa" w:w="1872"/>
          </w:tcPr>
          <w:p>
            <w:r/>
            <w:r>
              <w:t>Public space</w:t>
            </w:r>
          </w:p>
        </w:tc>
        <w:tc>
          <w:tcPr>
            <w:tcW w:type="dxa" w:w="1872"/>
          </w:tcPr>
          <w:p>
            <w:r/>
            <w:r>
              <w:t>33,750,000</w:t>
            </w:r>
          </w:p>
        </w:tc>
        <w:tc>
          <w:tcPr>
            <w:tcW w:type="dxa" w:w="1872"/>
          </w:tcPr>
          <w:p>
            <w:r/>
            <w:r>
              <w:t>2 (20%)</w:t>
            </w:r>
          </w:p>
        </w:tc>
      </w:tr>
      <w:tr>
        <w:tc>
          <w:tcPr>
            <w:tcW w:type="dxa" w:w="1872"/>
          </w:tcPr>
          <w:p>
            <w:r/>
            <w:r>
              <w:t>452</w:t>
            </w:r>
          </w:p>
        </w:tc>
        <w:tc>
          <w:tcPr>
            <w:tcW w:type="dxa" w:w="1872"/>
          </w:tcPr>
          <w:p>
            <w:r/>
            <w:r>
              <w:t>Sidewalks Zapiola &amp; Pueyrredón (1,750 m)</w:t>
            </w:r>
          </w:p>
        </w:tc>
        <w:tc>
          <w:tcPr>
            <w:tcW w:type="dxa" w:w="1872"/>
          </w:tcPr>
          <w:p>
            <w:r/>
            <w:r>
              <w:t>Maintenance</w:t>
            </w:r>
          </w:p>
        </w:tc>
        <w:tc>
          <w:tcPr>
            <w:tcW w:type="dxa" w:w="1872"/>
          </w:tcPr>
          <w:p>
            <w:r/>
            <w:r>
              <w:t>30,562,500</w:t>
            </w:r>
          </w:p>
        </w:tc>
        <w:tc>
          <w:tcPr>
            <w:tcW w:type="dxa" w:w="1872"/>
          </w:tcPr>
          <w:p>
            <w:r/>
            <w:r>
              <w:t>2 (20%)</w:t>
            </w:r>
          </w:p>
        </w:tc>
      </w:tr>
      <w:tr>
        <w:tc>
          <w:tcPr>
            <w:tcW w:type="dxa" w:w="1872"/>
          </w:tcPr>
          <w:p>
            <w:r/>
            <w:r>
              <w:t>575</w:t>
            </w:r>
          </w:p>
        </w:tc>
        <w:tc>
          <w:tcPr>
            <w:tcW w:type="dxa" w:w="1872"/>
          </w:tcPr>
          <w:p>
            <w:r/>
            <w:r>
              <w:t>Boulevard Tierra del Fuego (400 m)</w:t>
            </w:r>
          </w:p>
        </w:tc>
        <w:tc>
          <w:tcPr>
            <w:tcW w:type="dxa" w:w="1872"/>
          </w:tcPr>
          <w:p>
            <w:r/>
            <w:r>
              <w:t>Maintenance</w:t>
            </w:r>
          </w:p>
        </w:tc>
        <w:tc>
          <w:tcPr>
            <w:tcW w:type="dxa" w:w="1872"/>
          </w:tcPr>
          <w:p>
            <w:r/>
            <w:r>
              <w:t>24,570,000</w:t>
            </w:r>
          </w:p>
        </w:tc>
        <w:tc>
          <w:tcPr>
            <w:tcW w:type="dxa" w:w="1872"/>
          </w:tcPr>
          <w:p>
            <w:r/>
            <w:r>
              <w:t>2 (20%)</w:t>
            </w:r>
          </w:p>
        </w:tc>
      </w:tr>
      <w:tr>
        <w:tc>
          <w:tcPr>
            <w:tcW w:type="dxa" w:w="1872"/>
          </w:tcPr>
          <w:p>
            <w:r/>
            <w:r>
              <w:t>463</w:t>
            </w:r>
          </w:p>
        </w:tc>
        <w:tc>
          <w:tcPr>
            <w:tcW w:type="dxa" w:w="1872"/>
          </w:tcPr>
          <w:p>
            <w:r/>
            <w:r>
              <w:t>Polideportivo sidewalk (600 m)</w:t>
            </w:r>
          </w:p>
        </w:tc>
        <w:tc>
          <w:tcPr>
            <w:tcW w:type="dxa" w:w="1872"/>
          </w:tcPr>
          <w:p>
            <w:r/>
            <w:r>
              <w:t>Parks &amp; squares</w:t>
            </w:r>
          </w:p>
        </w:tc>
        <w:tc>
          <w:tcPr>
            <w:tcW w:type="dxa" w:w="1872"/>
          </w:tcPr>
          <w:p>
            <w:r/>
            <w:r>
              <w:t>15,000,000</w:t>
            </w:r>
          </w:p>
        </w:tc>
        <w:tc>
          <w:tcPr>
            <w:tcW w:type="dxa" w:w="1872"/>
          </w:tcPr>
          <w:p>
            <w:r/>
            <w:r>
              <w:t>2 (20%)</w:t>
            </w:r>
          </w:p>
        </w:tc>
      </w:tr>
      <w:tr>
        <w:tc>
          <w:tcPr>
            <w:tcW w:type="dxa" w:w="1872"/>
          </w:tcPr>
          <w:p>
            <w:r/>
            <w:r/>
          </w:p>
        </w:tc>
        <w:tc>
          <w:tcPr>
            <w:tcW w:type="dxa" w:w="1872"/>
          </w:tcPr>
          <w:p>
            <w:r/>
            <w:r>
              <w:t>Total funded programme</w:t>
            </w:r>
          </w:p>
        </w:tc>
        <w:tc>
          <w:tcPr>
            <w:tcW w:type="dxa" w:w="1872"/>
          </w:tcPr>
          <w:p>
            <w:r/>
            <w:r/>
          </w:p>
        </w:tc>
        <w:tc>
          <w:tcPr>
            <w:tcW w:type="dxa" w:w="1872"/>
          </w:tcPr>
          <w:p>
            <w:r/>
            <w:r>
              <w:t>6,853,882,500</w:t>
            </w:r>
          </w:p>
        </w:tc>
        <w:tc>
          <w:tcPr>
            <w:tcW w:type="dxa" w:w="1872"/>
          </w:tcPr>
          <w:p>
            <w:r/>
            <w:r/>
          </w:p>
        </w:tc>
      </w:tr>
      <w:tr>
        <w:tc>
          <w:tcPr>
            <w:tcW w:type="dxa" w:w="1872"/>
          </w:tcPr>
          <w:p>
            <w:r/>
            <w:r/>
          </w:p>
        </w:tc>
        <w:tc>
          <w:tcPr>
            <w:tcW w:type="dxa" w:w="1872"/>
          </w:tcPr>
          <w:p>
            <w:r/>
            <w:r>
              <w:t>Priority-weighted (EA 80/20)</w:t>
            </w:r>
          </w:p>
        </w:tc>
        <w:tc>
          <w:tcPr>
            <w:tcW w:type="dxa" w:w="1872"/>
          </w:tcPr>
          <w:p>
            <w:r/>
            <w:r/>
          </w:p>
        </w:tc>
        <w:tc>
          <w:tcPr>
            <w:tcW w:type="dxa" w:w="1872"/>
          </w:tcPr>
          <w:p>
            <w:r/>
            <w:r>
              <w:t>5,090,776,500</w:t>
            </w:r>
          </w:p>
        </w:tc>
        <w:tc>
          <w:tcPr>
            <w:tcW w:type="dxa" w:w="1872"/>
          </w:tcPr>
          <w:p>
            <w:r/>
            <w:r/>
          </w:p>
        </w:tc>
      </w:tr>
      <w:tr>
        <w:tc>
          <w:tcPr>
            <w:tcW w:type="dxa" w:w="1872"/>
          </w:tcPr>
          <w:p>
            <w:r/>
            <w:r/>
          </w:p>
        </w:tc>
        <w:tc>
          <w:tcPr>
            <w:tcW w:type="dxa" w:w="1872"/>
          </w:tcPr>
          <w:p>
            <w:r/>
            <w:r>
              <w:t>Betterment-eligible, weighted (excl. ID 1274)</w:t>
            </w:r>
          </w:p>
        </w:tc>
        <w:tc>
          <w:tcPr>
            <w:tcW w:type="dxa" w:w="1872"/>
          </w:tcPr>
          <w:p>
            <w:r/>
            <w:r/>
          </w:p>
        </w:tc>
        <w:tc>
          <w:tcPr>
            <w:tcW w:type="dxa" w:w="1872"/>
          </w:tcPr>
          <w:p>
            <w:r/>
            <w:r>
              <w:t>3,490,776,500</w:t>
            </w:r>
          </w:p>
        </w:tc>
        <w:tc>
          <w:tcPr>
            <w:tcW w:type="dxa" w:w="1872"/>
          </w:tcPr>
          <w:p>
            <w:r/>
            <w:r/>
          </w:p>
        </w:tc>
      </w:tr>
    </w:tbl>
    <w:p>
      <w:r>
        <w:rPr>
          <w:i/>
          <w:sz w:val="18"/>
        </w:rPr>
        <w:t>Table 4: 2026 municipal public-works programme — the betterment-levy cost base. Source: Plan de Obras, “Obras y Espacios Públicos — Proyectos a ejecutar 2026.” Twelve further projects carry no separate 2026 budget (operating pavement budget or provincial execution) and are excluded.</w:t>
      </w:r>
    </w:p>
    <w:p>
      <w:r>
        <w:t>Development-rights sales and differential rent capture are calibrated against the municipal land-value map, which records undeveloped land prices ranging from under USD 10 per square metre in the rural piedmont to more than USD 150 per square metre in consolidated urban zones. Pricing additional buildable area at 20 to 40 percent of zone land value (≈50–300 UT/m²) and assuming an annual pipeline of 2,000 to 20,000 m² of development rights yields a development-rights potential of ARS 24 to 1,410 million per year (USD 0.02–1.13 million). Applying analogous unit values to 5,000 to 50,000 m² of annual additional buildable demand created by rezoning gives a differential-rent potential of ARS 35 to 2,350 million per year (USD 0.03–1.89 million). The remaining two instruments are not separately quantified: transferable development rights depend on an as-yet-untraded market, and tax incentives operate as a net fiscal cost in the early years before becoming revenue-neutral.</w:t>
      </w:r>
    </w:p>
    <w:p>
      <w:r>
        <w:t>Aggregating the three quantifiable value-capture instruments gives an ex-ante potential of approximately USD 0.7 million (Low), USD 1.7 million (Base), and USD 4.4 million (High) per year (Table 5). Combined with the roughly USD 0.97 million of realized operational revenue, the framework’s total annual revenue potential is on the order of USD 1.7 million (Low) to USD 5.4 million (High), with a baseline near USD 2.6 million. At the baseline, the betterment levy—anchored in the real, budgeted works programme—is the single largest prospective contributor, ahead of the already-operational water-and-sewer charge; the differential-rent instrument becomes the largest only in the optimistic scenario. This ordering is grounded in observed municipal data rather than assumed shares.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
              <w:rPr>
                <w:b/>
              </w:rPr>
              <w:t>Instrument</w:t>
            </w:r>
          </w:p>
        </w:tc>
        <w:tc>
          <w:tcPr>
            <w:tcW w:type="dxa" w:w="1872"/>
          </w:tcPr>
          <w:p>
            <w:r/>
            <w:r>
              <w:rPr>
                <w:b/>
              </w:rPr>
              <w:t>Basis (real municipal data)</w:t>
            </w:r>
          </w:p>
        </w:tc>
        <w:tc>
          <w:tcPr>
            <w:tcW w:type="dxa" w:w="1872"/>
          </w:tcPr>
          <w:p>
            <w:r/>
            <w:r>
              <w:rPr>
                <w:b/>
              </w:rPr>
              <w:t>Low (USD/yr)</w:t>
            </w:r>
          </w:p>
        </w:tc>
        <w:tc>
          <w:tcPr>
            <w:tcW w:type="dxa" w:w="1872"/>
          </w:tcPr>
          <w:p>
            <w:r/>
            <w:r>
              <w:rPr>
                <w:b/>
              </w:rPr>
              <w:t>Base (USD/yr)</w:t>
            </w:r>
          </w:p>
        </w:tc>
        <w:tc>
          <w:tcPr>
            <w:tcW w:type="dxa" w:w="1872"/>
          </w:tcPr>
          <w:p>
            <w:r/>
            <w:r>
              <w:rPr>
                <w:b/>
              </w:rPr>
              <w:t>High (USD/yr)</w:t>
            </w:r>
          </w:p>
        </w:tc>
      </w:tr>
      <w:tr>
        <w:tc>
          <w:tcPr>
            <w:tcW w:type="dxa" w:w="1872"/>
          </w:tcPr>
          <w:p>
            <w:r/>
            <w:r>
              <w:t>Betterment contributions (CPM)</w:t>
            </w:r>
          </w:p>
        </w:tc>
        <w:tc>
          <w:tcPr>
            <w:tcW w:type="dxa" w:w="1872"/>
          </w:tcPr>
          <w:p>
            <w:r/>
            <w:r>
              <w:t>2026 works programme: ARS 3.49 B eligible (EA-weighted) × 25–50%</w:t>
            </w:r>
          </w:p>
        </w:tc>
        <w:tc>
          <w:tcPr>
            <w:tcW w:type="dxa" w:w="1872"/>
          </w:tcPr>
          <w:p>
            <w:r/>
            <w:r>
              <w:t>0.70 M</w:t>
            </w:r>
          </w:p>
        </w:tc>
        <w:tc>
          <w:tcPr>
            <w:tcW w:type="dxa" w:w="1872"/>
          </w:tcPr>
          <w:p>
            <w:r/>
            <w:r>
              <w:t>1.12 M</w:t>
            </w:r>
          </w:p>
        </w:tc>
        <w:tc>
          <w:tcPr>
            <w:tcW w:type="dxa" w:w="1872"/>
          </w:tcPr>
          <w:p>
            <w:r/>
            <w:r>
              <w:t>1.40 M</w:t>
            </w:r>
          </w:p>
        </w:tc>
      </w:tr>
      <w:tr>
        <w:tc>
          <w:tcPr>
            <w:tcW w:type="dxa" w:w="1872"/>
          </w:tcPr>
          <w:p>
            <w:r/>
            <w:r>
              <w:t>Differential rent capture (PVA)</w:t>
            </w:r>
          </w:p>
        </w:tc>
        <w:tc>
          <w:tcPr>
            <w:tcW w:type="dxa" w:w="1872"/>
          </w:tcPr>
          <w:p>
            <w:r/>
            <w:r>
              <w:t>Land-value map; 5–50k m² × 30–200 UT/m²</w:t>
            </w:r>
          </w:p>
        </w:tc>
        <w:tc>
          <w:tcPr>
            <w:tcW w:type="dxa" w:w="1872"/>
          </w:tcPr>
          <w:p>
            <w:r/>
            <w:r>
              <w:t>0.03 M</w:t>
            </w:r>
          </w:p>
        </w:tc>
        <w:tc>
          <w:tcPr>
            <w:tcW w:type="dxa" w:w="1872"/>
          </w:tcPr>
          <w:p>
            <w:r/>
            <w:r>
              <w:t>0.30 M</w:t>
            </w:r>
          </w:p>
        </w:tc>
        <w:tc>
          <w:tcPr>
            <w:tcW w:type="dxa" w:w="1872"/>
          </w:tcPr>
          <w:p>
            <w:r/>
            <w:r>
              <w:t>1.89 M</w:t>
            </w:r>
          </w:p>
        </w:tc>
      </w:tr>
      <w:tr>
        <w:tc>
          <w:tcPr>
            <w:tcW w:type="dxa" w:w="1872"/>
          </w:tcPr>
          <w:p>
            <w:r/>
            <w:r>
              <w:t>Development-rights sales (Suelo Creado)</w:t>
            </w:r>
          </w:p>
        </w:tc>
        <w:tc>
          <w:tcPr>
            <w:tcW w:type="dxa" w:w="1872"/>
          </w:tcPr>
          <w:p>
            <w:r/>
            <w:r>
              <w:t>Land-value map; 2–20k m² × 50–300 UT/m²</w:t>
            </w:r>
          </w:p>
        </w:tc>
        <w:tc>
          <w:tcPr>
            <w:tcW w:type="dxa" w:w="1872"/>
          </w:tcPr>
          <w:p>
            <w:r/>
            <w:r>
              <w:t>0.02 M</w:t>
            </w:r>
          </w:p>
        </w:tc>
        <w:tc>
          <w:tcPr>
            <w:tcW w:type="dxa" w:w="1872"/>
          </w:tcPr>
          <w:p>
            <w:r/>
            <w:r>
              <w:t>0.23 M</w:t>
            </w:r>
          </w:p>
        </w:tc>
        <w:tc>
          <w:tcPr>
            <w:tcW w:type="dxa" w:w="1872"/>
          </w:tcPr>
          <w:p>
            <w:r/>
            <w:r>
              <w:t>1.13 M</w:t>
            </w:r>
          </w:p>
        </w:tc>
      </w:tr>
      <w:tr>
        <w:tc>
          <w:tcPr>
            <w:tcW w:type="dxa" w:w="1872"/>
          </w:tcPr>
          <w:p>
            <w:r/>
            <w:r>
              <w:t>Subtotal — value capture (ex-ante)</w:t>
            </w:r>
          </w:p>
        </w:tc>
        <w:tc>
          <w:tcPr>
            <w:tcW w:type="dxa" w:w="1872"/>
          </w:tcPr>
          <w:p>
            <w:r/>
            <w:r/>
          </w:p>
        </w:tc>
        <w:tc>
          <w:tcPr>
            <w:tcW w:type="dxa" w:w="1872"/>
          </w:tcPr>
          <w:p>
            <w:r/>
            <w:r>
              <w:t>0.75 M</w:t>
            </w:r>
          </w:p>
        </w:tc>
        <w:tc>
          <w:tcPr>
            <w:tcW w:type="dxa" w:w="1872"/>
          </w:tcPr>
          <w:p>
            <w:r/>
            <w:r>
              <w:t>1.65 M</w:t>
            </w:r>
          </w:p>
        </w:tc>
        <w:tc>
          <w:tcPr>
            <w:tcW w:type="dxa" w:w="1872"/>
          </w:tcPr>
          <w:p>
            <w:r/>
            <w:r>
              <w:t>4.42 M</w:t>
            </w:r>
          </w:p>
        </w:tc>
      </w:tr>
      <w:tr>
        <w:tc>
          <w:tcPr>
            <w:tcW w:type="dxa" w:w="1872"/>
          </w:tcPr>
          <w:p>
            <w:r/>
            <w:r>
              <w:t>Realized operational (water &amp; sewer + vacant land)</w:t>
            </w:r>
          </w:p>
        </w:tc>
        <w:tc>
          <w:tcPr>
            <w:tcW w:type="dxa" w:w="1872"/>
          </w:tcPr>
          <w:p>
            <w:r/>
            <w:r>
              <w:t>Municipal records (2025 / 2026)</w:t>
            </w:r>
          </w:p>
        </w:tc>
        <w:tc>
          <w:tcPr>
            <w:tcW w:type="dxa" w:w="1872"/>
          </w:tcPr>
          <w:p>
            <w:r/>
            <w:r>
              <w:t>0.97 M</w:t>
            </w:r>
          </w:p>
        </w:tc>
        <w:tc>
          <w:tcPr>
            <w:tcW w:type="dxa" w:w="1872"/>
          </w:tcPr>
          <w:p>
            <w:r/>
            <w:r>
              <w:t>0.97 M</w:t>
            </w:r>
          </w:p>
        </w:tc>
        <w:tc>
          <w:tcPr>
            <w:tcW w:type="dxa" w:w="1872"/>
          </w:tcPr>
          <w:p>
            <w:r/>
            <w:r>
              <w:t>0.97 M</w:t>
            </w:r>
          </w:p>
        </w:tc>
      </w:tr>
      <w:tr>
        <w:tc>
          <w:tcPr>
            <w:tcW w:type="dxa" w:w="1872"/>
          </w:tcPr>
          <w:p>
            <w:r/>
            <w:r>
              <w:t>Total annual revenue potential</w:t>
            </w:r>
          </w:p>
        </w:tc>
        <w:tc>
          <w:tcPr>
            <w:tcW w:type="dxa" w:w="1872"/>
          </w:tcPr>
          <w:p>
            <w:r/>
            <w:r/>
          </w:p>
        </w:tc>
        <w:tc>
          <w:tcPr>
            <w:tcW w:type="dxa" w:w="1872"/>
          </w:tcPr>
          <w:p>
            <w:r/>
            <w:r>
              <w:t>1.72 M</w:t>
            </w:r>
          </w:p>
        </w:tc>
        <w:tc>
          <w:tcPr>
            <w:tcW w:type="dxa" w:w="1872"/>
          </w:tcPr>
          <w:p>
            <w:r/>
            <w:r>
              <w:t>2.62 M</w:t>
            </w:r>
          </w:p>
        </w:tc>
        <w:tc>
          <w:tcPr>
            <w:tcW w:type="dxa" w:w="1872"/>
          </w:tcPr>
          <w:p>
            <w:r/>
            <w:r>
              <w:t>5.39 M</w:t>
            </w:r>
          </w:p>
        </w:tc>
      </w:tr>
    </w:tbl>
    <w:p>
      <w:r>
        <w:rPr>
          <w:i/>
          <w:sz w:val="18"/>
        </w:rPr>
        <w:t>Table 5: Ex-ante value-capture potential and combined annual revenue, by instrument and scenario. Value-capture figures apply the draft ordinance formulas (UT 2026 = ARS 235) to real parameters; converted at ARS 1,244.17/USD. Ex-ante point estimates are illustrative.</w:t>
      </w:r>
    </w:p>
    <w:p>
      <w:pPr>
        <w:pStyle w:val="Heading2"/>
      </w:pPr>
      <w:r>
        <w:t>7.4 Financing Gap and Leverage Potential</w:t>
      </w:r>
    </w:p>
    <w:p>
      <w:r>
        <w:t>To place these flows in context, we monetise one illustrative adaptation deficit drawn from the priority index. Reaching the index’s green-space target of 10 m² per inhabitant from a current municipal average near 6 m²/hab implies a deficit of roughly 700,000 m² for a population of about 175,000; at an indicative USD 80 per square metre for green infrastructure, this represents a one-off capital need on the order of USD 56 million. The baseline combined annual revenue of about USD 2.6 million therefore covers some 4 to 5 percent of this single deficit per year on a pay-as-you-go basis. It is the Trust Fund’s leverage logic that closes the gap: with the Leverage Account accumulating dedicated reserves and a predictable, audited revenue stream that can be pledged as security, a green-bond issuance of three to four times annual revenue (roughly USD 8 to 10 million) becomes feasible, and the accumulated track record positions the municipality for larger multilateral facilities such as the Green Climate Fund. The decisive structural feature is that own-source revenues are linked to the adaptation investments they finance, creating a self-reinforcing cycle rather than a one-off transfer.</w:t>
      </w:r>
    </w:p>
    <w:p>
      <w:pPr>
        <w:pStyle w:val="Heading1"/>
        <w:spacing w:before="360" w:after="200"/>
      </w:pPr>
      <w:r>
        <w:rPr>
          <w:rFonts w:ascii="Times New Roman" w:cs="Times New Roman" w:eastAsia="Times New Roman" w:hAnsi="Times New Roman"/>
        </w:rPr>
        <w:t xml:space="preserve">8. Transferability and Policy Implications</w:t>
      </w:r>
    </w:p>
    <w:p>
      <w:pPr>
        <w:pStyle w:val="Heading2"/>
        <w:spacing w:before="360" w:after="200"/>
      </w:pPr>
      <w:r>
        <w:rPr>
          <w:rFonts w:ascii="Times New Roman" w:cs="Times New Roman" w:eastAsia="Times New Roman" w:hAnsi="Times New Roman"/>
        </w:rPr>
        <w:t xml:space="preserve">8.1 Conditions for Replication</w:t>
      </w:r>
    </w:p>
    <w:p>
      <w:pPr>
        <w:spacing w:after="200" w:line="360"/>
        <w:jc w:val="both"/>
      </w:pPr>
      <w:r>
        <w:rPr>
          <w:rFonts w:ascii="Times New Roman" w:cs="Times New Roman" w:eastAsia="Times New Roman" w:hAnsi="Times New Roman"/>
          <w:sz w:val="24"/>
          <w:szCs w:val="24"/>
        </w:rPr>
        <w:t xml:space="preserve">The Luján de Cuyo framework was designed with transferability as an explicit objective. Several features enhance replicability. First, the modular instrument design allows municipalities to adopt individual instruments sequentially rather than implementing the entire suite simultaneously. A municipality with limited administrative capacity might begin with betterment contributions and vacant land charges before adding more complex mechanisms. Second, the SUPI is structured to accommodate different climate adaptation priorities through adjusted indicator selection and weighting. Third, the Trust Fund’s leverage strategy is applicable wherever international climate finance requires own-source matching.</w:t>
      </w:r>
    </w:p>
    <w:p>
      <w:pPr>
        <w:pStyle w:val="Heading2"/>
        <w:spacing w:before="360" w:after="200"/>
      </w:pPr>
      <w:r>
        <w:rPr>
          <w:rFonts w:ascii="Times New Roman" w:cs="Times New Roman" w:eastAsia="Times New Roman" w:hAnsi="Times New Roman"/>
        </w:rPr>
        <w:t xml:space="preserve">8.2 Enabling Conditions and Potential Barriers</w:t>
      </w:r>
    </w:p>
    <w:p>
      <w:pPr>
        <w:spacing w:after="200" w:line="360"/>
        <w:jc w:val="both"/>
      </w:pPr>
      <w:r>
        <w:rPr>
          <w:rFonts w:ascii="Times New Roman" w:cs="Times New Roman" w:eastAsia="Times New Roman" w:hAnsi="Times New Roman"/>
          <w:sz w:val="24"/>
          <w:szCs w:val="24"/>
        </w:rPr>
        <w:t xml:space="preserve">The framework’s success depends on several enabling conditions. Legal authority for LVC instruments is the most fundamental prerequisite. Land market data availability is a second critical condition; the Luján de Cuyo experience suggests that GIS-based valuation systems, combined with regular market surveys, can provide adequate data at manageable costs.</w:t>
      </w:r>
    </w:p>
    <w:p>
      <w:pPr>
        <w:spacing w:after="200" w:line="360"/>
        <w:jc w:val="both"/>
      </w:pPr>
      <w:r>
        <w:rPr>
          <w:rFonts w:ascii="Times New Roman" w:cs="Times New Roman" w:eastAsia="Times New Roman" w:hAnsi="Times New Roman"/>
          <w:sz w:val="24"/>
          <w:szCs w:val="24"/>
        </w:rPr>
        <w:t xml:space="preserve">Political economy considerations may constitute the most significant barrier to replication. LVC instruments redistribute wealth from landowners to the broader community, generating predictable opposition. The Luján de Cuyo experience suggests that framing LVC as climate adaptation finance—rather than as taxation—can mitigate opposition by connecting the fiscal instrument to a broadly valued public objective. The Trust Fund’s earmarking and transparency features further support political acceptability.</w:t>
      </w:r>
    </w:p>
    <w:p>
      <w:pPr>
        <w:pStyle w:val="Heading2"/>
        <w:spacing w:before="360" w:after="200"/>
      </w:pPr>
      <w:r>
        <w:rPr>
          <w:rFonts w:ascii="Times New Roman" w:cs="Times New Roman" w:eastAsia="Times New Roman" w:hAnsi="Times New Roman"/>
        </w:rPr>
        <w:t xml:space="preserve">8.3 Implications for Intermediate Cities Worldwide</w:t>
      </w:r>
    </w:p>
    <w:p>
      <w:pPr>
        <w:spacing w:after="200" w:line="360"/>
        <w:jc w:val="both"/>
      </w:pPr>
      <w:r>
        <w:rPr>
          <w:rFonts w:ascii="Times New Roman" w:cs="Times New Roman" w:eastAsia="Times New Roman" w:hAnsi="Times New Roman"/>
          <w:sz w:val="24"/>
          <w:szCs w:val="24"/>
        </w:rPr>
        <w:t xml:space="preserve">The broader policy implication is that intermediate cities in water-stressed regions need not wait for national governments or international organizations to solve their adaptation financing challenges. By mobilizing locally generated revenues through well-designed LVC instruments and channeling them through transparent institutional structures, municipalities can simultaneously finance immediate adaptation needs and build the track record required to access progressively larger external financing.</w:t>
      </w:r>
    </w:p>
    <w:p>
      <w:pPr>
        <w:spacing w:after="200" w:line="360"/>
        <w:jc w:val="both"/>
      </w:pPr>
      <w:r>
        <w:rPr>
          <w:rFonts w:ascii="Times New Roman" w:cs="Times New Roman" w:eastAsia="Times New Roman" w:hAnsi="Times New Roman"/>
          <w:sz w:val="24"/>
          <w:szCs w:val="24"/>
        </w:rPr>
        <w:t xml:space="preserve">For mayors and municipal finance officers, the framework offers three concrete transferable tools: a menu of instrument design principles calibrated for intermediate city contexts; a replicable Trust Fund architecture that pools local revenues and positions them for leverage against international capital; and an evidence-based allocation methodology that embeds climate criteria into investment decisions while generating documentation required by international financiers.</w:t>
      </w:r>
    </w:p>
    <w:p>
      <w:r>
        <w:br w:type="page"/>
      </w:r>
    </w:p>
    <w:p>
      <w:pPr>
        <w:pStyle w:val="Heading1"/>
        <w:spacing w:before="360" w:after="200"/>
      </w:pPr>
      <w:r>
        <w:rPr>
          <w:rFonts w:ascii="Times New Roman" w:cs="Times New Roman" w:eastAsia="Times New Roman" w:hAnsi="Times New Roman"/>
        </w:rPr>
        <w:t xml:space="preserve">9. Conclusion</w:t>
      </w:r>
    </w:p>
    <w:p>
      <w:pPr>
        <w:spacing w:after="200" w:line="360"/>
        <w:jc w:val="both"/>
      </w:pPr>
      <w:r>
        <w:rPr>
          <w:rFonts w:ascii="Times New Roman" w:cs="Times New Roman" w:eastAsia="Times New Roman" w:hAnsi="Times New Roman"/>
          <w:sz w:val="24"/>
          <w:szCs w:val="24"/>
        </w:rPr>
        <w:t xml:space="preserve">This paper has documented a comprehensive framework for integrating land value capture with climate adaptation finance in a water-stressed intermediate municipality. The Luján de Cuyo case demonstrates that the theoretical alignment between LVC and adaptation—well-recognized in the academic literature but rarely implemented in practice—can be operationalized through deliberate instrument design, dedicated institutional architecture, and evidence-based allocation methodology.</w:t>
      </w:r>
    </w:p>
    <w:p>
      <w:pPr>
        <w:spacing w:after="200" w:line="360"/>
        <w:jc w:val="both"/>
      </w:pPr>
      <w:r>
        <w:rPr>
          <w:rFonts w:ascii="Times New Roman" w:cs="Times New Roman" w:eastAsia="Times New Roman" w:hAnsi="Times New Roman"/>
          <w:sz w:val="24"/>
          <w:szCs w:val="24"/>
        </w:rPr>
        <w:t xml:space="preserve">The six LVC instruments cover the full spectrum of land development activity, from rezoning decisions through construction to ongoing holding patterns. Their coordination within the Trust Fund framework creates a revenue system more robust than any single instrument and generates the institutional conditions for leveraging external financing. The Sustainable Urbanism Priority Index ensures that captured revenues are allocated according to measurable climate adaptation criteria.</w:t>
      </w:r>
    </w:p>
    <w:p>
      <w:pPr>
        <w:spacing w:after="200" w:line="360"/>
        <w:jc w:val="both"/>
      </w:pPr>
      <w:r>
        <w:rPr>
          <w:rFonts w:ascii="Times New Roman" w:cs="Times New Roman" w:eastAsia="Times New Roman" w:hAnsi="Times New Roman"/>
          <w:sz w:val="24"/>
          <w:szCs w:val="24"/>
        </w:rPr>
        <w:t xml:space="preserve">Several contributions emerge from this analysis. For the LVC literature, the paper extends established instruments to climate adaptation while documenting their adaptation for intermediate city contexts. For the climate finance literature, it demonstrates how own-source municipal revenues can address the bankability gap. For practitioners, it provides detailed documentation of instrument design, institutional architecture, and allocation methodology to support replication.</w:t>
      </w:r>
    </w:p>
    <w:p>
      <w:pPr>
        <w:spacing w:after="200" w:line="360"/>
        <w:jc w:val="both"/>
      </w:pPr>
      <w:r>
        <w:rPr>
          <w:rFonts w:ascii="Times New Roman" w:cs="Times New Roman" w:eastAsia="Times New Roman" w:hAnsi="Times New Roman"/>
          <w:sz w:val="24"/>
          <w:szCs w:val="24"/>
        </w:rPr>
        <w:t xml:space="preserve">Important limitations should be noted. The framework is documented at the design and early implementation stage; comprehensive evaluation of actual revenue performance and adaptation impacts will require several additional years. Future research should track implementation outcomes, particularly revenue performance, leverage ratios achieved, and measurable adaptation impacts. Comparative analysis across multiple municipalities would strengthen the evidence base.</w:t>
      </w:r>
    </w:p>
    <w:p>
      <w:pPr>
        <w:spacing w:after="200" w:line="360"/>
        <w:jc w:val="both"/>
      </w:pPr>
      <w:r>
        <w:rPr>
          <w:rFonts w:ascii="Times New Roman" w:cs="Times New Roman" w:eastAsia="Times New Roman" w:hAnsi="Times New Roman"/>
          <w:sz w:val="24"/>
          <w:szCs w:val="24"/>
        </w:rPr>
        <w:t xml:space="preserve">Ultimately, the 2.4 billion people living in water-stressed countries require concrete, documented, and transferable models for financing climate adaptation. The Luján de Cuyo framework offers one such model: not a theoretical prescription but an institutional architecture designed, debated, and refined through the messy realities of municipal governance. It demonstrates that intermediate cities possess the agency and ingenuity to address their adaptation challenges—provided they are equipped with the right tools.</w:t>
      </w:r>
    </w:p>
    <w:p>
      <w:r>
        <w:br w:type="page"/>
      </w:r>
    </w:p>
    <w:p>
      <w:pPr>
        <w:pStyle w:val="Heading1"/>
        <w:spacing w:before="360" w:after="200"/>
      </w:pPr>
      <w:r>
        <w:rPr>
          <w:rFonts w:ascii="Times New Roman" w:cs="Times New Roman" w:eastAsia="Times New Roman" w:hAnsi="Times New Roman"/>
        </w:rPr>
        <w:t xml:space="preserve">References</w:t>
      </w:r>
    </w:p>
    <w:p>
      <w:pPr>
        <w:spacing w:after="200" w:line="360"/>
        <w:jc w:val="both"/>
      </w:pPr>
      <w:r>
        <w:rPr>
          <w:rFonts w:ascii="Times New Roman" w:cs="Times New Roman" w:eastAsia="Times New Roman" w:hAnsi="Times New Roman"/>
          <w:sz w:val="24"/>
          <w:szCs w:val="24"/>
        </w:rPr>
        <w:t xml:space="preserve">Alterman, R. (2012). Land use regulations and property values: The “Windfall Capture” idea revisited. In N. Brooks, K. Donaghy, &amp; G. Knaap (Eds.), </w:t>
      </w:r>
      <w:r>
        <w:rPr>
          <w:rFonts w:ascii="Times New Roman" w:cs="Times New Roman" w:eastAsia="Times New Roman" w:hAnsi="Times New Roman"/>
          <w:i/>
          <w:iCs/>
          <w:sz w:val="24"/>
          <w:szCs w:val="24"/>
        </w:rPr>
        <w:t xml:space="preserve">The Oxford Handbook of Urban Economics and Planning</w:t>
      </w:r>
      <w:r>
        <w:rPr>
          <w:rFonts w:ascii="Times New Roman" w:cs="Times New Roman" w:eastAsia="Times New Roman" w:hAnsi="Times New Roman"/>
          <w:sz w:val="24"/>
          <w:szCs w:val="24"/>
        </w:rPr>
        <w:t xml:space="preserve"> (pp. 755–786). Oxford University Press.</w:t>
      </w:r>
    </w:p>
    <w:p>
      <w:pPr>
        <w:spacing w:after="200" w:line="360"/>
        <w:jc w:val="both"/>
      </w:pPr>
      <w:r>
        <w:rPr>
          <w:rFonts w:ascii="Times New Roman" w:cs="Times New Roman" w:eastAsia="Times New Roman" w:hAnsi="Times New Roman"/>
          <w:sz w:val="24"/>
          <w:szCs w:val="24"/>
        </w:rPr>
        <w:t xml:space="preserve">Blanco, A., Moreno, N., Vetter, D., &amp; Vetter, M. (2016). </w:t>
      </w:r>
      <w:r>
        <w:rPr>
          <w:rFonts w:ascii="Times New Roman" w:cs="Times New Roman" w:eastAsia="Times New Roman" w:hAnsi="Times New Roman"/>
          <w:i/>
          <w:iCs/>
          <w:sz w:val="24"/>
          <w:szCs w:val="24"/>
        </w:rPr>
        <w:t xml:space="preserve">The Potential of Land Value Capture for Financing Urban Projects</w:t>
      </w:r>
      <w:r>
        <w:rPr>
          <w:rFonts w:ascii="Times New Roman" w:cs="Times New Roman" w:eastAsia="Times New Roman" w:hAnsi="Times New Roman"/>
          <w:sz w:val="24"/>
          <w:szCs w:val="24"/>
        </w:rPr>
        <w:t xml:space="preserve">. Inter-American Development Bank.</w:t>
      </w:r>
    </w:p>
    <w:p>
      <w:pPr>
        <w:spacing w:after="200" w:line="360"/>
        <w:jc w:val="both"/>
      </w:pPr>
      <w:r>
        <w:rPr>
          <w:rFonts w:ascii="Times New Roman" w:cs="Times New Roman" w:eastAsia="Times New Roman" w:hAnsi="Times New Roman"/>
          <w:sz w:val="24"/>
          <w:szCs w:val="24"/>
        </w:rPr>
        <w:t xml:space="preserve">Fankhauser, S., &amp; Schmidt-Traub, G. (2011). From adaptation to climate-resilient development. </w:t>
      </w:r>
      <w:r>
        <w:rPr>
          <w:rFonts w:ascii="Times New Roman" w:cs="Times New Roman" w:eastAsia="Times New Roman" w:hAnsi="Times New Roman"/>
          <w:i/>
          <w:iCs/>
          <w:sz w:val="24"/>
          <w:szCs w:val="24"/>
        </w:rPr>
        <w:t xml:space="preserve">Climate and Development</w:t>
      </w:r>
      <w:r>
        <w:rPr>
          <w:rFonts w:ascii="Times New Roman" w:cs="Times New Roman" w:eastAsia="Times New Roman" w:hAnsi="Times New Roman"/>
          <w:sz w:val="24"/>
          <w:szCs w:val="24"/>
        </w:rPr>
        <w:t xml:space="preserve">, 3(2), 94–113.</w:t>
      </w:r>
    </w:p>
    <w:p>
      <w:pPr>
        <w:spacing w:after="200" w:line="360"/>
        <w:jc w:val="both"/>
      </w:pPr>
      <w:r>
        <w:rPr>
          <w:rFonts w:ascii="Times New Roman" w:cs="Times New Roman" w:eastAsia="Times New Roman" w:hAnsi="Times New Roman"/>
          <w:sz w:val="24"/>
          <w:szCs w:val="24"/>
        </w:rPr>
        <w:t xml:space="preserve">Global Commission on Adaptation. (2019). </w:t>
      </w:r>
      <w:r>
        <w:rPr>
          <w:rFonts w:ascii="Times New Roman" w:cs="Times New Roman" w:eastAsia="Times New Roman" w:hAnsi="Times New Roman"/>
          <w:i/>
          <w:iCs/>
          <w:sz w:val="24"/>
          <w:szCs w:val="24"/>
        </w:rPr>
        <w:t xml:space="preserve">Adapt Now: A Global Call for Leadership on Climate Resilience</w:t>
      </w:r>
      <w:r>
        <w:rPr>
          <w:rFonts w:ascii="Times New Roman" w:cs="Times New Roman" w:eastAsia="Times New Roman" w:hAnsi="Times New Roman"/>
          <w:sz w:val="24"/>
          <w:szCs w:val="24"/>
        </w:rPr>
        <w:t xml:space="preserve">.</w:t>
      </w:r>
    </w:p>
    <w:p>
      <w:pPr>
        <w:spacing w:after="200" w:line="360"/>
        <w:jc w:val="both"/>
      </w:pPr>
      <w:r>
        <w:rPr>
          <w:rFonts w:ascii="Times New Roman" w:cs="Times New Roman" w:eastAsia="Times New Roman" w:hAnsi="Times New Roman"/>
          <w:sz w:val="24"/>
          <w:szCs w:val="24"/>
        </w:rPr>
        <w:t xml:space="preserve">Hallegatte, S., Green, C., Nicholls, R. J., &amp; Corfee-Morlot, J. (2013). Future flood losses in major coastal cities. </w:t>
      </w:r>
      <w:r>
        <w:rPr>
          <w:rFonts w:ascii="Times New Roman" w:cs="Times New Roman" w:eastAsia="Times New Roman" w:hAnsi="Times New Roman"/>
          <w:i/>
          <w:iCs/>
          <w:sz w:val="24"/>
          <w:szCs w:val="24"/>
        </w:rPr>
        <w:t xml:space="preserve">Nature Climate Change</w:t>
      </w:r>
      <w:r>
        <w:rPr>
          <w:rFonts w:ascii="Times New Roman" w:cs="Times New Roman" w:eastAsia="Times New Roman" w:hAnsi="Times New Roman"/>
          <w:sz w:val="24"/>
          <w:szCs w:val="24"/>
        </w:rPr>
        <w:t xml:space="preserve">, 3(9), 802–806.</w:t>
      </w:r>
    </w:p>
    <w:p>
      <w:pPr>
        <w:spacing w:after="200" w:line="360"/>
        <w:jc w:val="both"/>
      </w:pPr>
      <w:r>
        <w:rPr>
          <w:rFonts w:ascii="Times New Roman" w:cs="Times New Roman" w:eastAsia="Times New Roman" w:hAnsi="Times New Roman"/>
          <w:sz w:val="24"/>
          <w:szCs w:val="24"/>
        </w:rPr>
        <w:t xml:space="preserve">Ingram, G. K., &amp; Hong, Y. H. (Eds.). (2012). </w:t>
      </w:r>
      <w:r>
        <w:rPr>
          <w:rFonts w:ascii="Times New Roman" w:cs="Times New Roman" w:eastAsia="Times New Roman" w:hAnsi="Times New Roman"/>
          <w:i/>
          <w:iCs/>
          <w:sz w:val="24"/>
          <w:szCs w:val="24"/>
        </w:rPr>
        <w:t xml:space="preserve">Value Capture and Land Policies</w:t>
      </w:r>
      <w:r>
        <w:rPr>
          <w:rFonts w:ascii="Times New Roman" w:cs="Times New Roman" w:eastAsia="Times New Roman" w:hAnsi="Times New Roman"/>
          <w:sz w:val="24"/>
          <w:szCs w:val="24"/>
        </w:rPr>
        <w:t xml:space="preserve">. Lincoln Institute of Land Policy.</w:t>
      </w:r>
    </w:p>
    <w:p>
      <w:pPr>
        <w:spacing w:after="200" w:line="360"/>
        <w:jc w:val="both"/>
      </w:pPr>
      <w:r>
        <w:rPr>
          <w:rFonts w:ascii="Times New Roman" w:cs="Times New Roman" w:eastAsia="Times New Roman" w:hAnsi="Times New Roman"/>
          <w:sz w:val="24"/>
          <w:szCs w:val="24"/>
        </w:rPr>
        <w:t xml:space="preserve">IPCC. (2022). </w:t>
      </w:r>
      <w:r>
        <w:rPr>
          <w:rFonts w:ascii="Times New Roman" w:cs="Times New Roman" w:eastAsia="Times New Roman" w:hAnsi="Times New Roman"/>
          <w:i/>
          <w:iCs/>
          <w:sz w:val="24"/>
          <w:szCs w:val="24"/>
        </w:rPr>
        <w:t xml:space="preserve">Climate Change 2022: Impacts, Adaptation and Vulnerability</w:t>
      </w:r>
      <w:r>
        <w:rPr>
          <w:rFonts w:ascii="Times New Roman" w:cs="Times New Roman" w:eastAsia="Times New Roman" w:hAnsi="Times New Roman"/>
          <w:sz w:val="24"/>
          <w:szCs w:val="24"/>
        </w:rPr>
        <w:t xml:space="preserve">. Cambridge University Press.</w:t>
      </w:r>
    </w:p>
    <w:p>
      <w:pPr>
        <w:spacing w:after="200" w:line="360"/>
        <w:jc w:val="both"/>
      </w:pPr>
      <w:r>
        <w:rPr>
          <w:rFonts w:ascii="Times New Roman" w:cs="Times New Roman" w:eastAsia="Times New Roman" w:hAnsi="Times New Roman"/>
          <w:sz w:val="24"/>
          <w:szCs w:val="24"/>
        </w:rPr>
        <w:t xml:space="preserve">Maldonado, M. M. (2013). Land value capture in Colombia. In M. M. Smolka &amp; D. Amborski (Eds.), </w:t>
      </w:r>
      <w:r>
        <w:rPr>
          <w:rFonts w:ascii="Times New Roman" w:cs="Times New Roman" w:eastAsia="Times New Roman" w:hAnsi="Times New Roman"/>
          <w:i/>
          <w:iCs/>
          <w:sz w:val="24"/>
          <w:szCs w:val="24"/>
        </w:rPr>
        <w:t xml:space="preserve">Recuperación de Plusvalías en América Latina</w:t>
      </w:r>
      <w:r>
        <w:rPr>
          <w:rFonts w:ascii="Times New Roman" w:cs="Times New Roman" w:eastAsia="Times New Roman" w:hAnsi="Times New Roman"/>
          <w:sz w:val="24"/>
          <w:szCs w:val="24"/>
        </w:rPr>
        <w:t xml:space="preserve"> (pp. 47–80). Lincoln Institute.</w:t>
      </w:r>
    </w:p>
    <w:p>
      <w:pPr>
        <w:spacing w:after="200" w:line="360"/>
        <w:jc w:val="both"/>
      </w:pPr>
      <w:r>
        <w:rPr>
          <w:rFonts w:ascii="Times New Roman" w:cs="Times New Roman" w:eastAsia="Times New Roman" w:hAnsi="Times New Roman"/>
          <w:sz w:val="24"/>
          <w:szCs w:val="24"/>
        </w:rPr>
        <w:t xml:space="preserve">McGranahan, G., Balk, D., &amp; Anderson, B. (2007). The rising tide. </w:t>
      </w:r>
      <w:r>
        <w:rPr>
          <w:rFonts w:ascii="Times New Roman" w:cs="Times New Roman" w:eastAsia="Times New Roman" w:hAnsi="Times New Roman"/>
          <w:i/>
          <w:iCs/>
          <w:sz w:val="24"/>
          <w:szCs w:val="24"/>
        </w:rPr>
        <w:t xml:space="preserve">Environment and Urbanization</w:t>
      </w:r>
      <w:r>
        <w:rPr>
          <w:rFonts w:ascii="Times New Roman" w:cs="Times New Roman" w:eastAsia="Times New Roman" w:hAnsi="Times New Roman"/>
          <w:sz w:val="24"/>
          <w:szCs w:val="24"/>
        </w:rPr>
        <w:t xml:space="preserve">, 19(1), 17–37.</w:t>
      </w:r>
    </w:p>
    <w:p>
      <w:pPr>
        <w:spacing w:after="200" w:line="360"/>
        <w:jc w:val="both"/>
      </w:pPr>
      <w:r>
        <w:rPr>
          <w:rFonts w:ascii="Times New Roman" w:cs="Times New Roman" w:eastAsia="Times New Roman" w:hAnsi="Times New Roman"/>
          <w:sz w:val="24"/>
          <w:szCs w:val="24"/>
        </w:rPr>
        <w:t xml:space="preserve">Paulais, T. (2012). </w:t>
      </w:r>
      <w:r>
        <w:rPr>
          <w:rFonts w:ascii="Times New Roman" w:cs="Times New Roman" w:eastAsia="Times New Roman" w:hAnsi="Times New Roman"/>
          <w:i/>
          <w:iCs/>
          <w:sz w:val="24"/>
          <w:szCs w:val="24"/>
        </w:rPr>
        <w:t xml:space="preserve">Financing Africa’s Cities</w:t>
      </w:r>
      <w:r>
        <w:rPr>
          <w:rFonts w:ascii="Times New Roman" w:cs="Times New Roman" w:eastAsia="Times New Roman" w:hAnsi="Times New Roman"/>
          <w:sz w:val="24"/>
          <w:szCs w:val="24"/>
        </w:rPr>
        <w:t xml:space="preserve">. World Bank Publications.</w:t>
      </w:r>
    </w:p>
    <w:p>
      <w:pPr>
        <w:spacing w:after="200" w:line="360"/>
        <w:jc w:val="both"/>
      </w:pPr>
      <w:r>
        <w:rPr>
          <w:rFonts w:ascii="Times New Roman" w:cs="Times New Roman" w:eastAsia="Times New Roman" w:hAnsi="Times New Roman"/>
          <w:sz w:val="24"/>
          <w:szCs w:val="24"/>
        </w:rPr>
        <w:t xml:space="preserve">Smolka, M. O. (2013). </w:t>
      </w:r>
      <w:r>
        <w:rPr>
          <w:rFonts w:ascii="Times New Roman" w:cs="Times New Roman" w:eastAsia="Times New Roman" w:hAnsi="Times New Roman"/>
          <w:i/>
          <w:iCs/>
          <w:sz w:val="24"/>
          <w:szCs w:val="24"/>
        </w:rPr>
        <w:t xml:space="preserve">Implementing Value Capture in Latin America</w:t>
      </w:r>
      <w:r>
        <w:rPr>
          <w:rFonts w:ascii="Times New Roman" w:cs="Times New Roman" w:eastAsia="Times New Roman" w:hAnsi="Times New Roman"/>
          <w:sz w:val="24"/>
          <w:szCs w:val="24"/>
        </w:rPr>
        <w:t xml:space="preserve">. Lincoln Institute of Land Policy.</w:t>
      </w:r>
    </w:p>
    <w:p>
      <w:pPr>
        <w:spacing w:after="200" w:line="360"/>
        <w:jc w:val="both"/>
      </w:pPr>
      <w:r>
        <w:rPr>
          <w:rFonts w:ascii="Times New Roman" w:cs="Times New Roman" w:eastAsia="Times New Roman" w:hAnsi="Times New Roman"/>
          <w:sz w:val="24"/>
          <w:szCs w:val="24"/>
        </w:rPr>
        <w:t xml:space="preserve">Suzuki, H., Murakami, J., Hong, Y. H., &amp; Tamayose, B. (2015). </w:t>
      </w:r>
      <w:r>
        <w:rPr>
          <w:rFonts w:ascii="Times New Roman" w:cs="Times New Roman" w:eastAsia="Times New Roman" w:hAnsi="Times New Roman"/>
          <w:i/>
          <w:iCs/>
          <w:sz w:val="24"/>
          <w:szCs w:val="24"/>
        </w:rPr>
        <w:t xml:space="preserve">Financing Transit-Oriented Development with Land Values</w:t>
      </w:r>
      <w:r>
        <w:rPr>
          <w:rFonts w:ascii="Times New Roman" w:cs="Times New Roman" w:eastAsia="Times New Roman" w:hAnsi="Times New Roman"/>
          <w:sz w:val="24"/>
          <w:szCs w:val="24"/>
        </w:rPr>
        <w:t xml:space="preserve">. World Bank Group.</w:t>
      </w:r>
    </w:p>
    <w:p>
      <w:pPr>
        <w:spacing w:after="200" w:line="360"/>
        <w:jc w:val="both"/>
      </w:pPr>
      <w:r>
        <w:rPr>
          <w:rFonts w:ascii="Times New Roman" w:cs="Times New Roman" w:eastAsia="Times New Roman" w:hAnsi="Times New Roman"/>
          <w:sz w:val="24"/>
          <w:szCs w:val="24"/>
        </w:rPr>
        <w:t xml:space="preserve">UNEP. (2023). </w:t>
      </w:r>
      <w:r>
        <w:rPr>
          <w:rFonts w:ascii="Times New Roman" w:cs="Times New Roman" w:eastAsia="Times New Roman" w:hAnsi="Times New Roman"/>
          <w:i/>
          <w:iCs/>
          <w:sz w:val="24"/>
          <w:szCs w:val="24"/>
        </w:rPr>
        <w:t xml:space="preserve">Adaptation Gap Report 2023: Underfinanced. Underprepared</w:t>
      </w:r>
      <w:r>
        <w:rPr>
          <w:rFonts w:ascii="Times New Roman" w:cs="Times New Roman" w:eastAsia="Times New Roman" w:hAnsi="Times New Roman"/>
          <w:sz w:val="24"/>
          <w:szCs w:val="24"/>
        </w:rPr>
        <w:t xml:space="preserve">. United Nations Environment Programme.</w:t>
      </w:r>
    </w:p>
    <w:p>
      <w:pPr>
        <w:spacing w:after="200" w:line="360"/>
        <w:jc w:val="both"/>
      </w:pPr>
      <w:r>
        <w:rPr>
          <w:rFonts w:ascii="Times New Roman" w:cs="Times New Roman" w:eastAsia="Times New Roman" w:hAnsi="Times New Roman"/>
          <w:sz w:val="24"/>
          <w:szCs w:val="24"/>
        </w:rPr>
        <w:t xml:space="preserve">United Nations. (2023). </w:t>
      </w:r>
      <w:r>
        <w:rPr>
          <w:rFonts w:ascii="Times New Roman" w:cs="Times New Roman" w:eastAsia="Times New Roman" w:hAnsi="Times New Roman"/>
          <w:i/>
          <w:iCs/>
          <w:sz w:val="24"/>
          <w:szCs w:val="24"/>
        </w:rPr>
        <w:t xml:space="preserve">The United Nations World Water Development Report 2023</w:t>
      </w:r>
      <w:r>
        <w:rPr>
          <w:rFonts w:ascii="Times New Roman" w:cs="Times New Roman" w:eastAsia="Times New Roman" w:hAnsi="Times New Roman"/>
          <w:sz w:val="24"/>
          <w:szCs w:val="24"/>
        </w:rPr>
        <w:t xml:space="preserve">. UNESCO.</w:t>
      </w:r>
    </w:p>
    <w:p>
      <w:pPr>
        <w:spacing w:after="200" w:line="360"/>
        <w:jc w:val="both"/>
      </w:pPr>
      <w:r>
        <w:rPr>
          <w:rFonts w:ascii="Times New Roman" w:cs="Times New Roman" w:eastAsia="Times New Roman" w:hAnsi="Times New Roman"/>
          <w:sz w:val="24"/>
          <w:szCs w:val="24"/>
        </w:rPr>
        <w:t xml:space="preserve">World Bank. (2021). </w:t>
      </w:r>
      <w:r>
        <w:rPr>
          <w:rFonts w:ascii="Times New Roman" w:cs="Times New Roman" w:eastAsia="Times New Roman" w:hAnsi="Times New Roman"/>
          <w:i/>
          <w:iCs/>
          <w:sz w:val="24"/>
          <w:szCs w:val="24"/>
        </w:rPr>
        <w:t xml:space="preserve">What the Future Has in Store: A New Paradigm for Water Storage</w:t>
      </w:r>
      <w:r>
        <w:rPr>
          <w:rFonts w:ascii="Times New Roman" w:cs="Times New Roman" w:eastAsia="Times New Roman" w:hAnsi="Times New Roman"/>
          <w:sz w:val="24"/>
          <w:szCs w:val="24"/>
        </w:rPr>
        <w:t xml:space="preserve">. World Bank Publications.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Land Value Capture for Climate Adaptation Finance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before="280" w:after="180"/>
      <w:outlineLvl w:val="1"/>
    </w:pPr>
    <w:rPr>
      <w:rFonts w:ascii="Times New Roman" w:cs="Times New Roman" w:eastAsia="Times New Roman" w:hAnsi="Times New Roman"/>
      <w:b/>
      <w:bCs/>
      <w:color w:val="2E5090"/>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2026-02-27T02:59:08.026Z</dcterms:created>
  <dcterms:modified xsi:type="dcterms:W3CDTF">2026-02-27T02:59:08.027Z</dcterms:modified>
</cp:coreProperties>
</file>

<file path=docProps/custom.xml><?xml version="1.0" encoding="utf-8"?>
<Properties xmlns="http://schemas.openxmlformats.org/officeDocument/2006/custom-properties" xmlns:vt="http://schemas.openxmlformats.org/officeDocument/2006/docPropsVTypes"/>
</file>