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Land Value Capture for Climate Adaptation Finance</w:t>
      </w:r>
    </w:p>
    <w:p>
      <w:pPr>
        <w:jc w:val="center"/>
      </w:pPr>
      <w:r>
        <w:rPr>
          <w:i/>
          <w:sz w:val="24"/>
        </w:rPr>
        <w:t>How a Water-Stressed Intermediate City Turns the Land-Use Windfall into Bankable Adaptation Investment</w:t>
      </w:r>
    </w:p>
    <w:p/>
    <w:p>
      <w:r>
        <w:rPr>
          <w:b/>
        </w:rPr>
        <w:t xml:space="preserve">Keywords: </w:t>
      </w:r>
      <w:r>
        <w:t>land value capture; urban climate adaptation finance; water scarcity; bankability; municipal trust funds; intermediate cities; Latin America</w:t>
      </w:r>
    </w:p>
    <w:p>
      <w:pPr>
        <w:pStyle w:val="Heading1"/>
      </w:pPr>
      <w:r>
        <w:t>Abstract</w:t>
      </w:r>
    </w:p>
    <w:p>
      <w:pPr>
        <w:spacing w:after="120" w:line="276" w:lineRule="auto"/>
      </w:pPr>
      <w:r>
        <w:t>Two and a half billion people live in countries under water stress, yet the playbook for financing urban climate adaptation was written largely for coastal flooding in wealthy cities. Intermediate cities in the global South—home to roughly a third of the world’s urban population—face the hardest version of the problem: real and rising adaptation needs, thin own-source revenues, and no entry to the international climate finance their balance sheets cannot yet unlock. This paper documents one city breaking that deadlock from the ground up. In Luján de Cuyo, Argentina (about 175,000 people, in Mendoza’s semi-arid wine belt), the conversion of irrigated vineyards into residential subdivisions hands landowners large windfalls while eroding the aquifer recharge, permeability, and ecosystem services on which the value of land ultimately rests. The municipality is turning that windfall into adaptation finance. We analyse six land value capture instruments and the trust fund (fideicomiso) that pools them, and—departing from the usual practice of presenting untested projections—we separate what is already collected from what is designed. Two instruments are operational: a vacant-land surcharge levied on 5,315 idle parcels, and a water-and-sewer development charge whose collections rose roughly elevenfold in real terms between 2021 and 2025. The value-capture instruments, calibrated to the city’s actual 2026 public-works programme and its new buildability code, plausibly raise on the order of USD 2–6 million per year. A six-dimension priority index, computed at the district level, steers the money toward the neighbourhoods that need it most. The contribution is less a number than a machine: capture local land value, ring-fence it, and use it as the matching funds and repayment stream that make international climate finance bankable for cities that today cannot reach it.</w:t>
      </w:r>
    </w:p>
    <w:p>
      <w:pPr>
        <w:pStyle w:val="Heading1"/>
      </w:pPr>
      <w:r>
        <w:t>1. Introduction</w:t>
      </w:r>
    </w:p>
    <w:p>
      <w:pPr>
        <w:pStyle w:val="Heading2"/>
      </w:pPr>
      <w:r>
        <w:t>1.1 A finance problem disguised as an engineering problem</w:t>
      </w:r>
    </w:p>
    <w:p>
      <w:pPr>
        <w:spacing w:after="120" w:line="276" w:lineRule="auto"/>
      </w:pPr>
      <w:r>
        <w:t>Adaptation is usually framed as a question of engineering: build the seawall, lay the larger pipe, plant the trees. For most cities the binding constraint is not knowing what to build but finding the money to build it. The United Nations Environment Programme puts developing-country adaptation needs at USD 215–387 billion per year this decade and observes that actual flows cover a small fraction. The shortfall is not evenly distributed. Coastal megacities and national capitals can commission feasibility studies, issue debt, and negotiate with multilateral funds; the intermediate cities where much of the world’s urban growth is now happening cannot. They lack the credit ratings, the technical staff, and—most quietly fatal—the documented, dedicated revenue that international financiers treat as the price of admission.</w:t>
      </w:r>
    </w:p>
    <w:p>
      <w:pPr>
        <w:spacing w:after="120" w:line="276" w:lineRule="auto"/>
      </w:pPr>
      <w:r>
        <w:t>This is the gap that the climate-and-cities community, C40 among them, has come to call the bankability problem. Cities are where adaptation succeeds or fails, and mayors are the actors who decide; yet the pipeline of investment-ready urban projects remains thin even though adaptation routinely returns between two and ten dollars for every dollar spent. The obstacle is structural. Adaptation benefits—water security, cooler streets, intact recharge zones—are diffuse and hard to charge for, so they rarely generate a tariff a lender can lend against. And the institutions that would assemble such projects need finance to build capacity, but need capacity to attract finance. The result is a trap that the worst-served cities cannot climb out of on their own.</w:t>
      </w:r>
    </w:p>
    <w:p>
      <w:pPr>
        <w:spacing w:after="120" w:line="276" w:lineRule="auto"/>
      </w:pPr>
      <w:r>
        <w:t>We argue that the way out begins with a resource these cities already own but rarely capture: the increase in land value that public action and urban growth create. The argument is not that land value capture is new—it is among the oldest ideas in public finance—but that it can be wired directly into climate adaptation, and that doing so manufactures exactly the ingredient the bankability problem is missing: an own-source, ring-fenced, growing revenue stream that an external financier can underwrite.</w:t>
      </w:r>
    </w:p>
    <w:p>
      <w:pPr>
        <w:pStyle w:val="Heading2"/>
      </w:pPr>
      <w:r>
        <w:t>1.2 Land, water, and the windfall nobody is taxing</w:t>
      </w:r>
    </w:p>
    <w:p>
      <w:pPr>
        <w:spacing w:after="120" w:line="276" w:lineRule="auto"/>
      </w:pPr>
      <w:r>
        <w:t>Land prices are the urban economy’s information system. They capitalise, into a single observable number, the value of access, infrastructure, regulation, and amenity. When a city paves a road, extends a water main, or rezones a vineyard for housing, it does not merely change the map—it transfers wealth to whoever happens to own the affected land. Henry George saw the implication a century and a half ago, and the modern urban economics of capitalisation (Glaeser, 2011; Duranton &amp; Puga, 2015) has only sharpened it: a large share of urban land value is “unearned” by the owner in any productive sense, which makes it an unusually efficient and unusually fair base for public revenue.</w:t>
      </w:r>
    </w:p>
    <w:p>
      <w:pPr>
        <w:spacing w:after="120" w:line="276" w:lineRule="auto"/>
      </w:pPr>
      <w:r>
        <w:t>In a water-stressed region the windfall and the damage are joined at the hip. In Luján de Cuyo a hectare of vineyard rezoned for subdivision can multiply in value several-fold. The same conversion seals a permeable surface, removes a recharge area, replaces irrigation demand with higher-per-capita domestic demand, and erases a carbon sink. Private gain and collective cost are produced by one and the same act. We call this the water–land value paradox: development capitalises a premium that depends on water security while undermining the water security on which the premium depends. The paradox is also the opportunity. Capturing a slice of the development-generated increment to finance water and green infrastructure does not merely raise revenue; it closes the loop between the activity that creates the adaptation cost and the instrument that pays for the response.</w:t>
      </w:r>
    </w:p>
    <w:p>
      <w:pPr>
        <w:pStyle w:val="Heading2"/>
      </w:pPr>
      <w:r>
        <w:t>1.3 What this paper does</w:t>
      </w:r>
    </w:p>
    <w:p>
      <w:pPr>
        <w:spacing w:after="120" w:line="276" w:lineRule="auto"/>
      </w:pPr>
      <w:r>
        <w:t>We study Luján de Cuyo not as a model on paper but as a system under construction. Between 2023 and 2026 the municipality designed an Ordinance of Urban-Economy Instruments, created a land bank and an earmarked urban-economy fund, advanced a fideicomiso to administer them, drafted a new buildability code, and began computing a district-level priority index. We ask three questions. First, can a coordinated set of land value capture instruments generate dedicated adaptation revenue in an intermediate, water-stressed city? Second, what institutional architecture turns that revenue into access to international climate finance? Third, how can the allocation of the proceeds embed climate and equity criteria while producing the evidence financiers demand?</w:t>
      </w:r>
    </w:p>
    <w:p>
      <w:pPr>
        <w:spacing w:after="120" w:line="276" w:lineRule="auto"/>
      </w:pPr>
      <w:r>
        <w:t>Our answers rest on real municipal data, and we are deliberate about the line between evidence and estimate. We report what two operational instruments actually collect; we size the designed instruments against the city’s genuine 2026 works programme, its land-value and built-value maps, and its new buildability schedule; and we test whether planned investment goes where the priority index says it is needed. Section 2 places the argument in the literatures on land value capture, adaptation finance, and water and land markets. Section 3 introduces the case and the data. Section 4 sets out the six instruments. Section 5 develops the trust-fund architecture and its role as a matching-funds and repayment vehicle. Section 6 describes the priority index. Section 7 presents the revenue and financing-gap estimates. Section 8 turns to transferability, and Section 9 concludes.</w:t>
      </w:r>
    </w:p>
    <w:p>
      <w:pPr>
        <w:pStyle w:val="Heading1"/>
      </w:pPr>
      <w:r>
        <w:t>2. Land Value Capture, Adaptation Finance, and Water</w:t>
      </w:r>
    </w:p>
    <w:p>
      <w:pPr>
        <w:pStyle w:val="Heading2"/>
      </w:pPr>
      <w:r>
        <w:t>2.1 Land value capture: a mature idea, an uneven practice</w:t>
      </w:r>
    </w:p>
    <w:p>
      <w:pPr>
        <w:spacing w:after="120" w:line="276" w:lineRule="auto"/>
      </w:pPr>
      <w:r>
        <w:t>Land value capture recovers for the public some of the land-value increment created by public investment, regulation, or growth. Latin America has experimented with it for the better part of a century, from Colombia’s contribución de valorización to São Paulo’s auctioned building-rights certificates (CEPACs) and Brazil’s 2001 City Statute, and the toolkit is now well catalogued (Smolka, 2013; OECD &amp; Lincoln Institute, 2022). The recurring lesson is that the gap is not legal authorisation but execution: weak valuation, landowner resistance, and thin administrative capacity hollow out instruments that look powerful on the page. Those constraints bite hardest precisely where the literature looks least—in intermediate cities, which are understudied relative to the metropolises that supply most of the evidence.</w:t>
      </w:r>
    </w:p>
    <w:p>
      <w:pPr>
        <w:pStyle w:val="Heading2"/>
      </w:pPr>
      <w:r>
        <w:t>2.2 The bankability gap in urban adaptation finance</w:t>
      </w:r>
    </w:p>
    <w:p>
      <w:pPr>
        <w:spacing w:after="120" w:line="276" w:lineRule="auto"/>
      </w:pPr>
      <w:r>
        <w:t>The adaptation-finance literature and the practitioner community converge on a diagnosis: the problem is less the absence of capital than the absence of bankable projects to absorb it. The Global Commission on Adaptation documented benefit–cost ratios that should make adaptation an easy sell; C40 and the Cities Climate Finance Leadership Alliance have shown why it is not. Urban adaptation goods are non-excludable and hard to monetise; municipal balance sheets are opaque or unrated; and the documentation thresholds of facilities such as the Green Climate Fund exceed what most intermediate cities can produce. The emerging consensus—visible in C40’s Cities Finance Facility and in the creditworthiness agenda of the Coalition for Urban Transitions—is that own-source revenue is the hinge: it provides counterpart funding, it signals commitment, and it underwrites repayment. What that consensus has lacked is a concrete, documented mechanism for generating such revenue at the intermediate-city scale. That is the gap this paper addresses.</w:t>
      </w:r>
    </w:p>
    <w:p>
      <w:pPr>
        <w:pStyle w:val="Heading2"/>
      </w:pPr>
      <w:r>
        <w:t>2.3 Water, land markets, and the case for coupling</w:t>
      </w:r>
    </w:p>
    <w:p>
      <w:pPr>
        <w:spacing w:after="120" w:line="276" w:lineRule="auto"/>
      </w:pPr>
      <w:r>
        <w:t>Access to reliable water is capitalised into land values—premiums of roughly 8 to 25 percent are reported for arid and semi-arid settings—and scarcity discounts them. Where irrigated agricultural land converts to housing, the price jump reflects both the change in permitted use and an implicit bet on continued water availability, even as the conversion degrades the hydrological system that justifies the bet. This is why coupling land value capture to adaptation is not merely administratively convenient but economically coherent: the instrument taxes the transaction that produces the externality and channels the proceeds to the investments that offset it. The conceptual move of this paper is to treat land value capture not as a revenue tool bolted onto a climate plan, but as an element of climate governance in its own right—linking land-use regulation, fiscal policy, and adaptation within one institutional architecture.</w:t>
      </w:r>
    </w:p>
    <w:p>
      <w:pPr>
        <w:pStyle w:val="Heading1"/>
      </w:pPr>
      <w:r>
        <w:t>3. Case and Method</w:t>
      </w:r>
    </w:p>
    <w:p>
      <w:pPr>
        <w:pStyle w:val="Heading2"/>
      </w:pPr>
      <w:r>
        <w:t>3.1 Luján de Cuyo: growth on a water budget</w:t>
      </w:r>
    </w:p>
    <w:p>
      <w:pPr>
        <w:spacing w:after="120" w:line="276" w:lineRule="auto"/>
      </w:pPr>
      <w:r>
        <w:t>Luján de Cuyo sits at the foot of the Andes in Mendoza, in one of the world’s great wine regions and one of its drier inhabited landscapes—annual precipitation near 200 millimetres, far below the rainfed-agriculture threshold. Everything productive depends on Andean snowmelt routed through an irrigation network older than the republic. Two trends are now colliding. The snowpack that feeds the system has thinned over three decades of warming, while the population has grown fast: the 2022 census counts roughly 175,000 residents, about 46 percent more than in 2010. Growth is eating the irrigated periphery. Vineyards and orchards that doubled as recharge zones are being subdivided, and each converted hectare adds domestic water demand while subtracting the permeability that recharges the aquifer—the water–land value paradox in its most literal form.</w:t>
      </w:r>
    </w:p>
    <w:p>
      <w:pPr>
        <w:pStyle w:val="Heading2"/>
      </w:pPr>
      <w:r>
        <w:t>3.2 An institutional opening</w:t>
      </w:r>
    </w:p>
    <w:p>
      <w:pPr>
        <w:spacing w:after="120" w:line="276" w:lineRule="auto"/>
      </w:pPr>
      <w:r>
        <w:t>Argentina’s federal arrangement gives Mendoza’s municipalities real authority over zoning, building permits, and local charges, while the province retains water rights and trunk infrastructure. Luján de Cuyo used that authority. Confronting peri-urban expansion that was generating unsustainable water demand, the municipality assembled, over 2023–2026, the legal scaffolding for an integrated system: an Ordinance of Urban-Economy Instruments; a Municipal Land and Real-Estate Bank and an earmarked Urban-Economy Fund (Ordinances 15081 and 15093 of 2025); an administration trust to pool the flows; a draft buildability code (COS 2026); and a priority index built by a municipal public-policy laboratory. The case is therefore unusually well suited to study because the instruments are not hypothetical—they are at the edge of implementation, and some already collect revenue.</w:t>
      </w:r>
    </w:p>
    <w:p>
      <w:pPr>
        <w:pStyle w:val="Heading2"/>
      </w:pPr>
      <w:r>
        <w:t>3.3 Data and approach</w:t>
      </w:r>
    </w:p>
    <w:p>
      <w:pPr>
        <w:spacing w:after="120" w:line="276" w:lineRule="auto"/>
      </w:pPr>
      <w:r>
        <w:t>This is a single-case study built from primary municipal material gathered between 2018 and 2026: ordinances and the draft instruments code; the 2026 public-works programme; the 2026 tax roll and the vacant-land padrón; collection records for the operational charges; the municipal land-value, built-value, and fiscal-assessment maps; the draft COS 2026 buildability schedule and a comparative zoning analysis; and the priority-index methodology with its first district-level results. We are explicit throughout about the status of every figure. Revenue from the two operational instruments is realized and drawn from municipal records; estimates for the designed instruments apply the ordinance’s own formulas to real parameters—works costs, land values, buildability—rather than to assumed transaction volumes. All peso figures are expressed in inflation-adjusted, exchange-rate-converted US dollars; the Tax Unit is set at its 2026 value (ARS 235) and conversions use the 2025 average rate (ARS 1,244.17/USD). Where a parameter is genuinely unobserved—above all the future take-up of instruments not yet in force—we say so and bound it with scenarios.</w:t>
      </w:r>
    </w:p>
    <w:p>
      <w:pPr>
        <w:pStyle w:val="Heading1"/>
      </w:pPr>
      <w:r>
        <w:t>4. Six Land Value Capture Instruments</w:t>
      </w:r>
    </w:p>
    <w:p>
      <w:pPr>
        <w:spacing w:after="120" w:line="276" w:lineRule="auto"/>
      </w:pPr>
      <w:r>
        <w:t>The framework coordinates six instruments, each catching the increment at a different point in the land-development cycle. They are designed to function as a system, not a menu: what one instrument leaves on the table another recovers, and all of them drain into the same fund.</w:t>
      </w:r>
    </w:p>
    <w:p>
      <w:pPr>
        <w:pStyle w:val="Heading2"/>
      </w:pPr>
      <w:r>
        <w:t>4.1 Betterment contributions (Contribución por Mejoras)</w:t>
      </w:r>
    </w:p>
    <w:p>
      <w:pPr>
        <w:spacing w:after="120" w:line="276" w:lineRule="auto"/>
      </w:pPr>
      <w:r>
        <w:t>When a public work raises the value of nearby property, the betterment contribution recovers part of that increment from the owners who gained. In Luján de Cuyo it attaches to investments in water distribution, stormwater and aquifer-recharge infrastructure, and public green space, with benefit zones delineated by GIS and the charge set as a share of the assessed uplift—typically 30 to 50 percent—payable in instalments to spare lower-income households. Water-related betterment revenue is earmarked to the adaptation fund, so the instrument both finances the work and demonstrates, in cash, that the work paid.</w:t>
      </w:r>
    </w:p>
    <w:p>
      <w:pPr>
        <w:pStyle w:val="Heading2"/>
      </w:pPr>
      <w:r>
        <w:t>4.2 Differential rent capture from rezoning (Participación en la Valoración de Activos)</w:t>
      </w:r>
    </w:p>
    <w:p>
      <w:pPr>
        <w:spacing w:after="120" w:line="276" w:lineRule="auto"/>
      </w:pPr>
      <w:r>
        <w:t>Rezoning is the single largest manufacturer of unearned increment, and this instrument taxes it directly: owners who benefit from a change of use or a rise in permitted intensity contribute a share of the difference between the pre- and post-decision value. Its logic is the paper’s logic in miniature. Every conversion of permeable agricultural land to impervious residential use triggers, in the same instrument, both the recognition of a private gain and a payment toward the public response.</w:t>
      </w:r>
    </w:p>
    <w:p>
      <w:pPr>
        <w:pStyle w:val="Heading2"/>
      </w:pPr>
      <w:r>
        <w:t>4.3 Vacant-land charges (Sobretasa al Baldío)</w:t>
      </w:r>
    </w:p>
    <w:p>
      <w:pPr>
        <w:spacing w:after="120" w:line="276" w:lineRule="auto"/>
      </w:pPr>
      <w:r>
        <w:t>A progressive surcharge on serviced but idle parcels pushes development inward and penalises speculation, doing double duty for adaptation: it favours compact growth over sprawl into recharge areas, and it raises revenue from land that is consuming infrastructure capacity while producing nothing. It is also, as Section 7 shows, already operational.</w:t>
      </w:r>
    </w:p>
    <w:p>
      <w:pPr>
        <w:pStyle w:val="Heading2"/>
      </w:pPr>
      <w:r>
        <w:t>4.4 Development-rights sales (Suelo Creado / Derechos de Construcción Adicional)</w:t>
      </w:r>
    </w:p>
    <w:p>
      <w:pPr>
        <w:spacing w:after="120" w:line="276" w:lineRule="auto"/>
      </w:pPr>
      <w:r>
        <w:t>Adapting the Brazilian CEPAC idea to an intermediate-city scale, the municipality sells the right to build above a base floor-area line up to a defined maximum, pricing the rights against reference land values and offering density bonuses for water-efficient design. The new COS 2026 code turns this from a concept into a calibrated schedule (Section 7.3).</w:t>
      </w:r>
    </w:p>
    <w:p>
      <w:pPr>
        <w:pStyle w:val="Heading2"/>
      </w:pPr>
      <w:r>
        <w:t>4.5 Tax incentives for climate-responsive development</w:t>
      </w:r>
    </w:p>
    <w:p>
      <w:pPr>
        <w:spacing w:after="120" w:line="276" w:lineRule="auto"/>
      </w:pPr>
      <w:r>
        <w:t>Reduced permit fees, property-tax rebates, or development-charge relief reward water-efficiency technology, permeable-surface minimums, tree retention, and green-building standards. Set against the other instruments, the incentives create a gradient: conversion without adaptation features faces the full weight of betterment and rent capture, while adaptation-aligned projects earn relief. The gradient is how the system internalises the externality of land conversion.</w:t>
      </w:r>
    </w:p>
    <w:p>
      <w:pPr>
        <w:pStyle w:val="Heading2"/>
      </w:pPr>
      <w:r>
        <w:t>4.6 Transferable development rights</w:t>
      </w:r>
    </w:p>
    <w:p>
      <w:pPr>
        <w:spacing w:after="120" w:line="276" w:lineRule="auto"/>
      </w:pPr>
      <w:r>
        <w:t>To protect recharge zones, riparian buffers, and farmland without buying them outright, owners in “sending” areas receive rights they can sell to developers in “receiving” areas. The instrument addresses the most politically charged part of adaptation in an agricultural region—restricting development on private land—by compensating it through the market rather than the budget.</w:t>
      </w:r>
    </w:p>
    <w:p>
      <w:pPr>
        <w:pStyle w:val="Heading2"/>
      </w:pPr>
      <w:r>
        <w:t>4.7 Coordination</w:t>
      </w:r>
    </w:p>
    <w:p>
      <w:pPr>
        <w:spacing w:after="120" w:line="276" w:lineRule="auto"/>
      </w:pPr>
      <w:r>
        <w:t>Read together (Table 1), the instruments span the development cycle from rezoning through construction to idle holding, and they share one destination. Coordination is what converts six modest charges into a revenue system robust enough to underwrite external finance.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Instrument</w:t>
            </w:r>
          </w:p>
        </w:tc>
        <w:tc>
          <w:tcPr>
            <w:tcW w:type="dxa" w:w="2160"/>
          </w:tcPr>
          <w:p>
            <w:r/>
            <w:r>
              <w:rPr>
                <w:b/>
                <w:sz w:val="18"/>
              </w:rPr>
              <w:t>Trigger</w:t>
            </w:r>
          </w:p>
        </w:tc>
        <w:tc>
          <w:tcPr>
            <w:tcW w:type="dxa" w:w="2160"/>
          </w:tcPr>
          <w:p>
            <w:r/>
            <w:r>
              <w:rPr>
                <w:b/>
                <w:sz w:val="18"/>
              </w:rPr>
              <w:t>Capture rate</w:t>
            </w:r>
          </w:p>
        </w:tc>
        <w:tc>
          <w:tcPr>
            <w:tcW w:type="dxa" w:w="2160"/>
          </w:tcPr>
          <w:p>
            <w:r/>
            <w:r>
              <w:rPr>
                <w:b/>
                <w:sz w:val="18"/>
              </w:rPr>
              <w:t>Climate function</w:t>
            </w:r>
          </w:p>
        </w:tc>
      </w:tr>
      <w:tr>
        <w:tc>
          <w:tcPr>
            <w:tcW w:type="dxa" w:w="2160"/>
          </w:tcPr>
          <w:p>
            <w:r/>
            <w:r>
              <w:rPr>
                <w:sz w:val="18"/>
              </w:rPr>
              <w:t>Betterment contributions</w:t>
            </w:r>
          </w:p>
        </w:tc>
        <w:tc>
          <w:tcPr>
            <w:tcW w:type="dxa" w:w="2160"/>
          </w:tcPr>
          <w:p>
            <w:r/>
            <w:r>
              <w:rPr>
                <w:sz w:val="18"/>
              </w:rPr>
              <w:t>Public infrastructure investment</w:t>
            </w:r>
          </w:p>
        </w:tc>
        <w:tc>
          <w:tcPr>
            <w:tcW w:type="dxa" w:w="2160"/>
          </w:tcPr>
          <w:p>
            <w:r/>
            <w:r>
              <w:rPr>
                <w:sz w:val="18"/>
              </w:rPr>
              <w:t>30–50% of uplift</w:t>
            </w:r>
          </w:p>
        </w:tc>
        <w:tc>
          <w:tcPr>
            <w:tcW w:type="dxa" w:w="2160"/>
          </w:tcPr>
          <w:p>
            <w:r/>
            <w:r>
              <w:rPr>
                <w:sz w:val="18"/>
              </w:rPr>
              <w:t>Finances and demonstrates returns on water works</w:t>
            </w:r>
          </w:p>
        </w:tc>
      </w:tr>
      <w:tr>
        <w:tc>
          <w:tcPr>
            <w:tcW w:type="dxa" w:w="2160"/>
          </w:tcPr>
          <w:p>
            <w:r/>
            <w:r>
              <w:rPr>
                <w:sz w:val="18"/>
              </w:rPr>
              <w:t>Differential rent capture</w:t>
            </w:r>
          </w:p>
        </w:tc>
        <w:tc>
          <w:tcPr>
            <w:tcW w:type="dxa" w:w="2160"/>
          </w:tcPr>
          <w:p>
            <w:r/>
            <w:r>
              <w:rPr>
                <w:sz w:val="18"/>
              </w:rPr>
              <w:t>Rezoning of agricultural to urban use</w:t>
            </w:r>
          </w:p>
        </w:tc>
        <w:tc>
          <w:tcPr>
            <w:tcW w:type="dxa" w:w="2160"/>
          </w:tcPr>
          <w:p>
            <w:r/>
            <w:r>
              <w:rPr>
                <w:sz w:val="18"/>
              </w:rPr>
              <w:t>30–50% of differential</w:t>
            </w:r>
          </w:p>
        </w:tc>
        <w:tc>
          <w:tcPr>
            <w:tcW w:type="dxa" w:w="2160"/>
          </w:tcPr>
          <w:p>
            <w:r/>
            <w:r>
              <w:rPr>
                <w:sz w:val="18"/>
              </w:rPr>
              <w:t>Links conversion cost to adaptation revenue</w:t>
            </w:r>
          </w:p>
        </w:tc>
      </w:tr>
      <w:tr>
        <w:tc>
          <w:tcPr>
            <w:tcW w:type="dxa" w:w="2160"/>
          </w:tcPr>
          <w:p>
            <w:r/>
            <w:r>
              <w:rPr>
                <w:sz w:val="18"/>
              </w:rPr>
              <w:t>Vacant-land charges</w:t>
            </w:r>
          </w:p>
        </w:tc>
        <w:tc>
          <w:tcPr>
            <w:tcW w:type="dxa" w:w="2160"/>
          </w:tcPr>
          <w:p>
            <w:r/>
            <w:r>
              <w:rPr>
                <w:sz w:val="18"/>
              </w:rPr>
              <w:t>Idle serviced parcels</w:t>
            </w:r>
          </w:p>
        </w:tc>
        <w:tc>
          <w:tcPr>
            <w:tcW w:type="dxa" w:w="2160"/>
          </w:tcPr>
          <w:p>
            <w:r/>
            <w:r>
              <w:rPr>
                <w:sz w:val="18"/>
              </w:rPr>
              <w:t>Progressive surcharge</w:t>
            </w:r>
          </w:p>
        </w:tc>
        <w:tc>
          <w:tcPr>
            <w:tcW w:type="dxa" w:w="2160"/>
          </w:tcPr>
          <w:p>
            <w:r/>
            <w:r>
              <w:rPr>
                <w:sz w:val="18"/>
              </w:rPr>
              <w:t>Promotes compact growth; curbs sprawl</w:t>
            </w:r>
          </w:p>
        </w:tc>
      </w:tr>
      <w:tr>
        <w:tc>
          <w:tcPr>
            <w:tcW w:type="dxa" w:w="2160"/>
          </w:tcPr>
          <w:p>
            <w:r/>
            <w:r>
              <w:rPr>
                <w:sz w:val="18"/>
              </w:rPr>
              <w:t>Development-rights sales</w:t>
            </w:r>
          </w:p>
        </w:tc>
        <w:tc>
          <w:tcPr>
            <w:tcW w:type="dxa" w:w="2160"/>
          </w:tcPr>
          <w:p>
            <w:r/>
            <w:r>
              <w:rPr>
                <w:sz w:val="18"/>
              </w:rPr>
              <w:t>Building above the base line</w:t>
            </w:r>
          </w:p>
        </w:tc>
        <w:tc>
          <w:tcPr>
            <w:tcW w:type="dxa" w:w="2160"/>
          </w:tcPr>
          <w:p>
            <w:r/>
            <w:r>
              <w:rPr>
                <w:sz w:val="18"/>
              </w:rPr>
              <w:t>Market-priced (COS 2026)</w:t>
            </w:r>
          </w:p>
        </w:tc>
        <w:tc>
          <w:tcPr>
            <w:tcW w:type="dxa" w:w="2160"/>
          </w:tcPr>
          <w:p>
            <w:r/>
            <w:r>
              <w:rPr>
                <w:sz w:val="18"/>
              </w:rPr>
              <w:t>Channels density; rewards water efficiency</w:t>
            </w:r>
          </w:p>
        </w:tc>
      </w:tr>
      <w:tr>
        <w:tc>
          <w:tcPr>
            <w:tcW w:type="dxa" w:w="2160"/>
          </w:tcPr>
          <w:p>
            <w:r/>
            <w:r>
              <w:rPr>
                <w:sz w:val="18"/>
              </w:rPr>
              <w:t>Tax incentives</w:t>
            </w:r>
          </w:p>
        </w:tc>
        <w:tc>
          <w:tcPr>
            <w:tcW w:type="dxa" w:w="2160"/>
          </w:tcPr>
          <w:p>
            <w:r/>
            <w:r>
              <w:rPr>
                <w:sz w:val="18"/>
              </w:rPr>
              <w:t>Climate-responsive features</w:t>
            </w:r>
          </w:p>
        </w:tc>
        <w:tc>
          <w:tcPr>
            <w:tcW w:type="dxa" w:w="2160"/>
          </w:tcPr>
          <w:p>
            <w:r/>
            <w:r>
              <w:rPr>
                <w:sz w:val="18"/>
              </w:rPr>
              <w:t>Variable relief</w:t>
            </w:r>
          </w:p>
        </w:tc>
        <w:tc>
          <w:tcPr>
            <w:tcW w:type="dxa" w:w="2160"/>
          </w:tcPr>
          <w:p>
            <w:r/>
            <w:r>
              <w:rPr>
                <w:sz w:val="18"/>
              </w:rPr>
              <w:t>Internalises the conversion externality</w:t>
            </w:r>
          </w:p>
        </w:tc>
      </w:tr>
      <w:tr>
        <w:tc>
          <w:tcPr>
            <w:tcW w:type="dxa" w:w="2160"/>
          </w:tcPr>
          <w:p>
            <w:r/>
            <w:r>
              <w:rPr>
                <w:sz w:val="18"/>
              </w:rPr>
              <w:t>Transferable dev. rights</w:t>
            </w:r>
          </w:p>
        </w:tc>
        <w:tc>
          <w:tcPr>
            <w:tcW w:type="dxa" w:w="2160"/>
          </w:tcPr>
          <w:p>
            <w:r/>
            <w:r>
              <w:rPr>
                <w:sz w:val="18"/>
              </w:rPr>
              <w:t>Development in receiving zones</w:t>
            </w:r>
          </w:p>
        </w:tc>
        <w:tc>
          <w:tcPr>
            <w:tcW w:type="dxa" w:w="2160"/>
          </w:tcPr>
          <w:p>
            <w:r/>
            <w:r>
              <w:rPr>
                <w:sz w:val="18"/>
              </w:rPr>
              <w:t>Market-determined</w:t>
            </w:r>
          </w:p>
        </w:tc>
        <w:tc>
          <w:tcPr>
            <w:tcW w:type="dxa" w:w="2160"/>
          </w:tcPr>
          <w:p>
            <w:r/>
            <w:r>
              <w:rPr>
                <w:sz w:val="18"/>
              </w:rPr>
              <w:t>Protects recharge zones without purchase</w:t>
            </w:r>
          </w:p>
        </w:tc>
      </w:tr>
    </w:tbl>
    <w:p>
      <w:pPr>
        <w:spacing w:after="200"/>
      </w:pPr>
      <w:r>
        <w:rPr>
          <w:i/>
          <w:sz w:val="18"/>
        </w:rPr>
        <w:t>Table 1: The six instruments, their triggers, and their adaptation functions.</w:t>
      </w:r>
    </w:p>
    <w:p>
      <w:pPr>
        <w:pStyle w:val="Heading1"/>
      </w:pPr>
      <w:r>
        <w:t>5. Institutional Architecture: The Climate Adaptation Trust Fund</w:t>
      </w:r>
    </w:p>
    <w:p>
      <w:pPr>
        <w:pStyle w:val="Heading2"/>
      </w:pPr>
      <w:r>
        <w:t>5.1 Why a trust fund</w:t>
      </w:r>
    </w:p>
    <w:p>
      <w:pPr>
        <w:spacing w:after="120" w:line="276" w:lineRule="auto"/>
      </w:pPr>
      <w:r>
        <w:t>Routing the proceeds through a dedicated trust fund rather than the general budget is the decision that makes the rest work. Practically, earmarking creates the predictable, multi-year revenue that infrastructure planning requires. Strategically, it attacks the bankability problem head-on: it produces a visible, auditable pool of own-source money that an external financier can inspect as evidence of commitment and of capacity to repay.</w:t>
      </w:r>
    </w:p>
    <w:p>
      <w:pPr>
        <w:spacing w:after="120" w:line="276" w:lineRule="auto"/>
      </w:pPr>
      <w:r>
        <w:t>In Luján de Cuyo this is already taking legal form. Ordinances 15081 and 15093 of 2025 created the Municipal Land and Real-Estate Bank (BMTI) and the Urban-Economy Fund (FEULDC), an earmarked patrimony into which the value-capture instruments, the vacant-land surcharge, and the water-and-sewer charge are all directed; an administration trust (fideicomiso) is the vehicle intended to pool and channel them, with its implementing decree pending at the time of writing. The architecture described here is thus the financial layer of a system already being built.</w:t>
      </w:r>
    </w:p>
    <w:p>
      <w:pPr>
        <w:spacing w:after="120" w:line="276" w:lineRule="auto"/>
      </w:pPr>
      <w:r>
        <w:t>The fund operates as a fiduciary mechanism legally distinct from the general budget, with a board of trustees, transparent procedures, independent audit, and defined investment rules. That separation protects adaptation revenue from raids during fiscal stress, supplies the governance green-bond investors expect, and gives climate adaptation an institutional home.</w:t>
      </w:r>
    </w:p>
    <w:p>
      <w:pPr>
        <w:pStyle w:val="Heading2"/>
      </w:pPr>
      <w:r>
        <w:t>5.2 Pooling and fund structure</w:t>
      </w:r>
    </w:p>
    <w:p>
      <w:pPr>
        <w:spacing w:after="120" w:line="276" w:lineRule="auto"/>
      </w:pPr>
      <w:r>
        <w:t>The fund pools all six instruments—together with the operational water-and-sewer charge—into three sub-accounts. The Infrastructure Investment Account (60 percent of net revenue) funds capital works: water efficiency, aquifer recharge, stormwater, and green infrastructure. The Maintenance and Operations Account (25 percent) keeps that infrastructure working. The Leverage Account (15 percent) accumulates the reserve earmarked as matching funds—the own-source counterpart that grants and climate facilities require. In the municipal design this pooled patrimony is the FEULDC.</w:t>
      </w:r>
    </w:p>
    <w:p>
      <w:pPr>
        <w:pStyle w:val="Heading2"/>
      </w:pPr>
      <w:r>
        <w:t>5.3 Leveraging international climate finance</w:t>
      </w:r>
    </w:p>
    <w:p>
      <w:pPr>
        <w:spacing w:after="120" w:line="276" w:lineRule="auto"/>
      </w:pPr>
      <w:r>
        <w:t>The structure is built to support three escalating levels of leverage, and it is the fiduciary form—not the cash alone—that makes each one credible. First, accumulated Leverage Account reserves serve as the 10–30 percent counterpart that bilateral and multilateral grants demand; because that match is the binding constraint for most intermediate cities, a ring-fenced own-source pool turns unreachable grants into reachable ones. Second, the predictable, legally segregated revenue can be pledged as the repayment source and security for a green bond or a concessional loan: the fideicomiso isolates the pledged flows from the general budget and from political reallocation, which is precisely the assurance bond investors and development banks require. Third, a demonstrated record of disbursing funds, building works, and servicing debt—legible in audited accounts—earns the credibility needed for larger facilities such as the Green Climate Fund, the GEF, or the climate windows of CAF and the IDB.</w:t>
      </w:r>
    </w:p>
    <w:p>
      <w:pPr>
        <w:spacing w:after="120" w:line="276" w:lineRule="auto"/>
      </w:pPr>
      <w:r>
        <w:t>The strategy is deliberately incremental. Early revenue finances small, demonstrable projects; their success, plus transparent governance, positions the city for progressively larger rounds. Credibility, like capital, compounds.</w:t>
      </w:r>
    </w:p>
    <w:p>
      <w:pPr>
        <w:pStyle w:val="Heading2"/>
      </w:pPr>
      <w:r>
        <w:t>5.4 Governance and accountability</w:t>
      </w:r>
    </w:p>
    <w:p>
      <w:pPr>
        <w:spacing w:after="120" w:line="276" w:lineRule="auto"/>
      </w:pPr>
      <w:r>
        <w:t>The board pairs the mayor, the planning director, and the comptroller with two external members—one from the agricultural sector, one with environmental-finance expertise—and requires a qualified majority, which blocks unilateral diversion. Independent annual audits and quarterly statements are published on the municipal website. Transparency here is not housekeeping; it is the collateral.</w:t>
      </w:r>
    </w:p>
    <w:p>
      <w:pPr>
        <w:pStyle w:val="Heading2"/>
      </w:pPr>
      <w:r>
        <w:t>5.5 The trust fund as a matching-funds and repayment vehicle</w:t>
      </w:r>
    </w:p>
    <w:p>
      <w:pPr>
        <w:spacing w:after="120" w:line="276" w:lineRule="auto"/>
      </w:pPr>
      <w:r>
        <w:t>The decisive advantage of the fideicomiso is that it solves the two conditions that most often disqualify intermediate-city adaptation projects from international green finance: no counterpart funds and no credible repayment source. The fund supplies both from the same pooled revenue.</w:t>
      </w:r>
    </w:p>
    <w:p>
      <w:pPr>
        <w:spacing w:after="120" w:line="276" w:lineRule="auto"/>
      </w:pPr>
      <w:r>
        <w:t>On matching funds, the Leverage Account compounds a dedicated co-financing reserve. At the baseline revenue of roughly USD 3 million a year (Section 7), it adds on the order of USD 0.45 million annually—enough within two or three years to anchor the counterpart for grants in the USD 2–10 million range, including the Green Climate Fund’s Simplified Approval Process. Own-source matching is read by financiers as a costly signal of genuine commitment, and it is scored heavily in funding proposals.</w:t>
      </w:r>
    </w:p>
    <w:p>
      <w:pPr>
        <w:spacing w:after="120" w:line="276" w:lineRule="auto"/>
      </w:pPr>
      <w:r>
        <w:t>On repayment, the same flows service debt. The water-and-sewer series—elevenfold real growth over 2021–2025 (Section 7.2)—is exactly the kind of demonstrated, ring-fenced cash flow against which a debt-service-coverage ratio can be computed and a bond rated. Pledging the fund’s flows through the fideicomiso rather than the general budget raises the effective seniority of repayment and lowers the risk premium. On these figures a green-bond issuance of three to four times annual revenue—on the order of USD 9–12 million—is serviceable from dedicated streams and would finance a first tranche of the deficits the priority index identifies.</w:t>
      </w:r>
    </w:p>
    <w:p>
      <w:pPr>
        <w:spacing w:after="120" w:line="276" w:lineRule="auto"/>
      </w:pPr>
      <w:r>
        <w:t>The fideicomiso also de-risks the instrument for the city itself: because adaptation revenue is legally separated, it cannot be spent on payroll in a bad year, which protects both the investment programme and the repayment pledge across electoral cycles. The trust fund, in short, is not an accounting convenience. It is the bridge that converts locally captured land value into matched, repayable, and ultimately larger flows of international climate finance—the bankability machine the sector has been looking for.</w:t>
      </w:r>
    </w:p>
    <w:p>
      <w:pPr>
        <w:pStyle w:val="Heading1"/>
      </w:pPr>
      <w:r>
        <w:t>6. The Priority Index (Índice de Ciudad Deseada)</w:t>
      </w:r>
    </w:p>
    <w:p>
      <w:pPr>
        <w:pStyle w:val="Heading2"/>
      </w:pPr>
      <w:r>
        <w:t>6.1 Purpose</w:t>
      </w:r>
    </w:p>
    <w:p>
      <w:pPr>
        <w:spacing w:after="120" w:line="276" w:lineRule="auto"/>
      </w:pPr>
      <w:r>
        <w:t>A revenue framework is only as good as the rule that spends the money. The municipality’s priority index—the Índice de Ciudad Deseada and its companion infrastructure-prioritisation index—is a composite, district-level instrument that ranks where investment is most needed, embeds climate and equity criteria in that ranking, and produces the quantitative evidence external financiers ask for. It is built and updated by the municipal public-policy laboratory and is designed to be recomputed annually.</w:t>
      </w:r>
    </w:p>
    <w:p>
      <w:pPr>
        <w:pStyle w:val="Heading2"/>
      </w:pPr>
      <w:r>
        <w:t>6.2 Structure</w:t>
      </w:r>
    </w:p>
    <w:p>
      <w:pPr>
        <w:spacing w:after="120" w:line="276" w:lineRule="auto"/>
      </w:pPr>
      <w:r>
        <w:t>The index has six dimensions, each scored by indicators against desired values. Green space and biodiversity measures public green-space provision, walking access, and square metres per inhabitant. Mobility and services measures proximity to the Metrotranvía and bus network and to cycle infrastructure. Compactness and functionality covers dwelling and population density, street permeability, vacant dwellings, and air quality. Accessibility to community services measures walking proximity to education, health, sport, culture, and basic retail. Equity and community draws on census data for overcrowding, housing quality, schooling, and health coverage. Basic infrastructure—the dimension closest to the water-stress framing—captures water demand (demanda hídrica), network connectivity, recycling and green points, and the energy use and self-generation of public space.</w:t>
      </w:r>
    </w:p>
    <w:p>
      <w:pPr>
        <w:spacing w:after="120" w:line="276" w:lineRule="auto"/>
      </w:pPr>
      <w:r>
        <w:t>Two features matter for adaptation. Water enters the index three times—as green infrastructure, as the water-demand indicator, and through compactness, which lowers per-capita demand—so the index is, in effect, a water-stress instrument wearing a livability label. And it is spatial: every indicator is computed by district, so the framework knows not only what is short but where.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Sample indicators</w:t>
            </w:r>
          </w:p>
        </w:tc>
        <w:tc>
          <w:tcPr>
            <w:tcW w:type="dxa" w:w="2880"/>
          </w:tcPr>
          <w:p>
            <w:r/>
            <w:r>
              <w:rPr>
                <w:b/>
                <w:sz w:val="18"/>
              </w:rPr>
              <w:t>Climate / water relevance</w:t>
            </w:r>
          </w:p>
        </w:tc>
      </w:tr>
      <w:tr>
        <w:tc>
          <w:tcPr>
            <w:tcW w:type="dxa" w:w="2880"/>
          </w:tcPr>
          <w:p>
            <w:r/>
            <w:r>
              <w:rPr>
                <w:sz w:val="18"/>
              </w:rPr>
              <w:t>Green space &amp; biodiversity</w:t>
            </w:r>
          </w:p>
        </w:tc>
        <w:tc>
          <w:tcPr>
            <w:tcW w:type="dxa" w:w="2880"/>
          </w:tcPr>
          <w:p>
            <w:r/>
            <w:r>
              <w:rPr>
                <w:sz w:val="18"/>
              </w:rPr>
              <w:t>Public green-space %, 5-min access, m²/inhabitant</w:t>
            </w:r>
          </w:p>
        </w:tc>
        <w:tc>
          <w:tcPr>
            <w:tcW w:type="dxa" w:w="2880"/>
          </w:tcPr>
          <w:p>
            <w:r/>
            <w:r>
              <w:rPr>
                <w:sz w:val="18"/>
              </w:rPr>
              <w:t>Heat-island mitigation; climate refuges</w:t>
            </w:r>
          </w:p>
        </w:tc>
      </w:tr>
      <w:tr>
        <w:tc>
          <w:tcPr>
            <w:tcW w:type="dxa" w:w="2880"/>
          </w:tcPr>
          <w:p>
            <w:r/>
            <w:r>
              <w:rPr>
                <w:sz w:val="18"/>
              </w:rPr>
              <w:t>Mobility &amp; services</w:t>
            </w:r>
          </w:p>
        </w:tc>
        <w:tc>
          <w:tcPr>
            <w:tcW w:type="dxa" w:w="2880"/>
          </w:tcPr>
          <w:p>
            <w:r/>
            <w:r>
              <w:rPr>
                <w:sz w:val="18"/>
              </w:rPr>
              <w:t>Proximity to Metrotranvía/bus; cycle access</w:t>
            </w:r>
          </w:p>
        </w:tc>
        <w:tc>
          <w:tcPr>
            <w:tcW w:type="dxa" w:w="2880"/>
          </w:tcPr>
          <w:p>
            <w:r/>
            <w:r>
              <w:rPr>
                <w:sz w:val="18"/>
              </w:rPr>
              <w:t>Low-carbon mobility</w:t>
            </w:r>
          </w:p>
        </w:tc>
      </w:tr>
      <w:tr>
        <w:tc>
          <w:tcPr>
            <w:tcW w:type="dxa" w:w="2880"/>
          </w:tcPr>
          <w:p>
            <w:r/>
            <w:r>
              <w:rPr>
                <w:sz w:val="18"/>
              </w:rPr>
              <w:t>Compactness &amp; functionality</w:t>
            </w:r>
          </w:p>
        </w:tc>
        <w:tc>
          <w:tcPr>
            <w:tcW w:type="dxa" w:w="2880"/>
          </w:tcPr>
          <w:p>
            <w:r/>
            <w:r>
              <w:rPr>
                <w:sz w:val="18"/>
              </w:rPr>
              <w:t>Density, street permeability, vacant dwellings, air quality</w:t>
            </w:r>
          </w:p>
        </w:tc>
        <w:tc>
          <w:tcPr>
            <w:tcW w:type="dxa" w:w="2880"/>
          </w:tcPr>
          <w:p>
            <w:r/>
            <w:r>
              <w:rPr>
                <w:sz w:val="18"/>
              </w:rPr>
              <w:t>Curbs sprawl and per-capita water demand</w:t>
            </w:r>
          </w:p>
        </w:tc>
      </w:tr>
      <w:tr>
        <w:tc>
          <w:tcPr>
            <w:tcW w:type="dxa" w:w="2880"/>
          </w:tcPr>
          <w:p>
            <w:r/>
            <w:r>
              <w:rPr>
                <w:sz w:val="18"/>
              </w:rPr>
              <w:t>Accessibility to services</w:t>
            </w:r>
          </w:p>
        </w:tc>
        <w:tc>
          <w:tcPr>
            <w:tcW w:type="dxa" w:w="2880"/>
          </w:tcPr>
          <w:p>
            <w:r/>
            <w:r>
              <w:rPr>
                <w:sz w:val="18"/>
              </w:rPr>
              <w:t>Access to education, health, sport, culture, retail</w:t>
            </w:r>
          </w:p>
        </w:tc>
        <w:tc>
          <w:tcPr>
            <w:tcW w:type="dxa" w:w="2880"/>
          </w:tcPr>
          <w:p>
            <w:r/>
            <w:r>
              <w:rPr>
                <w:sz w:val="18"/>
              </w:rPr>
              <w:t>15-minute city; spatial equity</w:t>
            </w:r>
          </w:p>
        </w:tc>
      </w:tr>
      <w:tr>
        <w:tc>
          <w:tcPr>
            <w:tcW w:type="dxa" w:w="2880"/>
          </w:tcPr>
          <w:p>
            <w:r/>
            <w:r>
              <w:rPr>
                <w:sz w:val="18"/>
              </w:rPr>
              <w:t>Equity &amp; community</w:t>
            </w:r>
          </w:p>
        </w:tc>
        <w:tc>
          <w:tcPr>
            <w:tcW w:type="dxa" w:w="2880"/>
          </w:tcPr>
          <w:p>
            <w:r/>
            <w:r>
              <w:rPr>
                <w:sz w:val="18"/>
              </w:rPr>
              <w:t>Overcrowding, housing quality, schooling, health</w:t>
            </w:r>
          </w:p>
        </w:tc>
        <w:tc>
          <w:tcPr>
            <w:tcW w:type="dxa" w:w="2880"/>
          </w:tcPr>
          <w:p>
            <w:r/>
            <w:r>
              <w:rPr>
                <w:sz w:val="18"/>
              </w:rPr>
              <w:t>Targets vulnerable households</w:t>
            </w:r>
          </w:p>
        </w:tc>
      </w:tr>
      <w:tr>
        <w:tc>
          <w:tcPr>
            <w:tcW w:type="dxa" w:w="2880"/>
          </w:tcPr>
          <w:p>
            <w:r/>
            <w:r>
              <w:rPr>
                <w:sz w:val="18"/>
              </w:rPr>
              <w:t>Basic infrastructure</w:t>
            </w:r>
          </w:p>
        </w:tc>
        <w:tc>
          <w:tcPr>
            <w:tcW w:type="dxa" w:w="2880"/>
          </w:tcPr>
          <w:p>
            <w:r/>
            <w:r>
              <w:rPr>
                <w:sz w:val="18"/>
              </w:rPr>
              <w:t>Water demand, network connectivity, green points, public-space energy</w:t>
            </w:r>
          </w:p>
        </w:tc>
        <w:tc>
          <w:tcPr>
            <w:tcW w:type="dxa" w:w="2880"/>
          </w:tcPr>
          <w:p>
            <w:r/>
            <w:r>
              <w:rPr>
                <w:sz w:val="18"/>
              </w:rPr>
              <w:t>Water security; resource efficiency</w:t>
            </w:r>
          </w:p>
        </w:tc>
      </w:tr>
    </w:tbl>
    <w:p>
      <w:pPr>
        <w:spacing w:after="200"/>
      </w:pPr>
      <w:r>
        <w:rPr>
          <w:i/>
          <w:sz w:val="18"/>
        </w:rPr>
        <w:t>Table 2: The six dimensions of the priority index, with sample indicators. Each is scored per district on a five-level sufficiency scale (§6.3). Source: Municipalidad de Luján de Cuyo, Laboratorio de Políticas Públicas.</w:t>
      </w:r>
    </w:p>
    <w:p>
      <w:pPr>
        <w:pStyle w:val="Heading2"/>
      </w:pPr>
      <w:r>
        <w:t>6.3 Scoring and use</w:t>
      </w:r>
    </w:p>
    <w:p>
      <w:pPr>
        <w:spacing w:after="120" w:line="276" w:lineRule="auto"/>
      </w:pPr>
      <w:r>
        <w:t>Rather than a single weighted average, the index grades each district against the desired value on a five-level sufficiency scale: A, outstanding (≥90%); B (70–89%); C (50–69%); D, insufficient (25–49%); E, very insufficient (&lt;25%). The lower the grade, the higher the priority—“a menor cobertura, mayor priorización.” Grades aggregate into a district profile and a department-wide ranking, answering two questions: which work each district most needs, and which districts are furthest from the desired city. As of October 2025 the green-space dimension has been computed district by district; the others are being assembled, and composite weights are not yet fixed, so the index currently reports dimension-level sufficiency rather than one blended score. Section 7.5 uses that first dimension to ask a pointed question: is the city investing where its own index says it should?</w:t>
      </w:r>
    </w:p>
    <w:p>
      <w:pPr>
        <w:pStyle w:val="Heading1"/>
      </w:pPr>
      <w:r>
        <w:t>7. Revenue Potential and Financial Projections</w:t>
      </w:r>
    </w:p>
    <w:p>
      <w:pPr>
        <w:pStyle w:val="Heading2"/>
      </w:pPr>
      <w:r>
        <w:t>7.1 Method and data</w:t>
      </w:r>
    </w:p>
    <w:p>
      <w:pPr>
        <w:spacing w:after="120" w:line="276" w:lineRule="auto"/>
      </w:pPr>
      <w:r>
        <w:t>We report revenue on two footings and never blur them. Realized revenue is what the two operational instruments actually collect—the water-and-sewer charge (records 2021–2025) and the vacant-land surcharge (the 2026 tax roll)—expressed in inflation- and exchange-rate-adjusted dollars. Ex-ante potential covers the designed instruments—betterment, differential rent capture, and development-rights sales—and is obtained by applying the ordinance’s own formulas to real municipal parameters: the 2026 works programme, the COS 2026 buildability schedule, and the land-value and built-value maps. No transactions exist for these instruments yet, so the point estimates are illustrative; the contribution is the method and the realized-revenue evidence. The Tax Unit is at its 2026 value (ARS 235) and conversions use ARS 1,244.17/USD. We model conservative, baseline, and optimistic scenarios.</w:t>
      </w:r>
    </w:p>
    <w:p>
      <w:pPr>
        <w:pStyle w:val="Heading2"/>
      </w:pPr>
      <w:r>
        <w:t>7.2 Realized revenue: the two operational instruments</w:t>
      </w:r>
    </w:p>
    <w:p>
      <w:pPr>
        <w:spacing w:after="120" w:line="276" w:lineRule="auto"/>
      </w:pPr>
      <w:r>
        <w:t>The clearest proof that land-based revenue can scale is the water-and-sewer feasibility contribution, a charge levied to secure service capacity for new development. Collections climbed from USD 60,699 in 2021 to USD 690,497 in 2025—an elevenfold real increase, a compound annual growth rate of 83.7 percent once inflation and devaluation are stripped out (Table 3). A land-linked own-source charge became a material revenue line in four years, through one of the most turbulent macroeconomic episodes in Argentine memory. It is not one of the six value-capture instruments, but it is the framework’s proof of concept in hard cash.</w:t>
      </w:r>
    </w:p>
    <w:p>
      <w:pPr>
        <w:spacing w:after="120" w:line="276" w:lineRule="auto"/>
      </w:pPr>
      <w:r>
        <w:t>The vacant-land surcharge—one of the six—supplies the second data point. The 2026 roll identifies 5,315 idle parcels: 4,996 taxed at a 100-percent surcharge and 319 at 200 percent in priority urban voids. The surcharge adds about ARS 493 million to the 2026 emission; net of collection losses the municipality expects roughly ARS 345 million (USD 277,539), about ARS 93,000 per lot. Together the two operational instruments already yield on the order of USD 0.97 million a year—audited, bankable revenue that exists before a single value-capture instrument is sanctioned.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Year</w:t>
            </w:r>
          </w:p>
        </w:tc>
        <w:tc>
          <w:tcPr>
            <w:tcW w:type="dxa" w:w="2160"/>
          </w:tcPr>
          <w:p>
            <w:r/>
            <w:r>
              <w:rPr>
                <w:b/>
                <w:sz w:val="18"/>
              </w:rPr>
              <w:t>Water &amp; sewer contribution (USD)</w:t>
            </w:r>
          </w:p>
        </w:tc>
        <w:tc>
          <w:tcPr>
            <w:tcW w:type="dxa" w:w="2160"/>
          </w:tcPr>
          <w:p>
            <w:r/>
            <w:r>
              <w:rPr>
                <w:b/>
                <w:sz w:val="18"/>
              </w:rPr>
              <w:t>Vacant-land surcharge (USD)</w:t>
            </w:r>
          </w:p>
        </w:tc>
        <w:tc>
          <w:tcPr>
            <w:tcW w:type="dxa" w:w="2160"/>
          </w:tcPr>
          <w:p>
            <w:r/>
            <w:r>
              <w:rPr>
                <w:b/>
                <w:sz w:val="18"/>
              </w:rPr>
              <w:t>Total (USD)</w:t>
            </w:r>
          </w:p>
        </w:tc>
      </w:tr>
      <w:tr>
        <w:tc>
          <w:tcPr>
            <w:tcW w:type="dxa" w:w="2160"/>
          </w:tcPr>
          <w:p>
            <w:r/>
            <w:r>
              <w:rPr>
                <w:sz w:val="18"/>
              </w:rPr>
              <w:t>2021</w:t>
            </w:r>
          </w:p>
        </w:tc>
        <w:tc>
          <w:tcPr>
            <w:tcW w:type="dxa" w:w="2160"/>
          </w:tcPr>
          <w:p>
            <w:r/>
            <w:r>
              <w:rPr>
                <w:sz w:val="18"/>
              </w:rPr>
              <w:t>60,699</w:t>
            </w:r>
          </w:p>
        </w:tc>
        <w:tc>
          <w:tcPr>
            <w:tcW w:type="dxa" w:w="2160"/>
          </w:tcPr>
          <w:p>
            <w:r/>
            <w:r>
              <w:rPr>
                <w:sz w:val="18"/>
              </w:rPr>
              <w:t>–</w:t>
            </w:r>
          </w:p>
        </w:tc>
        <w:tc>
          <w:tcPr>
            <w:tcW w:type="dxa" w:w="2160"/>
          </w:tcPr>
          <w:p>
            <w:r/>
            <w:r>
              <w:rPr>
                <w:sz w:val="18"/>
              </w:rPr>
              <w:t>60,699</w:t>
            </w:r>
          </w:p>
        </w:tc>
      </w:tr>
      <w:tr>
        <w:tc>
          <w:tcPr>
            <w:tcW w:type="dxa" w:w="2160"/>
          </w:tcPr>
          <w:p>
            <w:r/>
            <w:r>
              <w:rPr>
                <w:sz w:val="18"/>
              </w:rPr>
              <w:t>2022</w:t>
            </w:r>
          </w:p>
        </w:tc>
        <w:tc>
          <w:tcPr>
            <w:tcW w:type="dxa" w:w="2160"/>
          </w:tcPr>
          <w:p>
            <w:r/>
            <w:r>
              <w:rPr>
                <w:sz w:val="18"/>
              </w:rPr>
              <w:t>97,212</w:t>
            </w:r>
          </w:p>
        </w:tc>
        <w:tc>
          <w:tcPr>
            <w:tcW w:type="dxa" w:w="2160"/>
          </w:tcPr>
          <w:p>
            <w:r/>
            <w:r>
              <w:rPr>
                <w:sz w:val="18"/>
              </w:rPr>
              <w:t>–</w:t>
            </w:r>
          </w:p>
        </w:tc>
        <w:tc>
          <w:tcPr>
            <w:tcW w:type="dxa" w:w="2160"/>
          </w:tcPr>
          <w:p>
            <w:r/>
            <w:r>
              <w:rPr>
                <w:sz w:val="18"/>
              </w:rPr>
              <w:t>97,212</w:t>
            </w:r>
          </w:p>
        </w:tc>
      </w:tr>
      <w:tr>
        <w:tc>
          <w:tcPr>
            <w:tcW w:type="dxa" w:w="2160"/>
          </w:tcPr>
          <w:p>
            <w:r/>
            <w:r>
              <w:rPr>
                <w:sz w:val="18"/>
              </w:rPr>
              <w:t>2023</w:t>
            </w:r>
          </w:p>
        </w:tc>
        <w:tc>
          <w:tcPr>
            <w:tcW w:type="dxa" w:w="2160"/>
          </w:tcPr>
          <w:p>
            <w:r/>
            <w:r>
              <w:rPr>
                <w:sz w:val="18"/>
              </w:rPr>
              <w:t>168,756</w:t>
            </w:r>
          </w:p>
        </w:tc>
        <w:tc>
          <w:tcPr>
            <w:tcW w:type="dxa" w:w="2160"/>
          </w:tcPr>
          <w:p>
            <w:r/>
            <w:r>
              <w:rPr>
                <w:sz w:val="18"/>
              </w:rPr>
              <w:t>–</w:t>
            </w:r>
          </w:p>
        </w:tc>
        <w:tc>
          <w:tcPr>
            <w:tcW w:type="dxa" w:w="2160"/>
          </w:tcPr>
          <w:p>
            <w:r/>
            <w:r>
              <w:rPr>
                <w:sz w:val="18"/>
              </w:rPr>
              <w:t>168,756</w:t>
            </w:r>
          </w:p>
        </w:tc>
      </w:tr>
      <w:tr>
        <w:tc>
          <w:tcPr>
            <w:tcW w:type="dxa" w:w="2160"/>
          </w:tcPr>
          <w:p>
            <w:r/>
            <w:r>
              <w:rPr>
                <w:sz w:val="18"/>
              </w:rPr>
              <w:t>2024</w:t>
            </w:r>
          </w:p>
        </w:tc>
        <w:tc>
          <w:tcPr>
            <w:tcW w:type="dxa" w:w="2160"/>
          </w:tcPr>
          <w:p>
            <w:r/>
            <w:r>
              <w:rPr>
                <w:sz w:val="18"/>
              </w:rPr>
              <w:t>246,004</w:t>
            </w:r>
          </w:p>
        </w:tc>
        <w:tc>
          <w:tcPr>
            <w:tcW w:type="dxa" w:w="2160"/>
          </w:tcPr>
          <w:p>
            <w:r/>
            <w:r>
              <w:rPr>
                <w:sz w:val="18"/>
              </w:rPr>
              <w:t>–</w:t>
            </w:r>
          </w:p>
        </w:tc>
        <w:tc>
          <w:tcPr>
            <w:tcW w:type="dxa" w:w="2160"/>
          </w:tcPr>
          <w:p>
            <w:r/>
            <w:r>
              <w:rPr>
                <w:sz w:val="18"/>
              </w:rPr>
              <w:t>246,004</w:t>
            </w:r>
          </w:p>
        </w:tc>
      </w:tr>
      <w:tr>
        <w:tc>
          <w:tcPr>
            <w:tcW w:type="dxa" w:w="2160"/>
          </w:tcPr>
          <w:p>
            <w:r/>
            <w:r>
              <w:rPr>
                <w:sz w:val="18"/>
              </w:rPr>
              <w:t>2025</w:t>
            </w:r>
          </w:p>
        </w:tc>
        <w:tc>
          <w:tcPr>
            <w:tcW w:type="dxa" w:w="2160"/>
          </w:tcPr>
          <w:p>
            <w:r/>
            <w:r>
              <w:rPr>
                <w:sz w:val="18"/>
              </w:rPr>
              <w:t>690,497</w:t>
            </w:r>
          </w:p>
        </w:tc>
        <w:tc>
          <w:tcPr>
            <w:tcW w:type="dxa" w:w="2160"/>
          </w:tcPr>
          <w:p>
            <w:r/>
            <w:r>
              <w:rPr>
                <w:sz w:val="18"/>
              </w:rPr>
              <w:t>–</w:t>
            </w:r>
          </w:p>
        </w:tc>
        <w:tc>
          <w:tcPr>
            <w:tcW w:type="dxa" w:w="2160"/>
          </w:tcPr>
          <w:p>
            <w:r/>
            <w:r>
              <w:rPr>
                <w:sz w:val="18"/>
              </w:rPr>
              <w:t>690,497</w:t>
            </w:r>
          </w:p>
        </w:tc>
      </w:tr>
      <w:tr>
        <w:tc>
          <w:tcPr>
            <w:tcW w:type="dxa" w:w="2160"/>
          </w:tcPr>
          <w:p>
            <w:r/>
            <w:r>
              <w:rPr>
                <w:sz w:val="18"/>
              </w:rPr>
              <w:t>2026 (est.)</w:t>
            </w:r>
          </w:p>
        </w:tc>
        <w:tc>
          <w:tcPr>
            <w:tcW w:type="dxa" w:w="2160"/>
          </w:tcPr>
          <w:p>
            <w:r/>
            <w:r>
              <w:rPr>
                <w:sz w:val="18"/>
              </w:rPr>
              <w:t>–</w:t>
            </w:r>
          </w:p>
        </w:tc>
        <w:tc>
          <w:tcPr>
            <w:tcW w:type="dxa" w:w="2160"/>
          </w:tcPr>
          <w:p>
            <w:r/>
            <w:r>
              <w:rPr>
                <w:sz w:val="18"/>
              </w:rPr>
              <w:t>277,539</w:t>
            </w:r>
          </w:p>
        </w:tc>
        <w:tc>
          <w:tcPr>
            <w:tcW w:type="dxa" w:w="2160"/>
          </w:tcPr>
          <w:p>
            <w:r/>
            <w:r>
              <w:rPr>
                <w:sz w:val="18"/>
              </w:rPr>
              <w:t>277,539</w:t>
            </w:r>
          </w:p>
        </w:tc>
      </w:tr>
    </w:tbl>
    <w:p>
      <w:pPr>
        <w:spacing w:after="200"/>
      </w:pPr>
      <w:r>
        <w:rPr>
          <w:i/>
          <w:sz w:val="18"/>
        </w:rPr>
        <w:t>Table 3: Realized revenue from the two operational instruments (FX- and inflation-adjusted USD). Water &amp; sewer real CAGR 2021–2025 = 83.7% (≈11× real growth). Vacant-land surcharge from the 2026 tax roll (5,315 lots; ≈ARS 345 million). Source: municipal records and 2026 padrón; INDEC and official ARS/USD series.</w:t>
      </w:r>
    </w:p>
    <w:p>
      <w:pPr>
        <w:pStyle w:val="Heading2"/>
      </w:pPr>
      <w:r>
        <w:t>7.3 Ex-ante potential of the value-capture instruments</w:t>
      </w:r>
    </w:p>
    <w:p>
      <w:pPr>
        <w:spacing w:after="120" w:line="276" w:lineRule="auto"/>
      </w:pPr>
      <w:r>
        <w:t>The betterment levy is sized against the city’s real 2026 public-works programme (Table 4), which budgets about ARS 6.85 billion (USD 5.5 million) across ten municipally funded projects. We classify each by two attributes that matter here: its planning-priority weight (80 percent for priority-1 works, 20 percent for priority-2) and its environmental-adaptation impact. The latter is the point of the exercise. Works of high or medium-high environmental impact—the stormwater drainage inside the Ciudad de Luján centrality, the new green microplazas, the Tierra del Fuego boulevard, and the canal bridge that carries the metrotranvía connection—account for roughly ARS 4.7 billion, about 69 percent of the programme. A betterment levy that earmarks revenue to the adaptation fund is therefore recovering the cost of works that are, in the main, themselves adaptation.</w:t>
      </w:r>
    </w:p>
    <w:p>
      <w:pPr>
        <w:spacing w:after="120" w:line="276" w:lineRule="auto"/>
      </w:pPr>
      <w:r>
        <w:t>To size the levy, we apply the priority weights and set aside the network-level canal bridge, whose benefit is too diffuse to attribute to adjacent owners. That leaves a betterment-eligible, priority-weighted base of about ARS 3.49 billion (USD 2.81 million). Recovering 25 to 50 percent—within the ordinance’s ceilings (recovery may not exceed the increment, and aggregate betterment may not exceed half of assessed value)—yields roughly ARS 0.87–1.75 billion a year (USD 0.70–1.40 million).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ID</w:t>
            </w:r>
          </w:p>
        </w:tc>
        <w:tc>
          <w:tcPr>
            <w:tcW w:type="dxa" w:w="1728"/>
          </w:tcPr>
          <w:p>
            <w:r/>
            <w:r>
              <w:rPr>
                <w:b/>
                <w:sz w:val="18"/>
              </w:rPr>
              <w:t>Project</w:t>
            </w:r>
          </w:p>
        </w:tc>
        <w:tc>
          <w:tcPr>
            <w:tcW w:type="dxa" w:w="1728"/>
          </w:tcPr>
          <w:p>
            <w:r/>
            <w:r>
              <w:rPr>
                <w:b/>
                <w:sz w:val="18"/>
              </w:rPr>
              <w:t>Budget (ARS)</w:t>
            </w:r>
          </w:p>
        </w:tc>
        <w:tc>
          <w:tcPr>
            <w:tcW w:type="dxa" w:w="1728"/>
          </w:tcPr>
          <w:p>
            <w:r/>
            <w:r>
              <w:rPr>
                <w:b/>
                <w:sz w:val="18"/>
              </w:rPr>
              <w:t>Priority (EA)</w:t>
            </w:r>
          </w:p>
        </w:tc>
        <w:tc>
          <w:tcPr>
            <w:tcW w:type="dxa" w:w="1728"/>
          </w:tcPr>
          <w:p>
            <w:r/>
            <w:r>
              <w:rPr>
                <w:b/>
                <w:sz w:val="18"/>
              </w:rPr>
              <w:t>Env.–adaptation impact</w:t>
            </w:r>
          </w:p>
        </w:tc>
      </w:tr>
      <w:tr>
        <w:tc>
          <w:tcPr>
            <w:tcW w:type="dxa" w:w="1728"/>
          </w:tcPr>
          <w:p>
            <w:r/>
            <w:r>
              <w:rPr>
                <w:sz w:val="18"/>
              </w:rPr>
              <w:t>1274</w:t>
            </w:r>
          </w:p>
        </w:tc>
        <w:tc>
          <w:tcPr>
            <w:tcW w:type="dxa" w:w="1728"/>
          </w:tcPr>
          <w:p>
            <w:r/>
            <w:r>
              <w:rPr>
                <w:sz w:val="18"/>
              </w:rPr>
              <w:t>Cacique Guaymallén canal bridge (metrotranvía / San Martín, E–W)</w:t>
            </w:r>
          </w:p>
        </w:tc>
        <w:tc>
          <w:tcPr>
            <w:tcW w:type="dxa" w:w="1728"/>
          </w:tcPr>
          <w:p>
            <w:r/>
            <w:r>
              <w:rPr>
                <w:sz w:val="18"/>
              </w:rPr>
              <w:t>2,000,000,000</w:t>
            </w:r>
          </w:p>
        </w:tc>
        <w:tc>
          <w:tcPr>
            <w:tcW w:type="dxa" w:w="1728"/>
          </w:tcPr>
          <w:p>
            <w:r/>
            <w:r>
              <w:rPr>
                <w:sz w:val="18"/>
              </w:rPr>
              <w:t>1 (80%)</w:t>
            </w:r>
          </w:p>
        </w:tc>
        <w:tc>
          <w:tcPr>
            <w:tcW w:type="dxa" w:w="1728"/>
          </w:tcPr>
          <w:p>
            <w:r/>
            <w:r>
              <w:rPr>
                <w:sz w:val="18"/>
              </w:rPr>
              <w:t>Med–high (drainage + transit)</w:t>
            </w:r>
          </w:p>
        </w:tc>
      </w:tr>
      <w:tr>
        <w:tc>
          <w:tcPr>
            <w:tcW w:type="dxa" w:w="1728"/>
          </w:tcPr>
          <w:p>
            <w:r/>
            <w:r>
              <w:rPr>
                <w:sz w:val="18"/>
              </w:rPr>
              <w:t>395</w:t>
            </w:r>
          </w:p>
        </w:tc>
        <w:tc>
          <w:tcPr>
            <w:tcW w:type="dxa" w:w="1728"/>
          </w:tcPr>
          <w:p>
            <w:r/>
            <w:r>
              <w:rPr>
                <w:sz w:val="18"/>
              </w:rPr>
              <w:t>Centrality, Ciudad de Luján (incl. aluvional drainage)</w:t>
            </w:r>
          </w:p>
        </w:tc>
        <w:tc>
          <w:tcPr>
            <w:tcW w:type="dxa" w:w="1728"/>
          </w:tcPr>
          <w:p>
            <w:r/>
            <w:r>
              <w:rPr>
                <w:sz w:val="18"/>
              </w:rPr>
              <w:t>1,500,000,000</w:t>
            </w:r>
          </w:p>
        </w:tc>
        <w:tc>
          <w:tcPr>
            <w:tcW w:type="dxa" w:w="1728"/>
          </w:tcPr>
          <w:p>
            <w:r/>
            <w:r>
              <w:rPr>
                <w:sz w:val="18"/>
              </w:rPr>
              <w:t>1 (80%)</w:t>
            </w:r>
          </w:p>
        </w:tc>
        <w:tc>
          <w:tcPr>
            <w:tcW w:type="dxa" w:w="1728"/>
          </w:tcPr>
          <w:p>
            <w:r/>
            <w:r>
              <w:rPr>
                <w:sz w:val="18"/>
              </w:rPr>
              <w:t>High (flood drainage + mobility)</w:t>
            </w:r>
          </w:p>
        </w:tc>
      </w:tr>
      <w:tr>
        <w:tc>
          <w:tcPr>
            <w:tcW w:type="dxa" w:w="1728"/>
          </w:tcPr>
          <w:p>
            <w:r/>
            <w:r>
              <w:rPr>
                <w:sz w:val="18"/>
              </w:rPr>
              <w:t>773</w:t>
            </w:r>
          </w:p>
        </w:tc>
        <w:tc>
          <w:tcPr>
            <w:tcW w:type="dxa" w:w="1728"/>
          </w:tcPr>
          <w:p>
            <w:r/>
            <w:r>
              <w:rPr>
                <w:sz w:val="18"/>
              </w:rPr>
              <w:t>Saenz Peña–La Carrodilla / Ruta 15 centrality</w:t>
            </w:r>
          </w:p>
        </w:tc>
        <w:tc>
          <w:tcPr>
            <w:tcW w:type="dxa" w:w="1728"/>
          </w:tcPr>
          <w:p>
            <w:r/>
            <w:r>
              <w:rPr>
                <w:sz w:val="18"/>
              </w:rPr>
              <w:t>1,500,000,000</w:t>
            </w:r>
          </w:p>
        </w:tc>
        <w:tc>
          <w:tcPr>
            <w:tcW w:type="dxa" w:w="1728"/>
          </w:tcPr>
          <w:p>
            <w:r/>
            <w:r>
              <w:rPr>
                <w:sz w:val="18"/>
              </w:rPr>
              <w:t>1 (80%)</w:t>
            </w:r>
          </w:p>
        </w:tc>
        <w:tc>
          <w:tcPr>
            <w:tcW w:type="dxa" w:w="1728"/>
          </w:tcPr>
          <w:p>
            <w:r/>
            <w:r>
              <w:rPr>
                <w:sz w:val="18"/>
              </w:rPr>
              <w:t>Medium</w:t>
            </w:r>
          </w:p>
        </w:tc>
      </w:tr>
      <w:tr>
        <w:tc>
          <w:tcPr>
            <w:tcW w:type="dxa" w:w="1728"/>
          </w:tcPr>
          <w:p>
            <w:r/>
            <w:r>
              <w:rPr>
                <w:sz w:val="18"/>
              </w:rPr>
              <w:t>865</w:t>
            </w:r>
          </w:p>
        </w:tc>
        <w:tc>
          <w:tcPr>
            <w:tcW w:type="dxa" w:w="1728"/>
          </w:tcPr>
          <w:p>
            <w:r/>
            <w:r>
              <w:rPr>
                <w:sz w:val="18"/>
              </w:rPr>
              <w:t>Microplazas (≈10 of 20)</w:t>
            </w:r>
          </w:p>
        </w:tc>
        <w:tc>
          <w:tcPr>
            <w:tcW w:type="dxa" w:w="1728"/>
          </w:tcPr>
          <w:p>
            <w:r/>
            <w:r>
              <w:rPr>
                <w:sz w:val="18"/>
              </w:rPr>
              <w:t>1,200,000,000</w:t>
            </w:r>
          </w:p>
        </w:tc>
        <w:tc>
          <w:tcPr>
            <w:tcW w:type="dxa" w:w="1728"/>
          </w:tcPr>
          <w:p>
            <w:r/>
            <w:r>
              <w:rPr>
                <w:sz w:val="18"/>
              </w:rPr>
              <w:t>1 (80%)</w:t>
            </w:r>
          </w:p>
        </w:tc>
        <w:tc>
          <w:tcPr>
            <w:tcW w:type="dxa" w:w="1728"/>
          </w:tcPr>
          <w:p>
            <w:r/>
            <w:r>
              <w:rPr>
                <w:sz w:val="18"/>
              </w:rPr>
              <w:t>High (green space)</w:t>
            </w:r>
          </w:p>
        </w:tc>
      </w:tr>
      <w:tr>
        <w:tc>
          <w:tcPr>
            <w:tcW w:type="dxa" w:w="1728"/>
          </w:tcPr>
          <w:p>
            <w:r/>
            <w:r>
              <w:rPr>
                <w:sz w:val="18"/>
              </w:rPr>
              <w:t>993</w:t>
            </w:r>
          </w:p>
        </w:tc>
        <w:tc>
          <w:tcPr>
            <w:tcW w:type="dxa" w:w="1728"/>
          </w:tcPr>
          <w:p>
            <w:r/>
            <w:r>
              <w:rPr>
                <w:sz w:val="18"/>
              </w:rPr>
              <w:t>Speed reducers / safe crossings</w:t>
            </w:r>
          </w:p>
        </w:tc>
        <w:tc>
          <w:tcPr>
            <w:tcW w:type="dxa" w:w="1728"/>
          </w:tcPr>
          <w:p>
            <w:r/>
            <w:r>
              <w:rPr>
                <w:sz w:val="18"/>
              </w:rPr>
              <w:t>350,000,000</w:t>
            </w:r>
          </w:p>
        </w:tc>
        <w:tc>
          <w:tcPr>
            <w:tcW w:type="dxa" w:w="1728"/>
          </w:tcPr>
          <w:p>
            <w:r/>
            <w:r>
              <w:rPr>
                <w:sz w:val="18"/>
              </w:rPr>
              <w:t>2 (20%)</w:t>
            </w:r>
          </w:p>
        </w:tc>
        <w:tc>
          <w:tcPr>
            <w:tcW w:type="dxa" w:w="1728"/>
          </w:tcPr>
          <w:p>
            <w:r/>
            <w:r>
              <w:rPr>
                <w:sz w:val="18"/>
              </w:rPr>
              <w:t>Low</w:t>
            </w:r>
          </w:p>
        </w:tc>
      </w:tr>
      <w:tr>
        <w:tc>
          <w:tcPr>
            <w:tcW w:type="dxa" w:w="1728"/>
          </w:tcPr>
          <w:p>
            <w:r/>
            <w:r>
              <w:rPr>
                <w:sz w:val="18"/>
              </w:rPr>
              <w:t>994</w:t>
            </w:r>
          </w:p>
        </w:tc>
        <w:tc>
          <w:tcPr>
            <w:tcW w:type="dxa" w:w="1728"/>
          </w:tcPr>
          <w:p>
            <w:r/>
            <w:r>
              <w:rPr>
                <w:sz w:val="18"/>
              </w:rPr>
              <w:t>Secure monitored infrastructure points (5 stops)</w:t>
            </w:r>
          </w:p>
        </w:tc>
        <w:tc>
          <w:tcPr>
            <w:tcW w:type="dxa" w:w="1728"/>
          </w:tcPr>
          <w:p>
            <w:r/>
            <w:r>
              <w:rPr>
                <w:sz w:val="18"/>
              </w:rPr>
              <w:t>200,000,000</w:t>
            </w:r>
          </w:p>
        </w:tc>
        <w:tc>
          <w:tcPr>
            <w:tcW w:type="dxa" w:w="1728"/>
          </w:tcPr>
          <w:p>
            <w:r/>
            <w:r>
              <w:rPr>
                <w:sz w:val="18"/>
              </w:rPr>
              <w:t>2 (20%)</w:t>
            </w:r>
          </w:p>
        </w:tc>
        <w:tc>
          <w:tcPr>
            <w:tcW w:type="dxa" w:w="1728"/>
          </w:tcPr>
          <w:p>
            <w:r/>
            <w:r>
              <w:rPr>
                <w:sz w:val="18"/>
              </w:rPr>
              <w:t>Low</w:t>
            </w:r>
          </w:p>
        </w:tc>
      </w:tr>
      <w:tr>
        <w:tc>
          <w:tcPr>
            <w:tcW w:type="dxa" w:w="1728"/>
          </w:tcPr>
          <w:p>
            <w:r/>
            <w:r>
              <w:rPr>
                <w:sz w:val="18"/>
              </w:rPr>
              <w:t>464</w:t>
            </w:r>
          </w:p>
        </w:tc>
        <w:tc>
          <w:tcPr>
            <w:tcW w:type="dxa" w:w="1728"/>
          </w:tcPr>
          <w:p>
            <w:r/>
            <w:r>
              <w:rPr>
                <w:sz w:val="18"/>
              </w:rPr>
              <w:t>Connected bus shelters</w:t>
            </w:r>
          </w:p>
        </w:tc>
        <w:tc>
          <w:tcPr>
            <w:tcW w:type="dxa" w:w="1728"/>
          </w:tcPr>
          <w:p>
            <w:r/>
            <w:r>
              <w:rPr>
                <w:sz w:val="18"/>
              </w:rPr>
              <w:t>33,750,000</w:t>
            </w:r>
          </w:p>
        </w:tc>
        <w:tc>
          <w:tcPr>
            <w:tcW w:type="dxa" w:w="1728"/>
          </w:tcPr>
          <w:p>
            <w:r/>
            <w:r>
              <w:rPr>
                <w:sz w:val="18"/>
              </w:rPr>
              <w:t>2 (20%)</w:t>
            </w:r>
          </w:p>
        </w:tc>
        <w:tc>
          <w:tcPr>
            <w:tcW w:type="dxa" w:w="1728"/>
          </w:tcPr>
          <w:p>
            <w:r/>
            <w:r>
              <w:rPr>
                <w:sz w:val="18"/>
              </w:rPr>
              <w:t>Medium (transit)</w:t>
            </w:r>
          </w:p>
        </w:tc>
      </w:tr>
      <w:tr>
        <w:tc>
          <w:tcPr>
            <w:tcW w:type="dxa" w:w="1728"/>
          </w:tcPr>
          <w:p>
            <w:r/>
            <w:r>
              <w:rPr>
                <w:sz w:val="18"/>
              </w:rPr>
              <w:t>452</w:t>
            </w:r>
          </w:p>
        </w:tc>
        <w:tc>
          <w:tcPr>
            <w:tcW w:type="dxa" w:w="1728"/>
          </w:tcPr>
          <w:p>
            <w:r/>
            <w:r>
              <w:rPr>
                <w:sz w:val="18"/>
              </w:rPr>
              <w:t>Sidewalks Zapiola &amp; Pueyrredón (1,750 m)</w:t>
            </w:r>
          </w:p>
        </w:tc>
        <w:tc>
          <w:tcPr>
            <w:tcW w:type="dxa" w:w="1728"/>
          </w:tcPr>
          <w:p>
            <w:r/>
            <w:r>
              <w:rPr>
                <w:sz w:val="18"/>
              </w:rPr>
              <w:t>30,562,500</w:t>
            </w:r>
          </w:p>
        </w:tc>
        <w:tc>
          <w:tcPr>
            <w:tcW w:type="dxa" w:w="1728"/>
          </w:tcPr>
          <w:p>
            <w:r/>
            <w:r>
              <w:rPr>
                <w:sz w:val="18"/>
              </w:rPr>
              <w:t>2 (20%)</w:t>
            </w:r>
          </w:p>
        </w:tc>
        <w:tc>
          <w:tcPr>
            <w:tcW w:type="dxa" w:w="1728"/>
          </w:tcPr>
          <w:p>
            <w:r/>
            <w:r>
              <w:rPr>
                <w:sz w:val="18"/>
              </w:rPr>
              <w:t>Medium (walkability)</w:t>
            </w:r>
          </w:p>
        </w:tc>
      </w:tr>
      <w:tr>
        <w:tc>
          <w:tcPr>
            <w:tcW w:type="dxa" w:w="1728"/>
          </w:tcPr>
          <w:p>
            <w:r/>
            <w:r>
              <w:rPr>
                <w:sz w:val="18"/>
              </w:rPr>
              <w:t>575</w:t>
            </w:r>
          </w:p>
        </w:tc>
        <w:tc>
          <w:tcPr>
            <w:tcW w:type="dxa" w:w="1728"/>
          </w:tcPr>
          <w:p>
            <w:r/>
            <w:r>
              <w:rPr>
                <w:sz w:val="18"/>
              </w:rPr>
              <w:t>Boulevard Tierra del Fuego (400 m)</w:t>
            </w:r>
          </w:p>
        </w:tc>
        <w:tc>
          <w:tcPr>
            <w:tcW w:type="dxa" w:w="1728"/>
          </w:tcPr>
          <w:p>
            <w:r/>
            <w:r>
              <w:rPr>
                <w:sz w:val="18"/>
              </w:rPr>
              <w:t>24,570,000</w:t>
            </w:r>
          </w:p>
        </w:tc>
        <w:tc>
          <w:tcPr>
            <w:tcW w:type="dxa" w:w="1728"/>
          </w:tcPr>
          <w:p>
            <w:r/>
            <w:r>
              <w:rPr>
                <w:sz w:val="18"/>
              </w:rPr>
              <w:t>2 (20%)</w:t>
            </w:r>
          </w:p>
        </w:tc>
        <w:tc>
          <w:tcPr>
            <w:tcW w:type="dxa" w:w="1728"/>
          </w:tcPr>
          <w:p>
            <w:r/>
            <w:r>
              <w:rPr>
                <w:sz w:val="18"/>
              </w:rPr>
              <w:t>Med–high (green corridor)</w:t>
            </w:r>
          </w:p>
        </w:tc>
      </w:tr>
      <w:tr>
        <w:tc>
          <w:tcPr>
            <w:tcW w:type="dxa" w:w="1728"/>
          </w:tcPr>
          <w:p>
            <w:r/>
            <w:r>
              <w:rPr>
                <w:sz w:val="18"/>
              </w:rPr>
              <w:t>463</w:t>
            </w:r>
          </w:p>
        </w:tc>
        <w:tc>
          <w:tcPr>
            <w:tcW w:type="dxa" w:w="1728"/>
          </w:tcPr>
          <w:p>
            <w:r/>
            <w:r>
              <w:rPr>
                <w:sz w:val="18"/>
              </w:rPr>
              <w:t>Polideportivo sidewalk (600 m)</w:t>
            </w:r>
          </w:p>
        </w:tc>
        <w:tc>
          <w:tcPr>
            <w:tcW w:type="dxa" w:w="1728"/>
          </w:tcPr>
          <w:p>
            <w:r/>
            <w:r>
              <w:rPr>
                <w:sz w:val="18"/>
              </w:rPr>
              <w:t>15,000,000</w:t>
            </w:r>
          </w:p>
        </w:tc>
        <w:tc>
          <w:tcPr>
            <w:tcW w:type="dxa" w:w="1728"/>
          </w:tcPr>
          <w:p>
            <w:r/>
            <w:r>
              <w:rPr>
                <w:sz w:val="18"/>
              </w:rPr>
              <w:t>2 (20%)</w:t>
            </w:r>
          </w:p>
        </w:tc>
        <w:tc>
          <w:tcPr>
            <w:tcW w:type="dxa" w:w="1728"/>
          </w:tcPr>
          <w:p>
            <w:r/>
            <w:r>
              <w:rPr>
                <w:sz w:val="18"/>
              </w:rPr>
              <w:t>Medium</w:t>
            </w:r>
          </w:p>
        </w:tc>
      </w:tr>
      <w:tr>
        <w:tc>
          <w:tcPr>
            <w:tcW w:type="dxa" w:w="1728"/>
          </w:tcPr>
          <w:p>
            <w:r/>
            <w:r>
              <w:rPr>
                <w:sz w:val="18"/>
              </w:rPr>
            </w:r>
          </w:p>
        </w:tc>
        <w:tc>
          <w:tcPr>
            <w:tcW w:type="dxa" w:w="1728"/>
          </w:tcPr>
          <w:p>
            <w:r/>
            <w:r>
              <w:rPr>
                <w:sz w:val="18"/>
              </w:rPr>
              <w:t>Total funded programme</w:t>
            </w:r>
          </w:p>
        </w:tc>
        <w:tc>
          <w:tcPr>
            <w:tcW w:type="dxa" w:w="1728"/>
          </w:tcPr>
          <w:p>
            <w:r/>
            <w:r>
              <w:rPr>
                <w:sz w:val="18"/>
              </w:rPr>
              <w:t>6,853,882,500</w:t>
            </w:r>
          </w:p>
        </w:tc>
        <w:tc>
          <w:tcPr>
            <w:tcW w:type="dxa" w:w="1728"/>
          </w:tcPr>
          <w:p>
            <w:r/>
            <w:r>
              <w:rPr>
                <w:sz w:val="18"/>
              </w:rPr>
            </w:r>
          </w:p>
        </w:tc>
        <w:tc>
          <w:tcPr>
            <w:tcW w:type="dxa" w:w="1728"/>
          </w:tcPr>
          <w:p>
            <w:r/>
            <w:r>
              <w:rPr>
                <w:sz w:val="18"/>
              </w:rPr>
            </w:r>
          </w:p>
        </w:tc>
      </w:tr>
      <w:tr>
        <w:tc>
          <w:tcPr>
            <w:tcW w:type="dxa" w:w="1728"/>
          </w:tcPr>
          <w:p>
            <w:r/>
            <w:r>
              <w:rPr>
                <w:sz w:val="18"/>
              </w:rPr>
            </w:r>
          </w:p>
        </w:tc>
        <w:tc>
          <w:tcPr>
            <w:tcW w:type="dxa" w:w="1728"/>
          </w:tcPr>
          <w:p>
            <w:r/>
            <w:r>
              <w:rPr>
                <w:sz w:val="18"/>
              </w:rPr>
              <w:t>Adaptation-relevant (high / med–high impact)</w:t>
            </w:r>
          </w:p>
        </w:tc>
        <w:tc>
          <w:tcPr>
            <w:tcW w:type="dxa" w:w="1728"/>
          </w:tcPr>
          <w:p>
            <w:r/>
            <w:r>
              <w:rPr>
                <w:sz w:val="18"/>
              </w:rPr>
              <w:t>4,724,570,000</w:t>
            </w:r>
          </w:p>
        </w:tc>
        <w:tc>
          <w:tcPr>
            <w:tcW w:type="dxa" w:w="1728"/>
          </w:tcPr>
          <w:p>
            <w:r/>
            <w:r>
              <w:rPr>
                <w:sz w:val="18"/>
              </w:rPr>
              <w:t>≈69%</w:t>
            </w:r>
          </w:p>
        </w:tc>
        <w:tc>
          <w:tcPr>
            <w:tcW w:type="dxa" w:w="1728"/>
          </w:tcPr>
          <w:p>
            <w:r/>
            <w:r>
              <w:rPr>
                <w:sz w:val="18"/>
              </w:rPr>
            </w:r>
          </w:p>
        </w:tc>
      </w:tr>
      <w:tr>
        <w:tc>
          <w:tcPr>
            <w:tcW w:type="dxa" w:w="1728"/>
          </w:tcPr>
          <w:p>
            <w:r/>
            <w:r>
              <w:rPr>
                <w:sz w:val="18"/>
              </w:rPr>
            </w:r>
          </w:p>
        </w:tc>
        <w:tc>
          <w:tcPr>
            <w:tcW w:type="dxa" w:w="1728"/>
          </w:tcPr>
          <w:p>
            <w:r/>
            <w:r>
              <w:rPr>
                <w:sz w:val="18"/>
              </w:rPr>
              <w:t>Betterment-eligible, priority-weighted (excl. ID 1274)</w:t>
            </w:r>
          </w:p>
        </w:tc>
        <w:tc>
          <w:tcPr>
            <w:tcW w:type="dxa" w:w="1728"/>
          </w:tcPr>
          <w:p>
            <w:r/>
            <w:r>
              <w:rPr>
                <w:sz w:val="18"/>
              </w:rPr>
              <w:t>3,490,776,500</w:t>
            </w:r>
          </w:p>
        </w:tc>
        <w:tc>
          <w:tcPr>
            <w:tcW w:type="dxa" w:w="1728"/>
          </w:tcPr>
          <w:p>
            <w:r/>
            <w:r>
              <w:rPr>
                <w:sz w:val="18"/>
              </w:rPr>
            </w:r>
          </w:p>
        </w:tc>
        <w:tc>
          <w:tcPr>
            <w:tcW w:type="dxa" w:w="1728"/>
          </w:tcPr>
          <w:p>
            <w:r/>
            <w:r>
              <w:rPr>
                <w:sz w:val="18"/>
              </w:rPr>
            </w:r>
          </w:p>
        </w:tc>
      </w:tr>
    </w:tbl>
    <w:p>
      <w:pPr>
        <w:spacing w:after="200"/>
      </w:pPr>
      <w:r>
        <w:rPr>
          <w:i/>
          <w:sz w:val="18"/>
        </w:rPr>
        <w:t>Table 4: The municipally funded 2026 public-works programme—the betterment-levy base—by planning priority and environmental-adaptation impact. Seven further projects (bike lanes, repaving) sit in the operating budget. Source: Plan de Obras, “Obras y Espacios Públicos — Proyectos a ejecutar 2026.”</w:t>
      </w:r>
    </w:p>
    <w:p>
      <w:pPr>
        <w:spacing w:after="120" w:line="276" w:lineRule="auto"/>
      </w:pPr>
      <w:r>
        <w:t>Some works are the province’s, not the city’s—chiefly a new Río Mendoza bridge and two Acceso Sur pedestrian overpasses (Table 5). The municipality cannot levy betterment on works it does not finance, so these are excluded from the base; we list them because they reshape corridor accessibility and, with it, the land-value gradient the other instruments tax.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ID</w:t>
            </w:r>
          </w:p>
        </w:tc>
        <w:tc>
          <w:tcPr>
            <w:tcW w:type="dxa" w:w="2160"/>
          </w:tcPr>
          <w:p>
            <w:r/>
            <w:r>
              <w:rPr>
                <w:b/>
                <w:sz w:val="18"/>
              </w:rPr>
              <w:t>Project</w:t>
            </w:r>
          </w:p>
        </w:tc>
        <w:tc>
          <w:tcPr>
            <w:tcW w:type="dxa" w:w="2160"/>
          </w:tcPr>
          <w:p>
            <w:r/>
            <w:r>
              <w:rPr>
                <w:b/>
                <w:sz w:val="18"/>
              </w:rPr>
              <w:t>Executing body</w:t>
            </w:r>
          </w:p>
        </w:tc>
        <w:tc>
          <w:tcPr>
            <w:tcW w:type="dxa" w:w="2160"/>
          </w:tcPr>
          <w:p>
            <w:r/>
            <w:r>
              <w:rPr>
                <w:b/>
                <w:sz w:val="18"/>
              </w:rPr>
              <w:t>Env.–adaptation impact</w:t>
            </w:r>
          </w:p>
        </w:tc>
      </w:tr>
      <w:tr>
        <w:tc>
          <w:tcPr>
            <w:tcW w:type="dxa" w:w="2160"/>
          </w:tcPr>
          <w:p>
            <w:r/>
            <w:r>
              <w:rPr>
                <w:sz w:val="18"/>
              </w:rPr>
              <w:t>466</w:t>
            </w:r>
          </w:p>
        </w:tc>
        <w:tc>
          <w:tcPr>
            <w:tcW w:type="dxa" w:w="2160"/>
          </w:tcPr>
          <w:p>
            <w:r/>
            <w:r>
              <w:rPr>
                <w:sz w:val="18"/>
              </w:rPr>
              <w:t>Nuevo Puente Río Mendoza + Ciclovía San Martín</w:t>
            </w:r>
          </w:p>
        </w:tc>
        <w:tc>
          <w:tcPr>
            <w:tcW w:type="dxa" w:w="2160"/>
          </w:tcPr>
          <w:p>
            <w:r/>
            <w:r>
              <w:rPr>
                <w:sz w:val="18"/>
              </w:rPr>
              <w:t>Province (DPV)</w:t>
            </w:r>
          </w:p>
        </w:tc>
        <w:tc>
          <w:tcPr>
            <w:tcW w:type="dxa" w:w="2160"/>
          </w:tcPr>
          <w:p>
            <w:r/>
            <w:r>
              <w:rPr>
                <w:sz w:val="18"/>
              </w:rPr>
              <w:t>Medium (connectivity + bike lane)</w:t>
            </w:r>
          </w:p>
        </w:tc>
      </w:tr>
      <w:tr>
        <w:tc>
          <w:tcPr>
            <w:tcW w:type="dxa" w:w="2160"/>
          </w:tcPr>
          <w:p>
            <w:r/>
            <w:r>
              <w:rPr>
                <w:sz w:val="18"/>
              </w:rPr>
              <w:t>467</w:t>
            </w:r>
          </w:p>
        </w:tc>
        <w:tc>
          <w:tcPr>
            <w:tcW w:type="dxa" w:w="2160"/>
          </w:tcPr>
          <w:p>
            <w:r/>
            <w:r>
              <w:rPr>
                <w:sz w:val="18"/>
              </w:rPr>
              <w:t>Pedestrian overpass — Acceso Sur &amp; Malabia</w:t>
            </w:r>
          </w:p>
        </w:tc>
        <w:tc>
          <w:tcPr>
            <w:tcW w:type="dxa" w:w="2160"/>
          </w:tcPr>
          <w:p>
            <w:r/>
            <w:r>
              <w:rPr>
                <w:sz w:val="18"/>
              </w:rPr>
              <w:t>Province</w:t>
            </w:r>
          </w:p>
        </w:tc>
        <w:tc>
          <w:tcPr>
            <w:tcW w:type="dxa" w:w="2160"/>
          </w:tcPr>
          <w:p>
            <w:r/>
            <w:r>
              <w:rPr>
                <w:sz w:val="18"/>
              </w:rPr>
              <w:t>Low–medium (safe crossing)</w:t>
            </w:r>
          </w:p>
        </w:tc>
      </w:tr>
      <w:tr>
        <w:tc>
          <w:tcPr>
            <w:tcW w:type="dxa" w:w="2160"/>
          </w:tcPr>
          <w:p>
            <w:r/>
            <w:r>
              <w:rPr>
                <w:sz w:val="18"/>
              </w:rPr>
              <w:t>468</w:t>
            </w:r>
          </w:p>
        </w:tc>
        <w:tc>
          <w:tcPr>
            <w:tcW w:type="dxa" w:w="2160"/>
          </w:tcPr>
          <w:p>
            <w:r/>
            <w:r>
              <w:rPr>
                <w:sz w:val="18"/>
              </w:rPr>
              <w:t>Pedestrian overpass — Acceso Sur &amp; Castro Barros</w:t>
            </w:r>
          </w:p>
        </w:tc>
        <w:tc>
          <w:tcPr>
            <w:tcW w:type="dxa" w:w="2160"/>
          </w:tcPr>
          <w:p>
            <w:r/>
            <w:r>
              <w:rPr>
                <w:sz w:val="18"/>
              </w:rPr>
              <w:t>Province</w:t>
            </w:r>
          </w:p>
        </w:tc>
        <w:tc>
          <w:tcPr>
            <w:tcW w:type="dxa" w:w="2160"/>
          </w:tcPr>
          <w:p>
            <w:r/>
            <w:r>
              <w:rPr>
                <w:sz w:val="18"/>
              </w:rPr>
              <w:t>Low–medium (safe crossing)</w:t>
            </w:r>
          </w:p>
        </w:tc>
      </w:tr>
    </w:tbl>
    <w:p>
      <w:pPr>
        <w:spacing w:after="200"/>
      </w:pPr>
      <w:r>
        <w:rPr>
          <w:i/>
          <w:sz w:val="18"/>
        </w:rPr>
        <w:t>Table 5: Works financed or executed by the Province of Mendoza—listed separately and excluded from the municipal betterment base.</w:t>
      </w:r>
    </w:p>
    <w:p>
      <w:pPr>
        <w:spacing w:after="120" w:line="276" w:lineRule="auto"/>
      </w:pPr>
      <w:r>
        <w:t>The development-rights and differential-rent instruments are aimed at the places the city means to densify (Table 6): the metrotranvía / San Martín transit corridor and the centralities of Ciudad de Luján and La Carrodilla–Mayor Drummond, which coincide with the priority urban voids carrying the 200-percent vacant-land surcharge. The same places where idle land is most penalised are where building rights are sold and rezoning value captured—one spatial signal, not three.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Densification zone</w:t>
            </w:r>
          </w:p>
        </w:tc>
        <w:tc>
          <w:tcPr>
            <w:tcW w:type="dxa" w:w="2160"/>
          </w:tcPr>
          <w:p>
            <w:r/>
            <w:r>
              <w:rPr>
                <w:b/>
                <w:sz w:val="18"/>
              </w:rPr>
              <w:t>Type</w:t>
            </w:r>
          </w:p>
        </w:tc>
        <w:tc>
          <w:tcPr>
            <w:tcW w:type="dxa" w:w="2160"/>
          </w:tcPr>
          <w:p>
            <w:r/>
            <w:r>
              <w:rPr>
                <w:b/>
                <w:sz w:val="18"/>
              </w:rPr>
              <w:t>Instruments</w:t>
            </w:r>
          </w:p>
        </w:tc>
        <w:tc>
          <w:tcPr>
            <w:tcW w:type="dxa" w:w="2160"/>
          </w:tcPr>
          <w:p>
            <w:r/>
            <w:r>
              <w:rPr>
                <w:b/>
                <w:sz w:val="18"/>
              </w:rPr>
              <w:t>Adaptation / spatial link</w:t>
            </w:r>
          </w:p>
        </w:tc>
      </w:tr>
      <w:tr>
        <w:tc>
          <w:tcPr>
            <w:tcW w:type="dxa" w:w="2160"/>
          </w:tcPr>
          <w:p>
            <w:r/>
            <w:r>
              <w:rPr>
                <w:sz w:val="18"/>
              </w:rPr>
              <w:t>Metrotranvía / San Martín corridor</w:t>
            </w:r>
          </w:p>
        </w:tc>
        <w:tc>
          <w:tcPr>
            <w:tcW w:type="dxa" w:w="2160"/>
          </w:tcPr>
          <w:p>
            <w:r/>
            <w:r>
              <w:rPr>
                <w:sz w:val="18"/>
              </w:rPr>
              <w:t>Transit corridor</w:t>
            </w:r>
          </w:p>
        </w:tc>
        <w:tc>
          <w:tcPr>
            <w:tcW w:type="dxa" w:w="2160"/>
          </w:tcPr>
          <w:p>
            <w:r/>
            <w:r>
              <w:rPr>
                <w:sz w:val="18"/>
              </w:rPr>
              <w:t>Suelo Creado, PVA</w:t>
            </w:r>
          </w:p>
        </w:tc>
        <w:tc>
          <w:tcPr>
            <w:tcW w:type="dxa" w:w="2160"/>
          </w:tcPr>
          <w:p>
            <w:r/>
            <w:r>
              <w:rPr>
                <w:sz w:val="18"/>
              </w:rPr>
              <w:t>TOD; low-carbon mobility (ID 1274)</w:t>
            </w:r>
          </w:p>
        </w:tc>
      </w:tr>
      <w:tr>
        <w:tc>
          <w:tcPr>
            <w:tcW w:type="dxa" w:w="2160"/>
          </w:tcPr>
          <w:p>
            <w:r/>
            <w:r>
              <w:rPr>
                <w:sz w:val="18"/>
              </w:rPr>
              <w:t>Ciudad de Luján centrality</w:t>
            </w:r>
          </w:p>
        </w:tc>
        <w:tc>
          <w:tcPr>
            <w:tcW w:type="dxa" w:w="2160"/>
          </w:tcPr>
          <w:p>
            <w:r/>
            <w:r>
              <w:rPr>
                <w:sz w:val="18"/>
              </w:rPr>
              <w:t>Urban centrality</w:t>
            </w:r>
          </w:p>
        </w:tc>
        <w:tc>
          <w:tcPr>
            <w:tcW w:type="dxa" w:w="2160"/>
          </w:tcPr>
          <w:p>
            <w:r/>
            <w:r>
              <w:rPr>
                <w:sz w:val="18"/>
              </w:rPr>
              <w:t>Suelo Creado, PVA; vacant-land +200%</w:t>
            </w:r>
          </w:p>
        </w:tc>
        <w:tc>
          <w:tcPr>
            <w:tcW w:type="dxa" w:w="2160"/>
          </w:tcPr>
          <w:p>
            <w:r/>
            <w:r>
              <w:rPr>
                <w:sz w:val="18"/>
              </w:rPr>
              <w:t>Compact infill; drainage (ID 395)</w:t>
            </w:r>
          </w:p>
        </w:tc>
      </w:tr>
      <w:tr>
        <w:tc>
          <w:tcPr>
            <w:tcW w:type="dxa" w:w="2160"/>
          </w:tcPr>
          <w:p>
            <w:r/>
            <w:r>
              <w:rPr>
                <w:sz w:val="18"/>
              </w:rPr>
              <w:t>La Carrodilla–Mayor Drummond</w:t>
            </w:r>
          </w:p>
        </w:tc>
        <w:tc>
          <w:tcPr>
            <w:tcW w:type="dxa" w:w="2160"/>
          </w:tcPr>
          <w:p>
            <w:r/>
            <w:r>
              <w:rPr>
                <w:sz w:val="18"/>
              </w:rPr>
              <w:t>Centrality / priority infill</w:t>
            </w:r>
          </w:p>
        </w:tc>
        <w:tc>
          <w:tcPr>
            <w:tcW w:type="dxa" w:w="2160"/>
          </w:tcPr>
          <w:p>
            <w:r/>
            <w:r>
              <w:rPr>
                <w:sz w:val="18"/>
              </w:rPr>
              <w:t>Suelo Creado, PVA; vacant-land +200%</w:t>
            </w:r>
          </w:p>
        </w:tc>
        <w:tc>
          <w:tcPr>
            <w:tcW w:type="dxa" w:w="2160"/>
          </w:tcPr>
          <w:p>
            <w:r/>
            <w:r>
              <w:rPr>
                <w:sz w:val="18"/>
              </w:rPr>
              <w:t>Centrality (ID 773); urban voids</w:t>
            </w:r>
          </w:p>
        </w:tc>
      </w:tr>
    </w:tbl>
    <w:p>
      <w:pPr>
        <w:spacing w:after="200"/>
      </w:pPr>
      <w:r>
        <w:rPr>
          <w:i/>
          <w:sz w:val="18"/>
        </w:rPr>
        <w:t>Table 6: Priority densification zones where the development-rights and differential-rent instruments apply.</w:t>
      </w:r>
    </w:p>
    <w:p>
      <w:pPr>
        <w:spacing w:after="120" w:line="276" w:lineRule="auto"/>
      </w:pPr>
      <w:r>
        <w:t>What gives these instruments their base is no longer a guess but the city’s new buildability code. The draft COS 2026 replaces a single height limit with two lines: a base of 10 metres (13 in ZCM6), buildable without instruments, and a maximum of 36 metres reached only by purchasing additional building rights (Suelo Creado) or through rent capture—about 8.7 extra floors. Across the seven affected zones (4,491 hectares, with floor-area coverage of 75–90 percent), this opens a ceiling near 295 million m² of additional buildable area (Table 7). That ceiling is a theoretical maximum—it assumes every owner buys the full increment—so revenue depends on annual take-up, which is demand-constrained and will absorb only a sliver of the ceiling each year. We model take-up of 20,000 m²/yr (Low), 50,000 (Base), and 80,000 (High)—under 0.03 percent of the ceiling annually—split evenly between the two instruments.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Zone</w:t>
            </w:r>
          </w:p>
        </w:tc>
        <w:tc>
          <w:tcPr>
            <w:tcW w:type="dxa" w:w="1728"/>
          </w:tcPr>
          <w:p>
            <w:r/>
            <w:r>
              <w:rPr>
                <w:b/>
                <w:sz w:val="18"/>
              </w:rPr>
              <w:t>Area 2022 (ha)</w:t>
            </w:r>
          </w:p>
        </w:tc>
        <w:tc>
          <w:tcPr>
            <w:tcW w:type="dxa" w:w="1728"/>
          </w:tcPr>
          <w:p>
            <w:r/>
            <w:r>
              <w:rPr>
                <w:b/>
                <w:sz w:val="18"/>
              </w:rPr>
              <w:t>FOS (%)</w:t>
            </w:r>
          </w:p>
        </w:tc>
        <w:tc>
          <w:tcPr>
            <w:tcW w:type="dxa" w:w="1728"/>
          </w:tcPr>
          <w:p>
            <w:r/>
            <w:r>
              <w:rPr>
                <w:b/>
                <w:sz w:val="18"/>
              </w:rPr>
              <w:t>Height básico → máximo (m)</w:t>
            </w:r>
          </w:p>
        </w:tc>
        <w:tc>
          <w:tcPr>
            <w:tcW w:type="dxa" w:w="1728"/>
          </w:tcPr>
          <w:p>
            <w:r/>
            <w:r>
              <w:rPr>
                <w:b/>
                <w:sz w:val="18"/>
              </w:rPr>
              <w:t>Additional buildable ceiling (m²)</w:t>
            </w:r>
          </w:p>
        </w:tc>
      </w:tr>
      <w:tr>
        <w:tc>
          <w:tcPr>
            <w:tcW w:type="dxa" w:w="1728"/>
          </w:tcPr>
          <w:p>
            <w:r/>
            <w:r>
              <w:rPr>
                <w:sz w:val="18"/>
              </w:rPr>
              <w:t>ZRM2</w:t>
            </w:r>
          </w:p>
        </w:tc>
        <w:tc>
          <w:tcPr>
            <w:tcW w:type="dxa" w:w="1728"/>
          </w:tcPr>
          <w:p>
            <w:r/>
            <w:r>
              <w:rPr>
                <w:sz w:val="18"/>
              </w:rPr>
              <w:t>1,356</w:t>
            </w:r>
          </w:p>
        </w:tc>
        <w:tc>
          <w:tcPr>
            <w:tcW w:type="dxa" w:w="1728"/>
          </w:tcPr>
          <w:p>
            <w:r/>
            <w:r>
              <w:rPr>
                <w:sz w:val="18"/>
              </w:rPr>
              <w:t>75</w:t>
            </w:r>
          </w:p>
        </w:tc>
        <w:tc>
          <w:tcPr>
            <w:tcW w:type="dxa" w:w="1728"/>
          </w:tcPr>
          <w:p>
            <w:r/>
            <w:r>
              <w:rPr>
                <w:sz w:val="18"/>
              </w:rPr>
              <w:t>10 → 36</w:t>
            </w:r>
          </w:p>
        </w:tc>
        <w:tc>
          <w:tcPr>
            <w:tcW w:type="dxa" w:w="1728"/>
          </w:tcPr>
          <w:p>
            <w:r/>
            <w:r>
              <w:rPr>
                <w:sz w:val="18"/>
              </w:rPr>
              <w:t>88,137,947</w:t>
            </w:r>
          </w:p>
        </w:tc>
      </w:tr>
      <w:tr>
        <w:tc>
          <w:tcPr>
            <w:tcW w:type="dxa" w:w="1728"/>
          </w:tcPr>
          <w:p>
            <w:r/>
            <w:r>
              <w:rPr>
                <w:sz w:val="18"/>
              </w:rPr>
              <w:t>ZRM3</w:t>
            </w:r>
          </w:p>
        </w:tc>
        <w:tc>
          <w:tcPr>
            <w:tcW w:type="dxa" w:w="1728"/>
          </w:tcPr>
          <w:p>
            <w:r/>
            <w:r>
              <w:rPr>
                <w:sz w:val="18"/>
              </w:rPr>
              <w:t>1,256</w:t>
            </w:r>
          </w:p>
        </w:tc>
        <w:tc>
          <w:tcPr>
            <w:tcW w:type="dxa" w:w="1728"/>
          </w:tcPr>
          <w:p>
            <w:r/>
            <w:r>
              <w:rPr>
                <w:sz w:val="18"/>
              </w:rPr>
              <w:t>75</w:t>
            </w:r>
          </w:p>
        </w:tc>
        <w:tc>
          <w:tcPr>
            <w:tcW w:type="dxa" w:w="1728"/>
          </w:tcPr>
          <w:p>
            <w:r/>
            <w:r>
              <w:rPr>
                <w:sz w:val="18"/>
              </w:rPr>
              <w:t>10 → 36</w:t>
            </w:r>
          </w:p>
        </w:tc>
        <w:tc>
          <w:tcPr>
            <w:tcW w:type="dxa" w:w="1728"/>
          </w:tcPr>
          <w:p>
            <w:r/>
            <w:r>
              <w:rPr>
                <w:sz w:val="18"/>
              </w:rPr>
              <w:t>81,668,328</w:t>
            </w:r>
          </w:p>
        </w:tc>
      </w:tr>
      <w:tr>
        <w:tc>
          <w:tcPr>
            <w:tcW w:type="dxa" w:w="1728"/>
          </w:tcPr>
          <w:p>
            <w:r/>
            <w:r>
              <w:rPr>
                <w:sz w:val="18"/>
              </w:rPr>
              <w:t>ZRM1</w:t>
            </w:r>
          </w:p>
        </w:tc>
        <w:tc>
          <w:tcPr>
            <w:tcW w:type="dxa" w:w="1728"/>
          </w:tcPr>
          <w:p>
            <w:r/>
            <w:r>
              <w:rPr>
                <w:sz w:val="18"/>
              </w:rPr>
              <w:t>901</w:t>
            </w:r>
          </w:p>
        </w:tc>
        <w:tc>
          <w:tcPr>
            <w:tcW w:type="dxa" w:w="1728"/>
          </w:tcPr>
          <w:p>
            <w:r/>
            <w:r>
              <w:rPr>
                <w:sz w:val="18"/>
              </w:rPr>
              <w:t>75</w:t>
            </w:r>
          </w:p>
        </w:tc>
        <w:tc>
          <w:tcPr>
            <w:tcW w:type="dxa" w:w="1728"/>
          </w:tcPr>
          <w:p>
            <w:r/>
            <w:r>
              <w:rPr>
                <w:sz w:val="18"/>
              </w:rPr>
              <w:t>10 → 36</w:t>
            </w:r>
          </w:p>
        </w:tc>
        <w:tc>
          <w:tcPr>
            <w:tcW w:type="dxa" w:w="1728"/>
          </w:tcPr>
          <w:p>
            <w:r/>
            <w:r>
              <w:rPr>
                <w:sz w:val="18"/>
              </w:rPr>
              <w:t>58,596,637</w:t>
            </w:r>
          </w:p>
        </w:tc>
      </w:tr>
      <w:tr>
        <w:tc>
          <w:tcPr>
            <w:tcW w:type="dxa" w:w="1728"/>
          </w:tcPr>
          <w:p>
            <w:r/>
            <w:r>
              <w:rPr>
                <w:sz w:val="18"/>
              </w:rPr>
              <w:t>ZR1</w:t>
            </w:r>
          </w:p>
        </w:tc>
        <w:tc>
          <w:tcPr>
            <w:tcW w:type="dxa" w:w="1728"/>
          </w:tcPr>
          <w:p>
            <w:r/>
            <w:r>
              <w:rPr>
                <w:sz w:val="18"/>
              </w:rPr>
              <w:t>714</w:t>
            </w:r>
          </w:p>
        </w:tc>
        <w:tc>
          <w:tcPr>
            <w:tcW w:type="dxa" w:w="1728"/>
          </w:tcPr>
          <w:p>
            <w:r/>
            <w:r>
              <w:rPr>
                <w:sz w:val="18"/>
              </w:rPr>
              <w:t>75</w:t>
            </w:r>
          </w:p>
        </w:tc>
        <w:tc>
          <w:tcPr>
            <w:tcW w:type="dxa" w:w="1728"/>
          </w:tcPr>
          <w:p>
            <w:r/>
            <w:r>
              <w:rPr>
                <w:sz w:val="18"/>
              </w:rPr>
              <w:t>10 → 36</w:t>
            </w:r>
          </w:p>
        </w:tc>
        <w:tc>
          <w:tcPr>
            <w:tcW w:type="dxa" w:w="1728"/>
          </w:tcPr>
          <w:p>
            <w:r/>
            <w:r>
              <w:rPr>
                <w:sz w:val="18"/>
              </w:rPr>
              <w:t>46,410,451</w:t>
            </w:r>
          </w:p>
        </w:tc>
      </w:tr>
      <w:tr>
        <w:tc>
          <w:tcPr>
            <w:tcW w:type="dxa" w:w="1728"/>
          </w:tcPr>
          <w:p>
            <w:r/>
            <w:r>
              <w:rPr>
                <w:sz w:val="18"/>
              </w:rPr>
              <w:t>ZCM1</w:t>
            </w:r>
          </w:p>
        </w:tc>
        <w:tc>
          <w:tcPr>
            <w:tcW w:type="dxa" w:w="1728"/>
          </w:tcPr>
          <w:p>
            <w:r/>
            <w:r>
              <w:rPr>
                <w:sz w:val="18"/>
              </w:rPr>
              <w:t>232</w:t>
            </w:r>
          </w:p>
        </w:tc>
        <w:tc>
          <w:tcPr>
            <w:tcW w:type="dxa" w:w="1728"/>
          </w:tcPr>
          <w:p>
            <w:r/>
            <w:r>
              <w:rPr>
                <w:sz w:val="18"/>
              </w:rPr>
              <w:t>89</w:t>
            </w:r>
          </w:p>
        </w:tc>
        <w:tc>
          <w:tcPr>
            <w:tcW w:type="dxa" w:w="1728"/>
          </w:tcPr>
          <w:p>
            <w:r/>
            <w:r>
              <w:rPr>
                <w:sz w:val="18"/>
              </w:rPr>
              <w:t>10 → 36</w:t>
            </w:r>
          </w:p>
        </w:tc>
        <w:tc>
          <w:tcPr>
            <w:tcW w:type="dxa" w:w="1728"/>
          </w:tcPr>
          <w:p>
            <w:r/>
            <w:r>
              <w:rPr>
                <w:sz w:val="18"/>
              </w:rPr>
              <w:t>17,924,965</w:t>
            </w:r>
          </w:p>
        </w:tc>
      </w:tr>
      <w:tr>
        <w:tc>
          <w:tcPr>
            <w:tcW w:type="dxa" w:w="1728"/>
          </w:tcPr>
          <w:p>
            <w:r/>
            <w:r>
              <w:rPr>
                <w:sz w:val="18"/>
              </w:rPr>
              <w:t>ZC</w:t>
            </w:r>
          </w:p>
        </w:tc>
        <w:tc>
          <w:tcPr>
            <w:tcW w:type="dxa" w:w="1728"/>
          </w:tcPr>
          <w:p>
            <w:r/>
            <w:r>
              <w:rPr>
                <w:sz w:val="18"/>
              </w:rPr>
              <w:t>31</w:t>
            </w:r>
          </w:p>
        </w:tc>
        <w:tc>
          <w:tcPr>
            <w:tcW w:type="dxa" w:w="1728"/>
          </w:tcPr>
          <w:p>
            <w:r/>
            <w:r>
              <w:rPr>
                <w:sz w:val="18"/>
              </w:rPr>
              <w:t>90</w:t>
            </w:r>
          </w:p>
        </w:tc>
        <w:tc>
          <w:tcPr>
            <w:tcW w:type="dxa" w:w="1728"/>
          </w:tcPr>
          <w:p>
            <w:r/>
            <w:r>
              <w:rPr>
                <w:sz w:val="18"/>
              </w:rPr>
              <w:t>10 → 36</w:t>
            </w:r>
          </w:p>
        </w:tc>
        <w:tc>
          <w:tcPr>
            <w:tcW w:type="dxa" w:w="1728"/>
          </w:tcPr>
          <w:p>
            <w:r/>
            <w:r>
              <w:rPr>
                <w:sz w:val="18"/>
              </w:rPr>
              <w:t>2,413,938</w:t>
            </w:r>
          </w:p>
        </w:tc>
      </w:tr>
      <w:tr>
        <w:tc>
          <w:tcPr>
            <w:tcW w:type="dxa" w:w="1728"/>
          </w:tcPr>
          <w:p>
            <w:r/>
            <w:r>
              <w:rPr>
                <w:sz w:val="18"/>
              </w:rPr>
              <w:t>ZCM6</w:t>
            </w:r>
          </w:p>
        </w:tc>
        <w:tc>
          <w:tcPr>
            <w:tcW w:type="dxa" w:w="1728"/>
          </w:tcPr>
          <w:p>
            <w:r/>
            <w:r>
              <w:rPr>
                <w:sz w:val="18"/>
              </w:rPr>
              <w:t>n/a</w:t>
            </w:r>
          </w:p>
        </w:tc>
        <w:tc>
          <w:tcPr>
            <w:tcW w:type="dxa" w:w="1728"/>
          </w:tcPr>
          <w:p>
            <w:r/>
            <w:r>
              <w:rPr>
                <w:sz w:val="18"/>
              </w:rPr>
              <w:t>—</w:t>
            </w:r>
          </w:p>
        </w:tc>
        <w:tc>
          <w:tcPr>
            <w:tcW w:type="dxa" w:w="1728"/>
          </w:tcPr>
          <w:p>
            <w:r/>
            <w:r>
              <w:rPr>
                <w:sz w:val="18"/>
              </w:rPr>
              <w:t>13 → 36</w:t>
            </w:r>
          </w:p>
        </w:tc>
        <w:tc>
          <w:tcPr>
            <w:tcW w:type="dxa" w:w="1728"/>
          </w:tcPr>
          <w:p>
            <w:r/>
            <w:r>
              <w:rPr>
                <w:sz w:val="18"/>
              </w:rPr>
              <w:t>n/a</w:t>
            </w:r>
          </w:p>
        </w:tc>
      </w:tr>
      <w:tr>
        <w:tc>
          <w:tcPr>
            <w:tcW w:type="dxa" w:w="1728"/>
          </w:tcPr>
          <w:p>
            <w:r/>
            <w:r>
              <w:rPr>
                <w:sz w:val="18"/>
              </w:rPr>
              <w:t>Total (7 zones)</w:t>
            </w:r>
          </w:p>
        </w:tc>
        <w:tc>
          <w:tcPr>
            <w:tcW w:type="dxa" w:w="1728"/>
          </w:tcPr>
          <w:p>
            <w:r/>
            <w:r>
              <w:rPr>
                <w:sz w:val="18"/>
              </w:rPr>
              <w:t>4,491</w:t>
            </w:r>
          </w:p>
        </w:tc>
        <w:tc>
          <w:tcPr>
            <w:tcW w:type="dxa" w:w="1728"/>
          </w:tcPr>
          <w:p>
            <w:r/>
            <w:r>
              <w:rPr>
                <w:sz w:val="18"/>
              </w:rPr>
              <w:t>—</w:t>
            </w:r>
          </w:p>
        </w:tc>
        <w:tc>
          <w:tcPr>
            <w:tcW w:type="dxa" w:w="1728"/>
          </w:tcPr>
          <w:p>
            <w:r/>
            <w:r>
              <w:rPr>
                <w:sz w:val="18"/>
              </w:rPr>
              <w:t>—</w:t>
            </w:r>
          </w:p>
        </w:tc>
        <w:tc>
          <w:tcPr>
            <w:tcW w:type="dxa" w:w="1728"/>
          </w:tcPr>
          <w:p>
            <w:r/>
            <w:r>
              <w:rPr>
                <w:sz w:val="18"/>
              </w:rPr>
              <w:t>295,152,266</w:t>
            </w:r>
          </w:p>
        </w:tc>
      </w:tr>
    </w:tbl>
    <w:p>
      <w:pPr>
        <w:spacing w:after="200"/>
      </w:pPr>
      <w:r>
        <w:rPr>
          <w:i/>
          <w:sz w:val="18"/>
        </w:rPr>
        <w:t>Table 7: COS 2026 buildability schedule and the resulting ceiling of additional buildable area. Base 10 m → maximum 36 m (~8.7 extra floors) reachable only via Suelo Creado and the differential-rent instrument; the ceiling assumes full take-up and is an upper bound, not an annual figure. Source: draft COS 2026 (Tabla 10) and the 2019–2026 zoning comparison.</w:t>
      </w:r>
    </w:p>
    <w:p>
      <w:pPr>
        <w:spacing w:after="120" w:line="276" w:lineRule="auto"/>
      </w:pPr>
      <w:r>
        <w:t>Valuing the modelled take-up closes the estimate. Floor space sells for roughly USD 300–1,200/m² in these zones (built-value map), of which the instruments capture a small fraction—Suelo Creado at about 50–250 UT/m² and rent capture at 30–180 UT/m², consistent with undeveloped land values of USD 10–150/m². Development-rights sales then yield about USD 0.09 / 0.57 / 1.89 million a year (Low/Base/High), and differential rent capture about USD 0.06 / 0.38 / 1.36 million. Transferable rights and tax incentives are not separately scored: the first awaits a market, the second is a net cost early on before turning neutral.</w:t>
      </w:r>
    </w:p>
    <w:p>
      <w:pPr>
        <w:spacing w:after="120" w:line="276" w:lineRule="auto"/>
      </w:pPr>
      <w:r>
        <w:t>Adding the three quantifiable instruments gives an ex-ante value-capture potential of roughly USD 0.85 / 2.1 / 4.6 million a year (Table 8). With the USD 0.97 million already collected, total annual potential runs from about USD 1.8 million to USD 5.6 million, centred near USD 3.0 million. Betterment and the development-rights/rent-capture pair are the largest prospective lines, alongside the operational water-and-sewer charge—an ordering grounded in the real works programme and the real buildability code, not in assumed shares. And the 295-million-m² ceiling is a reminder that the long-run capture base will not bind for decades.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Instrument</w:t>
            </w:r>
          </w:p>
        </w:tc>
        <w:tc>
          <w:tcPr>
            <w:tcW w:type="dxa" w:w="1728"/>
          </w:tcPr>
          <w:p>
            <w:r/>
            <w:r>
              <w:rPr>
                <w:b/>
                <w:sz w:val="18"/>
              </w:rPr>
              <w:t>Basis (real municipal data)</w:t>
            </w:r>
          </w:p>
        </w:tc>
        <w:tc>
          <w:tcPr>
            <w:tcW w:type="dxa" w:w="1728"/>
          </w:tcPr>
          <w:p>
            <w:r/>
            <w:r>
              <w:rPr>
                <w:b/>
                <w:sz w:val="18"/>
              </w:rPr>
              <w:t>Low (USD/yr)</w:t>
            </w:r>
          </w:p>
        </w:tc>
        <w:tc>
          <w:tcPr>
            <w:tcW w:type="dxa" w:w="1728"/>
          </w:tcPr>
          <w:p>
            <w:r/>
            <w:r>
              <w:rPr>
                <w:b/>
                <w:sz w:val="18"/>
              </w:rPr>
              <w:t>Base (USD/yr)</w:t>
            </w:r>
          </w:p>
        </w:tc>
        <w:tc>
          <w:tcPr>
            <w:tcW w:type="dxa" w:w="1728"/>
          </w:tcPr>
          <w:p>
            <w:r/>
            <w:r>
              <w:rPr>
                <w:b/>
                <w:sz w:val="18"/>
              </w:rPr>
              <w:t>High (USD/yr)</w:t>
            </w:r>
          </w:p>
        </w:tc>
      </w:tr>
      <w:tr>
        <w:tc>
          <w:tcPr>
            <w:tcW w:type="dxa" w:w="1728"/>
          </w:tcPr>
          <w:p>
            <w:r/>
            <w:r>
              <w:rPr>
                <w:sz w:val="18"/>
              </w:rPr>
              <w:t>Betterment contributions</w:t>
            </w:r>
          </w:p>
        </w:tc>
        <w:tc>
          <w:tcPr>
            <w:tcW w:type="dxa" w:w="1728"/>
          </w:tcPr>
          <w:p>
            <w:r/>
            <w:r>
              <w:rPr>
                <w:sz w:val="18"/>
              </w:rPr>
              <w:t>2026 works programme: ARS 3.49 B eligible × 25–50%</w:t>
            </w:r>
          </w:p>
        </w:tc>
        <w:tc>
          <w:tcPr>
            <w:tcW w:type="dxa" w:w="1728"/>
          </w:tcPr>
          <w:p>
            <w:r/>
            <w:r>
              <w:rPr>
                <w:sz w:val="18"/>
              </w:rPr>
              <w:t>0.70 M</w:t>
            </w:r>
          </w:p>
        </w:tc>
        <w:tc>
          <w:tcPr>
            <w:tcW w:type="dxa" w:w="1728"/>
          </w:tcPr>
          <w:p>
            <w:r/>
            <w:r>
              <w:rPr>
                <w:sz w:val="18"/>
              </w:rPr>
              <w:t>1.12 M</w:t>
            </w:r>
          </w:p>
        </w:tc>
        <w:tc>
          <w:tcPr>
            <w:tcW w:type="dxa" w:w="1728"/>
          </w:tcPr>
          <w:p>
            <w:r/>
            <w:r>
              <w:rPr>
                <w:sz w:val="18"/>
              </w:rPr>
              <w:t>1.40 M</w:t>
            </w:r>
          </w:p>
        </w:tc>
      </w:tr>
      <w:tr>
        <w:tc>
          <w:tcPr>
            <w:tcW w:type="dxa" w:w="1728"/>
          </w:tcPr>
          <w:p>
            <w:r/>
            <w:r>
              <w:rPr>
                <w:sz w:val="18"/>
              </w:rPr>
              <w:t>Development-rights sales</w:t>
            </w:r>
          </w:p>
        </w:tc>
        <w:tc>
          <w:tcPr>
            <w:tcW w:type="dxa" w:w="1728"/>
          </w:tcPr>
          <w:p>
            <w:r/>
            <w:r>
              <w:rPr>
                <w:sz w:val="18"/>
              </w:rPr>
              <w:t>COS 2026 take-up (Table 7) × 50–250 UT/m²</w:t>
            </w:r>
          </w:p>
        </w:tc>
        <w:tc>
          <w:tcPr>
            <w:tcW w:type="dxa" w:w="1728"/>
          </w:tcPr>
          <w:p>
            <w:r/>
            <w:r>
              <w:rPr>
                <w:sz w:val="18"/>
              </w:rPr>
              <w:t>0.09 M</w:t>
            </w:r>
          </w:p>
        </w:tc>
        <w:tc>
          <w:tcPr>
            <w:tcW w:type="dxa" w:w="1728"/>
          </w:tcPr>
          <w:p>
            <w:r/>
            <w:r>
              <w:rPr>
                <w:sz w:val="18"/>
              </w:rPr>
              <w:t>0.57 M</w:t>
            </w:r>
          </w:p>
        </w:tc>
        <w:tc>
          <w:tcPr>
            <w:tcW w:type="dxa" w:w="1728"/>
          </w:tcPr>
          <w:p>
            <w:r/>
            <w:r>
              <w:rPr>
                <w:sz w:val="18"/>
              </w:rPr>
              <w:t>1.89 M</w:t>
            </w:r>
          </w:p>
        </w:tc>
      </w:tr>
      <w:tr>
        <w:tc>
          <w:tcPr>
            <w:tcW w:type="dxa" w:w="1728"/>
          </w:tcPr>
          <w:p>
            <w:r/>
            <w:r>
              <w:rPr>
                <w:sz w:val="18"/>
              </w:rPr>
              <w:t>Differential rent capture</w:t>
            </w:r>
          </w:p>
        </w:tc>
        <w:tc>
          <w:tcPr>
            <w:tcW w:type="dxa" w:w="1728"/>
          </w:tcPr>
          <w:p>
            <w:r/>
            <w:r>
              <w:rPr>
                <w:sz w:val="18"/>
              </w:rPr>
              <w:t>COS 2026 take-up (Table 7) × 30–180 UT/m²</w:t>
            </w:r>
          </w:p>
        </w:tc>
        <w:tc>
          <w:tcPr>
            <w:tcW w:type="dxa" w:w="1728"/>
          </w:tcPr>
          <w:p>
            <w:r/>
            <w:r>
              <w:rPr>
                <w:sz w:val="18"/>
              </w:rPr>
              <w:t>0.06 M</w:t>
            </w:r>
          </w:p>
        </w:tc>
        <w:tc>
          <w:tcPr>
            <w:tcW w:type="dxa" w:w="1728"/>
          </w:tcPr>
          <w:p>
            <w:r/>
            <w:r>
              <w:rPr>
                <w:sz w:val="18"/>
              </w:rPr>
              <w:t>0.38 M</w:t>
            </w:r>
          </w:p>
        </w:tc>
        <w:tc>
          <w:tcPr>
            <w:tcW w:type="dxa" w:w="1728"/>
          </w:tcPr>
          <w:p>
            <w:r/>
            <w:r>
              <w:rPr>
                <w:sz w:val="18"/>
              </w:rPr>
              <w:t>1.36 M</w:t>
            </w:r>
          </w:p>
        </w:tc>
      </w:tr>
      <w:tr>
        <w:tc>
          <w:tcPr>
            <w:tcW w:type="dxa" w:w="1728"/>
          </w:tcPr>
          <w:p>
            <w:r/>
            <w:r>
              <w:rPr>
                <w:sz w:val="18"/>
              </w:rPr>
              <w:t>Subtotal — value capture (ex-ante)</w:t>
            </w:r>
          </w:p>
        </w:tc>
        <w:tc>
          <w:tcPr>
            <w:tcW w:type="dxa" w:w="1728"/>
          </w:tcPr>
          <w:p>
            <w:r/>
            <w:r>
              <w:rPr>
                <w:sz w:val="18"/>
              </w:rPr>
            </w:r>
          </w:p>
        </w:tc>
        <w:tc>
          <w:tcPr>
            <w:tcW w:type="dxa" w:w="1728"/>
          </w:tcPr>
          <w:p>
            <w:r/>
            <w:r>
              <w:rPr>
                <w:sz w:val="18"/>
              </w:rPr>
              <w:t>0.85 M</w:t>
            </w:r>
          </w:p>
        </w:tc>
        <w:tc>
          <w:tcPr>
            <w:tcW w:type="dxa" w:w="1728"/>
          </w:tcPr>
          <w:p>
            <w:r/>
            <w:r>
              <w:rPr>
                <w:sz w:val="18"/>
              </w:rPr>
              <w:t>2.07 M</w:t>
            </w:r>
          </w:p>
        </w:tc>
        <w:tc>
          <w:tcPr>
            <w:tcW w:type="dxa" w:w="1728"/>
          </w:tcPr>
          <w:p>
            <w:r/>
            <w:r>
              <w:rPr>
                <w:sz w:val="18"/>
              </w:rPr>
              <w:t>4.65 M</w:t>
            </w:r>
          </w:p>
        </w:tc>
      </w:tr>
      <w:tr>
        <w:tc>
          <w:tcPr>
            <w:tcW w:type="dxa" w:w="1728"/>
          </w:tcPr>
          <w:p>
            <w:r/>
            <w:r>
              <w:rPr>
                <w:sz w:val="18"/>
              </w:rPr>
              <w:t>Realized operational (water/sewer + vacant land)</w:t>
            </w:r>
          </w:p>
        </w:tc>
        <w:tc>
          <w:tcPr>
            <w:tcW w:type="dxa" w:w="1728"/>
          </w:tcPr>
          <w:p>
            <w:r/>
            <w:r>
              <w:rPr>
                <w:sz w:val="18"/>
              </w:rPr>
              <w:t>Municipal records (2025/2026)</w:t>
            </w:r>
          </w:p>
        </w:tc>
        <w:tc>
          <w:tcPr>
            <w:tcW w:type="dxa" w:w="1728"/>
          </w:tcPr>
          <w:p>
            <w:r/>
            <w:r>
              <w:rPr>
                <w:sz w:val="18"/>
              </w:rPr>
              <w:t>0.97 M</w:t>
            </w:r>
          </w:p>
        </w:tc>
        <w:tc>
          <w:tcPr>
            <w:tcW w:type="dxa" w:w="1728"/>
          </w:tcPr>
          <w:p>
            <w:r/>
            <w:r>
              <w:rPr>
                <w:sz w:val="18"/>
              </w:rPr>
              <w:t>0.97 M</w:t>
            </w:r>
          </w:p>
        </w:tc>
        <w:tc>
          <w:tcPr>
            <w:tcW w:type="dxa" w:w="1728"/>
          </w:tcPr>
          <w:p>
            <w:r/>
            <w:r>
              <w:rPr>
                <w:sz w:val="18"/>
              </w:rPr>
              <w:t>0.97 M</w:t>
            </w:r>
          </w:p>
        </w:tc>
      </w:tr>
      <w:tr>
        <w:tc>
          <w:tcPr>
            <w:tcW w:type="dxa" w:w="1728"/>
          </w:tcPr>
          <w:p>
            <w:r/>
            <w:r>
              <w:rPr>
                <w:sz w:val="18"/>
              </w:rPr>
              <w:t>Total annual revenue potential</w:t>
            </w:r>
          </w:p>
        </w:tc>
        <w:tc>
          <w:tcPr>
            <w:tcW w:type="dxa" w:w="1728"/>
          </w:tcPr>
          <w:p>
            <w:r/>
            <w:r>
              <w:rPr>
                <w:sz w:val="18"/>
              </w:rPr>
            </w:r>
          </w:p>
        </w:tc>
        <w:tc>
          <w:tcPr>
            <w:tcW w:type="dxa" w:w="1728"/>
          </w:tcPr>
          <w:p>
            <w:r/>
            <w:r>
              <w:rPr>
                <w:sz w:val="18"/>
              </w:rPr>
              <w:t>1.82 M</w:t>
            </w:r>
          </w:p>
        </w:tc>
        <w:tc>
          <w:tcPr>
            <w:tcW w:type="dxa" w:w="1728"/>
          </w:tcPr>
          <w:p>
            <w:r/>
            <w:r>
              <w:rPr>
                <w:sz w:val="18"/>
              </w:rPr>
              <w:t>3.04 M</w:t>
            </w:r>
          </w:p>
        </w:tc>
        <w:tc>
          <w:tcPr>
            <w:tcW w:type="dxa" w:w="1728"/>
          </w:tcPr>
          <w:p>
            <w:r/>
            <w:r>
              <w:rPr>
                <w:sz w:val="18"/>
              </w:rPr>
              <w:t>5.62 M</w:t>
            </w:r>
          </w:p>
        </w:tc>
      </w:tr>
    </w:tbl>
    <w:p>
      <w:pPr>
        <w:spacing w:after="200"/>
      </w:pPr>
      <w:r>
        <w:rPr>
          <w:i/>
          <w:sz w:val="18"/>
        </w:rPr>
        <w:t>Table 8: Ex-ante value-capture potential and combined annual revenue, by instrument and scenario. Ordinance formulas (UT 2026 = ARS 235) applied to real parameters; converted at ARS 1,244.17/USD. Ex-ante estimates are illustrative.</w:t>
      </w:r>
    </w:p>
    <w:p>
      <w:pPr>
        <w:pStyle w:val="Heading2"/>
      </w:pPr>
      <w:r>
        <w:t>7.4 The financing gap and the leverage that closes it</w:t>
      </w:r>
    </w:p>
    <w:p>
      <w:pPr>
        <w:spacing w:after="120" w:line="276" w:lineRule="auto"/>
      </w:pPr>
      <w:r>
        <w:t>To make the numbers concrete, take one deficit the index measures. Lifting green space from a municipal average near 6 m² per inhabitant to the index’s 10 m² target implies roughly 700,000 m² of new green space for a population of about 175,000; at an indicative USD 80/m², that is a one-off capital need near USD 56 million. Baseline annual revenue of about USD 3.0 million covers some 5 percent of that in a year on a pay-as-you-go basis—which is exactly why pay-as-you-go is the wrong frame. The trust fund’s leverage (Section 5.5) is what closes the gap: a dedicated reserve to match grants, a pledged revenue stream to secure a green bond of three to four times annual revenue (USD 9–12 million), and a track record that opens the door to the Green Climate Fund. The structural point is that the revenue is tied to the investments it finances, so the cycle reinforces itself instead of dissipating.</w:t>
      </w:r>
    </w:p>
    <w:p>
      <w:pPr>
        <w:pStyle w:val="Heading2"/>
      </w:pPr>
      <w:r>
        <w:t>7.5 Is the city investing where the index says it should?</w:t>
      </w:r>
    </w:p>
    <w:p>
      <w:pPr>
        <w:spacing w:after="120" w:line="276" w:lineRule="auto"/>
      </w:pPr>
      <w:r>
        <w:t>The index is designed to send money to the districts that most need it. We can now check whether it does. The green-space dimension, computed in October 2025, puts the highest-priority districts at the urban edge and the lower-income periphery—Vistalba, Las Compuertas, and the Industrial district at level E, followed by Chacras de Coria, Agrelo, Mayor Drummond, and Vertientes del Pedemonte at level D—while the consolidated centres of Ciudad and La Puntilla already score A (Table 9). The need, in other words, is not where the city is wealthiest.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Green-space sufficiency</w:t>
            </w:r>
          </w:p>
        </w:tc>
        <w:tc>
          <w:tcPr>
            <w:tcW w:type="dxa" w:w="2880"/>
          </w:tcPr>
          <w:p>
            <w:r/>
            <w:r>
              <w:rPr>
                <w:b/>
                <w:sz w:val="18"/>
              </w:rPr>
              <w:t>Districts</w:t>
            </w:r>
          </w:p>
        </w:tc>
        <w:tc>
          <w:tcPr>
            <w:tcW w:type="dxa" w:w="2880"/>
          </w:tcPr>
          <w:p>
            <w:r/>
            <w:r>
              <w:rPr>
                <w:b/>
                <w:sz w:val="18"/>
              </w:rPr>
              <w:t>Investment priority</w:t>
            </w:r>
          </w:p>
        </w:tc>
      </w:tr>
      <w:tr>
        <w:tc>
          <w:tcPr>
            <w:tcW w:type="dxa" w:w="2880"/>
          </w:tcPr>
          <w:p>
            <w:r/>
            <w:r>
              <w:rPr>
                <w:sz w:val="18"/>
              </w:rPr>
              <w:t>A — Outstanding (≥90%)</w:t>
            </w:r>
          </w:p>
        </w:tc>
        <w:tc>
          <w:tcPr>
            <w:tcW w:type="dxa" w:w="2880"/>
          </w:tcPr>
          <w:p>
            <w:r/>
            <w:r>
              <w:rPr>
                <w:sz w:val="18"/>
              </w:rPr>
              <w:t>La Puntilla, Ciudad</w:t>
            </w:r>
          </w:p>
        </w:tc>
        <w:tc>
          <w:tcPr>
            <w:tcW w:type="dxa" w:w="2880"/>
          </w:tcPr>
          <w:p>
            <w:r/>
            <w:r>
              <w:rPr>
                <w:sz w:val="18"/>
              </w:rPr>
              <w:t>Low</w:t>
            </w:r>
          </w:p>
        </w:tc>
      </w:tr>
      <w:tr>
        <w:tc>
          <w:tcPr>
            <w:tcW w:type="dxa" w:w="2880"/>
          </w:tcPr>
          <w:p>
            <w:r/>
            <w:r>
              <w:rPr>
                <w:sz w:val="18"/>
              </w:rPr>
              <w:t>B — Very sufficient (70–89%)</w:t>
            </w:r>
          </w:p>
        </w:tc>
        <w:tc>
          <w:tcPr>
            <w:tcW w:type="dxa" w:w="2880"/>
          </w:tcPr>
          <w:p>
            <w:r/>
            <w:r>
              <w:rPr>
                <w:sz w:val="18"/>
              </w:rPr>
              <w:t>Potrerillos, Carrodilla</w:t>
            </w:r>
          </w:p>
        </w:tc>
        <w:tc>
          <w:tcPr>
            <w:tcW w:type="dxa" w:w="2880"/>
          </w:tcPr>
          <w:p>
            <w:r/>
            <w:r>
              <w:rPr>
                <w:sz w:val="18"/>
              </w:rPr>
              <w:t>Low</w:t>
            </w:r>
          </w:p>
        </w:tc>
      </w:tr>
      <w:tr>
        <w:tc>
          <w:tcPr>
            <w:tcW w:type="dxa" w:w="2880"/>
          </w:tcPr>
          <w:p>
            <w:r/>
            <w:r>
              <w:rPr>
                <w:sz w:val="18"/>
              </w:rPr>
              <w:t>C — Sufficient (50–69%)</w:t>
            </w:r>
          </w:p>
        </w:tc>
        <w:tc>
          <w:tcPr>
            <w:tcW w:type="dxa" w:w="2880"/>
          </w:tcPr>
          <w:p>
            <w:r/>
            <w:r>
              <w:rPr>
                <w:sz w:val="18"/>
              </w:rPr>
              <w:t>Perdriel, Cacheuta, El Carrizal, Ugarteche</w:t>
            </w:r>
          </w:p>
        </w:tc>
        <w:tc>
          <w:tcPr>
            <w:tcW w:type="dxa" w:w="2880"/>
          </w:tcPr>
          <w:p>
            <w:r/>
            <w:r>
              <w:rPr>
                <w:sz w:val="18"/>
              </w:rPr>
              <w:t>Medium</w:t>
            </w:r>
          </w:p>
        </w:tc>
      </w:tr>
      <w:tr>
        <w:tc>
          <w:tcPr>
            <w:tcW w:type="dxa" w:w="2880"/>
          </w:tcPr>
          <w:p>
            <w:r/>
            <w:r>
              <w:rPr>
                <w:sz w:val="18"/>
              </w:rPr>
              <w:t>D — Insufficient (25–49%)</w:t>
            </w:r>
          </w:p>
        </w:tc>
        <w:tc>
          <w:tcPr>
            <w:tcW w:type="dxa" w:w="2880"/>
          </w:tcPr>
          <w:p>
            <w:r/>
            <w:r>
              <w:rPr>
                <w:sz w:val="18"/>
              </w:rPr>
              <w:t>Chacras de Coria, Agrelo, Mayor Drummond, Vertientes del Pedemonte</w:t>
            </w:r>
          </w:p>
        </w:tc>
        <w:tc>
          <w:tcPr>
            <w:tcW w:type="dxa" w:w="2880"/>
          </w:tcPr>
          <w:p>
            <w:r/>
            <w:r>
              <w:rPr>
                <w:sz w:val="18"/>
              </w:rPr>
              <w:t>High</w:t>
            </w:r>
          </w:p>
        </w:tc>
      </w:tr>
      <w:tr>
        <w:tc>
          <w:tcPr>
            <w:tcW w:type="dxa" w:w="2880"/>
          </w:tcPr>
          <w:p>
            <w:r/>
            <w:r>
              <w:rPr>
                <w:sz w:val="18"/>
              </w:rPr>
              <w:t>E — Very insufficient (&lt;25%)</w:t>
            </w:r>
          </w:p>
        </w:tc>
        <w:tc>
          <w:tcPr>
            <w:tcW w:type="dxa" w:w="2880"/>
          </w:tcPr>
          <w:p>
            <w:r/>
            <w:r>
              <w:rPr>
                <w:sz w:val="18"/>
              </w:rPr>
              <w:t>Vistalba, Las Compuertas, Industrial</w:t>
            </w:r>
          </w:p>
        </w:tc>
        <w:tc>
          <w:tcPr>
            <w:tcW w:type="dxa" w:w="2880"/>
          </w:tcPr>
          <w:p>
            <w:r/>
            <w:r>
              <w:rPr>
                <w:sz w:val="18"/>
              </w:rPr>
              <w:t>Highest</w:t>
            </w:r>
          </w:p>
        </w:tc>
      </w:tr>
    </w:tbl>
    <w:p>
      <w:pPr>
        <w:spacing w:after="200"/>
      </w:pPr>
      <w:r>
        <w:rPr>
          <w:i/>
          <w:sz w:val="18"/>
        </w:rPr>
        <w:t>Table 9: Green-space and biodiversity subindex by district (October 2025). Lower sufficiency = higher priority. Source: Laboratorio de Políticas Públicas, Municipalidad de Luján de Cuyo.</w:t>
      </w:r>
    </w:p>
    <w:p>
      <w:pPr>
        <w:spacing w:after="120" w:line="276" w:lineRule="auto"/>
      </w:pPr>
      <w:r>
        <w:t>Mapping the 2026 works onto these grades exposes a partial misalignment (Table 10 and Figure 1). The two largest place-based investments—the Ciudad and La Carrodilla centralities, ARS 1.5 billion each—fall in districts already graded A and B; their case rests on compactness, drainage, and value capture, not green-space equity. Mayor Drummond, a level-D district, does get a sidewalk and is a densification target, which fits. But the highest-priority districts—Vistalba, Las Compuertas, Industrial—get no dedicated green investment at all. The swing factor is the microplazas programme: ARS 1.2 billion, about twenty squares, department-wide and not yet sited. Direct those squares to the level-D and level-E districts and a latent misalignment becomes a close fit between the index and the investment.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2026 work (ID)</w:t>
            </w:r>
          </w:p>
        </w:tc>
        <w:tc>
          <w:tcPr>
            <w:tcW w:type="dxa" w:w="2160"/>
          </w:tcPr>
          <w:p>
            <w:r/>
            <w:r>
              <w:rPr>
                <w:b/>
                <w:sz w:val="18"/>
              </w:rPr>
              <w:t>District(s)</w:t>
            </w:r>
          </w:p>
        </w:tc>
        <w:tc>
          <w:tcPr>
            <w:tcW w:type="dxa" w:w="2160"/>
          </w:tcPr>
          <w:p>
            <w:r/>
            <w:r>
              <w:rPr>
                <w:b/>
                <w:sz w:val="18"/>
              </w:rPr>
              <w:t>Green-space level</w:t>
            </w:r>
          </w:p>
        </w:tc>
        <w:tc>
          <w:tcPr>
            <w:tcW w:type="dxa" w:w="2160"/>
          </w:tcPr>
          <w:p>
            <w:r/>
            <w:r>
              <w:rPr>
                <w:b/>
                <w:sz w:val="18"/>
              </w:rPr>
              <w:t>Alignment with green priority</w:t>
            </w:r>
          </w:p>
        </w:tc>
      </w:tr>
      <w:tr>
        <w:tc>
          <w:tcPr>
            <w:tcW w:type="dxa" w:w="2160"/>
          </w:tcPr>
          <w:p>
            <w:r/>
            <w:r>
              <w:rPr>
                <w:sz w:val="18"/>
              </w:rPr>
              <w:t>Centrality (395)</w:t>
            </w:r>
          </w:p>
        </w:tc>
        <w:tc>
          <w:tcPr>
            <w:tcW w:type="dxa" w:w="2160"/>
          </w:tcPr>
          <w:p>
            <w:r/>
            <w:r>
              <w:rPr>
                <w:sz w:val="18"/>
              </w:rPr>
              <w:t>Ciudad</w:t>
            </w:r>
          </w:p>
        </w:tc>
        <w:tc>
          <w:tcPr>
            <w:tcW w:type="dxa" w:w="2160"/>
          </w:tcPr>
          <w:p>
            <w:r/>
            <w:r>
              <w:rPr>
                <w:sz w:val="18"/>
              </w:rPr>
              <w:t>A</w:t>
            </w:r>
          </w:p>
        </w:tc>
        <w:tc>
          <w:tcPr>
            <w:tcW w:type="dxa" w:w="2160"/>
          </w:tcPr>
          <w:p>
            <w:r/>
            <w:r>
              <w:rPr>
                <w:sz w:val="18"/>
              </w:rPr>
              <w:t>Low — justified by drainage/compactness</w:t>
            </w:r>
          </w:p>
        </w:tc>
      </w:tr>
      <w:tr>
        <w:tc>
          <w:tcPr>
            <w:tcW w:type="dxa" w:w="2160"/>
          </w:tcPr>
          <w:p>
            <w:r/>
            <w:r>
              <w:rPr>
                <w:sz w:val="18"/>
              </w:rPr>
              <w:t>Centrality (773)</w:t>
            </w:r>
          </w:p>
        </w:tc>
        <w:tc>
          <w:tcPr>
            <w:tcW w:type="dxa" w:w="2160"/>
          </w:tcPr>
          <w:p>
            <w:r/>
            <w:r>
              <w:rPr>
                <w:sz w:val="18"/>
              </w:rPr>
              <w:t>Carrodilla</w:t>
            </w:r>
          </w:p>
        </w:tc>
        <w:tc>
          <w:tcPr>
            <w:tcW w:type="dxa" w:w="2160"/>
          </w:tcPr>
          <w:p>
            <w:r/>
            <w:r>
              <w:rPr>
                <w:sz w:val="18"/>
              </w:rPr>
              <w:t>B</w:t>
            </w:r>
          </w:p>
        </w:tc>
        <w:tc>
          <w:tcPr>
            <w:tcW w:type="dxa" w:w="2160"/>
          </w:tcPr>
          <w:p>
            <w:r/>
            <w:r>
              <w:rPr>
                <w:sz w:val="18"/>
              </w:rPr>
              <w:t>Low — justified by value capture</w:t>
            </w:r>
          </w:p>
        </w:tc>
      </w:tr>
      <w:tr>
        <w:tc>
          <w:tcPr>
            <w:tcW w:type="dxa" w:w="2160"/>
          </w:tcPr>
          <w:p>
            <w:r/>
            <w:r>
              <w:rPr>
                <w:sz w:val="18"/>
              </w:rPr>
              <w:t>Microplazas (865)</w:t>
            </w:r>
          </w:p>
        </w:tc>
        <w:tc>
          <w:tcPr>
            <w:tcW w:type="dxa" w:w="2160"/>
          </w:tcPr>
          <w:p>
            <w:r/>
            <w:r>
              <w:rPr>
                <w:sz w:val="18"/>
              </w:rPr>
              <w:t>Department-wide</w:t>
            </w:r>
          </w:p>
        </w:tc>
        <w:tc>
          <w:tcPr>
            <w:tcW w:type="dxa" w:w="2160"/>
          </w:tcPr>
          <w:p>
            <w:r/>
            <w:r>
              <w:rPr>
                <w:sz w:val="18"/>
              </w:rPr>
              <w:t>Varies</w:t>
            </w:r>
          </w:p>
        </w:tc>
        <w:tc>
          <w:tcPr>
            <w:tcW w:type="dxa" w:w="2160"/>
          </w:tcPr>
          <w:p>
            <w:r/>
            <w:r>
              <w:rPr>
                <w:sz w:val="18"/>
              </w:rPr>
              <w:t>Decisive — align by targeting D/E districts</w:t>
            </w:r>
          </w:p>
        </w:tc>
      </w:tr>
      <w:tr>
        <w:tc>
          <w:tcPr>
            <w:tcW w:type="dxa" w:w="2160"/>
          </w:tcPr>
          <w:p>
            <w:r/>
            <w:r>
              <w:rPr>
                <w:sz w:val="18"/>
              </w:rPr>
              <w:t>Boulevard T. del Fuego (575)</w:t>
            </w:r>
          </w:p>
        </w:tc>
        <w:tc>
          <w:tcPr>
            <w:tcW w:type="dxa" w:w="2160"/>
          </w:tcPr>
          <w:p>
            <w:r/>
            <w:r>
              <w:rPr>
                <w:sz w:val="18"/>
              </w:rPr>
              <w:t>Bardas Blancas (edge)</w:t>
            </w:r>
          </w:p>
        </w:tc>
        <w:tc>
          <w:tcPr>
            <w:tcW w:type="dxa" w:w="2160"/>
          </w:tcPr>
          <w:p>
            <w:r/>
            <w:r>
              <w:rPr>
                <w:sz w:val="18"/>
              </w:rPr>
              <w:t>D–E (edge)</w:t>
            </w:r>
          </w:p>
        </w:tc>
        <w:tc>
          <w:tcPr>
            <w:tcW w:type="dxa" w:w="2160"/>
          </w:tcPr>
          <w:p>
            <w:r/>
            <w:r>
              <w:rPr>
                <w:sz w:val="18"/>
              </w:rPr>
              <w:t>Potential — near high-priority area</w:t>
            </w:r>
          </w:p>
        </w:tc>
      </w:tr>
      <w:tr>
        <w:tc>
          <w:tcPr>
            <w:tcW w:type="dxa" w:w="2160"/>
          </w:tcPr>
          <w:p>
            <w:r/>
            <w:r>
              <w:rPr>
                <w:sz w:val="18"/>
              </w:rPr>
              <w:t>Sidewalk Zapiola/Drummond (452)</w:t>
            </w:r>
          </w:p>
        </w:tc>
        <w:tc>
          <w:tcPr>
            <w:tcW w:type="dxa" w:w="2160"/>
          </w:tcPr>
          <w:p>
            <w:r/>
            <w:r>
              <w:rPr>
                <w:sz w:val="18"/>
              </w:rPr>
              <w:t>Mayor Drummond</w:t>
            </w:r>
          </w:p>
        </w:tc>
        <w:tc>
          <w:tcPr>
            <w:tcW w:type="dxa" w:w="2160"/>
          </w:tcPr>
          <w:p>
            <w:r/>
            <w:r>
              <w:rPr>
                <w:sz w:val="18"/>
              </w:rPr>
              <w:t>D</w:t>
            </w:r>
          </w:p>
        </w:tc>
        <w:tc>
          <w:tcPr>
            <w:tcW w:type="dxa" w:w="2160"/>
          </w:tcPr>
          <w:p>
            <w:r/>
            <w:r>
              <w:rPr>
                <w:sz w:val="18"/>
              </w:rPr>
              <w:t>Aligned</w:t>
            </w:r>
          </w:p>
        </w:tc>
      </w:tr>
      <w:tr>
        <w:tc>
          <w:tcPr>
            <w:tcW w:type="dxa" w:w="2160"/>
          </w:tcPr>
          <w:p>
            <w:r/>
            <w:r>
              <w:rPr>
                <w:sz w:val="18"/>
              </w:rPr>
              <w:t>Polideportivo sidewalk (463)</w:t>
            </w:r>
          </w:p>
        </w:tc>
        <w:tc>
          <w:tcPr>
            <w:tcW w:type="dxa" w:w="2160"/>
          </w:tcPr>
          <w:p>
            <w:r/>
            <w:r>
              <w:rPr>
                <w:sz w:val="18"/>
              </w:rPr>
              <w:t>Ciudad</w:t>
            </w:r>
          </w:p>
        </w:tc>
        <w:tc>
          <w:tcPr>
            <w:tcW w:type="dxa" w:w="2160"/>
          </w:tcPr>
          <w:p>
            <w:r/>
            <w:r>
              <w:rPr>
                <w:sz w:val="18"/>
              </w:rPr>
              <w:t>A</w:t>
            </w:r>
          </w:p>
        </w:tc>
        <w:tc>
          <w:tcPr>
            <w:tcW w:type="dxa" w:w="2160"/>
          </w:tcPr>
          <w:p>
            <w:r/>
            <w:r>
              <w:rPr>
                <w:sz w:val="18"/>
              </w:rPr>
              <w:t>Low</w:t>
            </w:r>
          </w:p>
        </w:tc>
      </w:tr>
      <w:tr>
        <w:tc>
          <w:tcPr>
            <w:tcW w:type="dxa" w:w="2160"/>
          </w:tcPr>
          <w:p>
            <w:r/>
            <w:r>
              <w:rPr>
                <w:sz w:val="18"/>
              </w:rPr>
              <w:t>Canal bridge / metrotranvía (1274)</w:t>
            </w:r>
          </w:p>
        </w:tc>
        <w:tc>
          <w:tcPr>
            <w:tcW w:type="dxa" w:w="2160"/>
          </w:tcPr>
          <w:p>
            <w:r/>
            <w:r>
              <w:rPr>
                <w:sz w:val="18"/>
              </w:rPr>
              <w:t>Ciudad / corridor</w:t>
            </w:r>
          </w:p>
        </w:tc>
        <w:tc>
          <w:tcPr>
            <w:tcW w:type="dxa" w:w="2160"/>
          </w:tcPr>
          <w:p>
            <w:r/>
            <w:r>
              <w:rPr>
                <w:sz w:val="18"/>
              </w:rPr>
              <w:t>A</w:t>
            </w:r>
          </w:p>
        </w:tc>
        <w:tc>
          <w:tcPr>
            <w:tcW w:type="dxa" w:w="2160"/>
          </w:tcPr>
          <w:p>
            <w:r/>
            <w:r>
              <w:rPr>
                <w:sz w:val="18"/>
              </w:rPr>
              <w:t>Mobility, not green</w:t>
            </w:r>
          </w:p>
        </w:tc>
      </w:tr>
    </w:tbl>
    <w:p>
      <w:pPr>
        <w:spacing w:after="200"/>
      </w:pPr>
      <w:r>
        <w:rPr>
          <w:i/>
          <w:sz w:val="18"/>
        </w:rPr>
        <w:t>Table 10: 2026 works mapped to district green-space priority. “Alignment” asks whether the work sits where the index signals the greatest need.</w:t>
      </w:r>
    </w:p>
    <w:p>
      <w:pPr>
        <w:jc w:val="center"/>
      </w:pPr>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pPr>
        <w:spacing w:after="200"/>
      </w:pPr>
      <w:r>
        <w:rPr>
          <w:i/>
          <w:sz w:val="18"/>
        </w:rPr>
        <w:t>Figure 1: Where green investment is needed versus where the 2026 works are located. Horizontal axis: district green-space sufficiency (A–E; lower = higher priority). Vertical axis: 2026 place-based public-space investment (ARS billion). Ciudad and Carrodilla concentrate spending in already well-served districts; the highest-need districts receive little or none; the department-wide microplazas line is the lever that could close the gap. Source: authors, from the priority index (Oct 2025) and the 2026 Plan de Obras.</w:t>
      </w:r>
    </w:p>
    <w:p>
      <w:pPr>
        <w:spacing w:after="120" w:line="276" w:lineRule="auto"/>
      </w:pPr>
      <w:r>
        <w:t>The exercise exposes the framework’s central tension, and its resolution. Value capture is generated where land is most valuable—the consolidated, transit-served districts that are also the densification zones—yet several of those same districts score poorly on green space, and the equity dimension will likely flag the poorer periphery as most deprived. A city that simply spent each instrument’s proceeds where they arose would entrench that gap. The trust fund is what prevents it: it captures value where value is created and, through the index, redirects it to where need is greatest. Pairing the fund with the index does double duty—it satisfies the financier’s demand for evidence-based prioritisation, and it disciplines the regressive instinct to invest only in neighbourhoods that already have enough.</w:t>
      </w:r>
    </w:p>
    <w:p>
      <w:pPr>
        <w:pStyle w:val="Heading1"/>
      </w:pPr>
      <w:r>
        <w:t>8. Transferability and Policy Implications</w:t>
      </w:r>
    </w:p>
    <w:p>
      <w:pPr>
        <w:pStyle w:val="Heading2"/>
      </w:pPr>
      <w:r>
        <w:t>8.1 What travels</w:t>
      </w:r>
    </w:p>
    <w:p>
      <w:pPr>
        <w:spacing w:after="120" w:line="276" w:lineRule="auto"/>
      </w:pPr>
      <w:r>
        <w:t>The framework was built to be copied, and three features make it portable. It is modular: a city can start with the two instruments that are easiest to administer—a vacant-land surcharge and a development charge, both operational in Luján de Cuyo within a few years—and add the value-capture instruments as capacity grows. It is adaptable: the priority index accommodates different hazards by reweighting dimensions, so a flood-exposed or heat-exposed city can keep the architecture and change the content. And it is leverage-ready: the trust-fund logic works wherever international finance asks for own-source matching and repayment, which is to say almost everywhere.</w:t>
      </w:r>
    </w:p>
    <w:p>
      <w:pPr>
        <w:pStyle w:val="Heading2"/>
      </w:pPr>
      <w:r>
        <w:t>8.2 Enabling conditions and barriers</w:t>
      </w:r>
    </w:p>
    <w:p>
      <w:pPr>
        <w:spacing w:after="120" w:line="276" w:lineRule="auto"/>
      </w:pPr>
      <w:r>
        <w:t>Two conditions are necessary. The first is legal authority to levy the instruments—available here through municipal competence over zoning and local charges, but variable across jurisdictions. The second is land-market data; the Luján de Cuyo experience suggests that GIS-based valuation plus periodic market surveys is enough, and is affordable. The hardest barrier is political economy: land value capture moves wealth from landowners to the community and provokes predictable resistance. The case suggests a workable response—frame the instruments as climate adaptation finance rather than as taxation, and let the earmarking and transparency of the trust fund do the persuading. When residents can see that the charge on a rezoning becomes a plaza or a recharged aquifer in their own district, the politics shift.</w:t>
      </w:r>
    </w:p>
    <w:p>
      <w:pPr>
        <w:pStyle w:val="Heading2"/>
      </w:pPr>
      <w:r>
        <w:t>8.3 Implications for cities and their financiers</w:t>
      </w:r>
    </w:p>
    <w:p>
      <w:pPr>
        <w:spacing w:after="120" w:line="276" w:lineRule="auto"/>
      </w:pPr>
      <w:r>
        <w:t>For mayors, the message is that the adaptation-finance wait can end at the municipal boundary. Cities need not wait for a national programme or a multilateral cheque to begin; they can mobilise the land value their own decisions create, ring-fence it, and use it as the lever that eventually attracts the larger flows. This is the agenda C40 and the wider cities-and-climate community have pressed—own-source revenue, creditworthiness, bankable pipelines, inclusive allocation—rendered as a concrete, replicable mechanism for the intermediate cities that need it most and study it least. For financiers, the implication is symmetric: an instrument that manufactures counterpart funds, repayment capacity, and spatial evidence in one structure is precisely the kind of municipal counterpart that turns a thin pipeline thick.</w:t>
      </w:r>
    </w:p>
    <w:p>
      <w:pPr>
        <w:pStyle w:val="Heading1"/>
      </w:pPr>
      <w:r>
        <w:t>9. Conclusion</w:t>
      </w:r>
    </w:p>
    <w:p>
      <w:pPr>
        <w:spacing w:after="120" w:line="276" w:lineRule="auto"/>
      </w:pPr>
      <w:r>
        <w:t>The alignment between land value capture and climate adaptation has been recognised in the literature for years and implemented almost nowhere. Luján de Cuyo shows what implementation looks like in an intermediate, water-stressed city: six instruments that catch the increment across the development cycle; a fideicomiso that pools them into matched, repayable revenue; and a priority index that points the money toward need. The evidence is partly already in the bank—an elevenfold real rise in one operational charge, a surcharge on more than five thousand idle lots—and partly ahead of it, in instruments calibrated to a real works programme and a real buildability code that could plausibly add a few million dollars a year.</w:t>
      </w:r>
    </w:p>
    <w:p>
      <w:pPr>
        <w:spacing w:after="120" w:line="276" w:lineRule="auto"/>
      </w:pPr>
      <w:r>
        <w:t>The honest limitations are the obverse of the contribution. The value-capture instruments are designed, not yet transacting, so their figures are scenarios anchored to real parameters rather than observed flows; the priority index is one dimension into a six-dimension build; and the full leverage chain remains to be tested in the bond market. None of this weakens the central claim. The claim is not that Luján de Cuyo has solved adaptation finance, but that it has built a machine that other cities can build too—one that converts the land-use windfall, which water-stressed regions are generating in abundance, into the bankable own-source revenue that the climate-finance system rewards.</w:t>
      </w:r>
    </w:p>
    <w:p>
      <w:pPr>
        <w:spacing w:after="120" w:line="276" w:lineRule="auto"/>
      </w:pPr>
      <w:r>
        <w:t>Two and a half billion people live in water-stressed countries, and the cities among them will not be saved by templates designed for somewhere else. They will need models that begin with what they have. The land beneath a growing city is rising in value every day; the question is only who captures the increment, and what they do with it. Luján de Cuyo offers one answer—capture it, ring-fence it, and spend it where the city most needs to adapt—and an institutional architecture, debated and refined in the friction of municipal politics, for any city ready to give the same answer.</w:t>
      </w:r>
    </w:p>
    <w:p>
      <w:pPr>
        <w:pStyle w:val="Heading1"/>
      </w:pPr>
      <w:r>
        <w:t>References</w:t>
      </w:r>
    </w:p>
    <w:p>
      <w:pPr>
        <w:spacing w:after="80"/>
        <w:ind w:left="432" w:hanging="432"/>
      </w:pPr>
      <w:r>
        <w:rPr>
          <w:sz w:val="18"/>
        </w:rPr>
        <w:t>Alterman, R. (2012). Land use regulations and property values: The “Windfall Capture” idea revisited. In N. Brooks, K. Donaghy, &amp; G. Knaap (Eds.), The Oxford Handbook of Urban Economics and Planning (pp. 755–786). Oxford University Press.</w:t>
      </w:r>
    </w:p>
    <w:p>
      <w:pPr>
        <w:spacing w:after="80"/>
        <w:ind w:left="432" w:hanging="432"/>
      </w:pPr>
      <w:r>
        <w:rPr>
          <w:sz w:val="18"/>
        </w:rPr>
        <w:t>Blanco, A., Moreno, N., Vetter, D., &amp; Vetter, M. (2016). The Potential of Land Value Capture for Financing Urban Projects. Inter-American Development Bank.</w:t>
      </w:r>
    </w:p>
    <w:p>
      <w:pPr>
        <w:spacing w:after="80"/>
        <w:ind w:left="432" w:hanging="432"/>
      </w:pPr>
      <w:r>
        <w:rPr>
          <w:sz w:val="18"/>
        </w:rPr>
        <w:t>C40 Cities Climate Leadership Group. (2023). Cities Finance Facility and the urban adaptation finance gap. C40 Cities.</w:t>
      </w:r>
    </w:p>
    <w:p>
      <w:pPr>
        <w:spacing w:after="80"/>
        <w:ind w:left="432" w:hanging="432"/>
      </w:pPr>
      <w:r>
        <w:rPr>
          <w:sz w:val="18"/>
        </w:rPr>
        <w:t>Cities Climate Finance Leadership Alliance (CCFLA). (2021). The State of Cities Climate Finance.</w:t>
      </w:r>
    </w:p>
    <w:p>
      <w:pPr>
        <w:spacing w:after="80"/>
        <w:ind w:left="432" w:hanging="432"/>
      </w:pPr>
      <w:r>
        <w:rPr>
          <w:sz w:val="18"/>
        </w:rPr>
        <w:t>Coalition for Urban Transitions. (2019). Climate Emergency, Urban Opportunity. WRI Ross Center &amp; C40.</w:t>
      </w:r>
    </w:p>
    <w:p>
      <w:pPr>
        <w:spacing w:after="80"/>
        <w:ind w:left="432" w:hanging="432"/>
      </w:pPr>
      <w:r>
        <w:rPr>
          <w:sz w:val="18"/>
        </w:rPr>
        <w:t>Duranton, G., &amp; Puga, D. (2015). Urban land use. In G. Duranton, J. V. Henderson, &amp; W. Strange (Eds.), Handbook of Regional and Urban Economics, Vol. 5 (pp. 467–560). Elsevier.</w:t>
      </w:r>
    </w:p>
    <w:p>
      <w:pPr>
        <w:spacing w:after="80"/>
        <w:ind w:left="432" w:hanging="432"/>
      </w:pPr>
      <w:r>
        <w:rPr>
          <w:sz w:val="18"/>
        </w:rPr>
        <w:t>Fankhauser, S., &amp; Schmidt-Traub, G. (2011). From adaptation to climate-resilient development. Climate and Development, 3(2), 94–113.</w:t>
      </w:r>
    </w:p>
    <w:p>
      <w:pPr>
        <w:spacing w:after="80"/>
        <w:ind w:left="432" w:hanging="432"/>
      </w:pPr>
      <w:r>
        <w:rPr>
          <w:sz w:val="18"/>
        </w:rPr>
        <w:t>George, H. (1879). Progress and Poverty. Appleton.</w:t>
      </w:r>
    </w:p>
    <w:p>
      <w:pPr>
        <w:spacing w:after="80"/>
        <w:ind w:left="432" w:hanging="432"/>
      </w:pPr>
      <w:r>
        <w:rPr>
          <w:sz w:val="18"/>
        </w:rPr>
        <w:t>Glaeser, E. (2011). Triumph of the City. Penguin Press.</w:t>
      </w:r>
    </w:p>
    <w:p>
      <w:pPr>
        <w:spacing w:after="80"/>
        <w:ind w:left="432" w:hanging="432"/>
      </w:pPr>
      <w:r>
        <w:rPr>
          <w:sz w:val="18"/>
        </w:rPr>
        <w:t>Global Commission on Adaptation. (2019). Adapt Now: A Global Call for Leadership on Climate Resilience.</w:t>
      </w:r>
    </w:p>
    <w:p>
      <w:pPr>
        <w:spacing w:after="80"/>
        <w:ind w:left="432" w:hanging="432"/>
      </w:pPr>
      <w:r>
        <w:rPr>
          <w:sz w:val="18"/>
        </w:rPr>
        <w:t>Ingram, G. K., &amp; Hong, Y. H. (Eds.). (2012). Value Capture and Land Policies. Lincoln Institute of Land Policy.</w:t>
      </w:r>
    </w:p>
    <w:p>
      <w:pPr>
        <w:spacing w:after="80"/>
        <w:ind w:left="432" w:hanging="432"/>
      </w:pPr>
      <w:r>
        <w:rPr>
          <w:sz w:val="18"/>
        </w:rPr>
        <w:t>IPCC. (2022). Climate Change 2022: Impacts, Adaptation and Vulnerability. Cambridge University Press.</w:t>
      </w:r>
    </w:p>
    <w:p>
      <w:pPr>
        <w:spacing w:after="80"/>
        <w:ind w:left="432" w:hanging="432"/>
      </w:pPr>
      <w:r>
        <w:rPr>
          <w:sz w:val="18"/>
        </w:rPr>
        <w:t>Maldonado, M. M. (2013). Land value capture in Colombia. In M. M. Smolka &amp; D. Amborski (Eds.), Recuperación de Plusvalías en América Latina. Lincoln Institute.</w:t>
      </w:r>
    </w:p>
    <w:p>
      <w:pPr>
        <w:spacing w:after="80"/>
        <w:ind w:left="432" w:hanging="432"/>
      </w:pPr>
      <w:r>
        <w:rPr>
          <w:sz w:val="18"/>
        </w:rPr>
        <w:t>OECD &amp; Lincoln Institute of Land Policy. (2022). Global Compendium of Land Value Capture Policies. OECD Publishing.</w:t>
      </w:r>
    </w:p>
    <w:p>
      <w:pPr>
        <w:spacing w:after="80"/>
        <w:ind w:left="432" w:hanging="432"/>
      </w:pPr>
      <w:r>
        <w:rPr>
          <w:sz w:val="18"/>
        </w:rPr>
        <w:t>Smolka, M. O. (2013). Implementing Value Capture in Latin America. Lincoln Institute of Land Policy.</w:t>
      </w:r>
    </w:p>
    <w:p>
      <w:pPr>
        <w:spacing w:after="80"/>
        <w:ind w:left="432" w:hanging="432"/>
      </w:pPr>
      <w:r>
        <w:rPr>
          <w:sz w:val="18"/>
        </w:rPr>
        <w:t>Suzuki, H., Murakami, J., Hong, Y. H., &amp; Tamayose, B. (2015). Financing Transit-Oriented Development with Land Values. World Bank Group.</w:t>
      </w:r>
    </w:p>
    <w:p>
      <w:pPr>
        <w:spacing w:after="80"/>
        <w:ind w:left="432" w:hanging="432"/>
      </w:pPr>
      <w:r>
        <w:rPr>
          <w:sz w:val="18"/>
        </w:rPr>
        <w:t>UNEP. (2023). Adaptation Gap Report 2023: Underfinanced. Underprepared. United Nations Environment Programme.</w:t>
      </w:r>
    </w:p>
    <w:p>
      <w:pPr>
        <w:spacing w:after="80"/>
        <w:ind w:left="432" w:hanging="432"/>
      </w:pPr>
      <w:r>
        <w:rPr>
          <w:sz w:val="18"/>
        </w:rPr>
        <w:t>United Nations. (2023). The United Nations World Water Development Report 2023. UNESCO.</w:t>
      </w:r>
    </w:p>
    <w:p>
      <w:pPr>
        <w:spacing w:after="80"/>
        <w:ind w:left="432" w:hanging="432"/>
      </w:pPr>
      <w:r>
        <w:rPr>
          <w:sz w:val="18"/>
        </w:rPr>
        <w:t>World Bank. (2021). What the Future Has in Store: A New Paradigm for Water Storage. World Bank Publications.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