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Cover Letter</w:t>
      </w:r>
    </w:p>
    <w:p>
      <w:pPr>
        <w:spacing w:after="120" w:line="276" w:lineRule="auto"/>
      </w:pPr>
      <w:r>
        <w:t>To: Sarah Lewis, Managing Editor, Journal of City Climate Policy &amp; Economy (slewis@c40.org)</w:t>
      </w:r>
    </w:p>
    <w:p>
      <w:pPr>
        <w:spacing w:after="120" w:line="276" w:lineRule="auto"/>
      </w:pPr>
      <w:r>
        <w:t>Re: Abstract submission — Special Issue on “Financing Sustainable Cities: Mobilising Capital for Equitable, Resilient and Low-Carbon Urban Futures.”</w:t>
      </w:r>
    </w:p>
    <w:p>
      <w:pPr>
        <w:spacing w:after="120" w:line="276" w:lineRule="auto"/>
      </w:pPr>
      <w:r>
        <w:t>Dear Sarah,</w:t>
      </w:r>
    </w:p>
    <w:p>
      <w:pPr>
        <w:spacing w:after="120" w:line="276" w:lineRule="auto"/>
      </w:pPr>
      <w:r>
        <w:t>Please find attached an Original Research submission, “Financing Water-Resilient Cities through Multi-Instrument Land Value Capture: Evidence from Luján de Cuyo, Argentina.” It presents both realized revenue and ex ante estimates for a six-instrument land value capture (LVC) package channelled through a municipal Trust Fund (Fideicomiso) and governed by a Sustainable Urbanism Priority Index, currently before the Concejo Deliberante of Luján de Cuyo (Mendoza, Argentina).</w:t>
      </w:r>
    </w:p>
    <w:p>
      <w:pPr>
        <w:spacing w:after="120" w:line="276" w:lineRule="auto"/>
      </w:pPr>
      <w:r>
        <w:t>The case speaks to two priorities in the call. First, it builds the point of tangency between the land value capture and climate-finance literatures that Dunning and Lord (2020) identify as missing. Second, it documents LVC outside the coastal-flooding contexts where the evidence has clustered: a Majority-World, slow-onset, water-scarcity setting under binding hydrological and macroeconomic constraints. The analysis foregrounds incidence—who pays and who benefits—and shows how the Fideicomiso’s indicator-based disbursement rule guards against regressive outcomes. Unusually for an ex ante case, two of the instruments already operate and collect revenue, which lets us anchor the projections in observed municipal data rather than assumption alone. The research forms part of a 12-month case study supported by the Lincoln Institute of Land Policy.</w:t>
      </w:r>
    </w:p>
    <w:p>
      <w:pPr>
        <w:spacing w:after="120" w:line="276" w:lineRule="auto"/>
      </w:pPr>
      <w:r>
        <w:t>I would welcome your guidance on fit, and would gladly develop an accompanying Policy Guidelines piece with municipal counterparts and LILP if that would strengthen the issue.</w:t>
      </w:r>
    </w:p>
    <w:p>
      <w:pPr>
        <w:spacing w:after="120" w:line="276" w:lineRule="auto"/>
      </w:pPr>
      <w:r>
        <w:t>With thanks,</w:t>
      </w:r>
    </w:p>
    <w:p>
      <w:pPr>
        <w:spacing w:after="120" w:line="276" w:lineRule="auto"/>
      </w:pPr>
      <w:r>
        <w:t>Cynthia Goytia, Ph.D. — Director, CIPUV, Universidad Torcuato Di Tella, Buenos Aires.</w:t>
      </w:r>
    </w:p>
    <w:p>
      <w:r>
        <w:br w:type="page"/>
      </w:r>
    </w:p>
    <w:p>
      <w:pPr>
        <w:jc w:val="center"/>
      </w:pPr>
      <w:r>
        <w:rPr>
          <w:b/>
          <w:i w:val="0"/>
          <w:sz w:val="34"/>
        </w:rPr>
        <w:t>Financing Water-Resilient Cities through Multi-Instrument Land Value Capture: Evidence from Luján de Cuyo, Argentina</w:t>
      </w:r>
    </w:p>
    <w:p>
      <w:pPr>
        <w:jc w:val="center"/>
      </w:pPr>
      <w:r>
        <w:rPr>
          <w:b w:val="0"/>
          <w:i w:val="0"/>
          <w:sz w:val="24"/>
        </w:rPr>
        <w:t>Cynthia Goytia, Ph.D.</w:t>
      </w:r>
    </w:p>
    <w:p>
      <w:pPr>
        <w:jc w:val="center"/>
      </w:pPr>
      <w:r>
        <w:rPr>
          <w:b w:val="0"/>
          <w:i/>
          <w:sz w:val="20"/>
        </w:rPr>
        <w:t>Center for Urban and Real Estate Research (CIPUV), Universidad Torcuato Di Tella, Buenos Aires — cgoytia@utdt.edu</w:t>
      </w:r>
    </w:p>
    <w:p>
      <w:pPr>
        <w:jc w:val="center"/>
      </w:pPr>
      <w:r>
        <w:rPr>
          <w:b w:val="0"/>
          <w:i/>
          <w:sz w:val="20"/>
        </w:rPr>
        <w:t>Article type: Original Research · Special Issue: Financing Sustainable Cities (JCCPE)</w:t>
      </w:r>
    </w:p>
    <w:p/>
    <w:p>
      <w:pPr>
        <w:pStyle w:val="Heading1"/>
      </w:pPr>
      <w:r>
        <w:t>Abstract</w:t>
      </w:r>
    </w:p>
    <w:p>
      <w:pPr>
        <w:spacing w:after="120" w:line="276" w:lineRule="auto"/>
      </w:pPr>
      <w:r>
        <w:t>Municipalities are now on the front line of climate action, yet they routinely lack the financial tools, autonomy, and access to capital to deliver it—and the finance that does flow favours cities already equipped to compete for it, not those most exposed (Clifton et al., 2025). This article asks how a city can close the gap between climate ambition and financial reality from its own tax base, while keeping equity, human wellbeing, and environmental limits at the centre. Its answer is an underexploited derisking mechanism: a six-instrument land value capture (LVC) package, ring-fenced in a municipal Trust Fund (Fideicomiso) and allocated by a district-level Sustainable Urbanism Priority Index. LVC has developed apart from climate finance (Dunning and Lord, 2020), and its climate applications cluster in coastal-flooding contexts; this case is the opposite—Luján de Cuyo (Mendoza, Argentina; ~175,000 residents, 46% intercensal growth), a water-stressed Majority-World city where converting vineyards to housing yields windfalls while draining the aquifer that gives the land its value. The instruments tax that conversion and route the proceeds—through a vehicle multilateral lenders (CAF, IDB, GCF) and bond markets can underwrite—to the districts with least green space, water, and services; incidence—who pays, who benefits—is a design variable. Two instruments already operate: a surcharge on 5,315 idle lots and a water-and-sewer charge up elevenfold in real terms (2021–2025). The full package, calibrated to the 2026 works programme and buildability code, could raise USD 1.8–5.6 million a year (≈ USD 3 million central), before leverage—a replicable template for water-stressed cities.</w:t>
      </w:r>
    </w:p>
    <w:p>
      <w:r>
        <w:rPr>
          <w:b/>
        </w:rPr>
        <w:t xml:space="preserve">Keywords: </w:t>
      </w:r>
      <w:r>
        <w:t>land value capture; climate adaptation finance; municipal trust funds; water scarcity; Majority-World cities; multi-instrument coordination; incidence and equity; Argentina</w:t>
      </w:r>
    </w:p>
    <w:p>
      <w:pPr>
        <w:pStyle w:val="Heading1"/>
      </w:pPr>
      <w:r>
        <w:t>Lessons for Policymakers</w:t>
      </w:r>
    </w:p>
    <w:p>
      <w:pPr>
        <w:spacing w:after="120" w:line="276" w:lineRule="auto"/>
      </w:pPr>
      <w:r>
        <w:t>A ring-fenced, indicator-governed Trust Fund is the city’s gateway to international climate finance. With a predictable, indexed LVC revenue base, the Fideicomiso is the vehicle multilateral lenders (CAF, IDB, World Bank, GCF) and bond markets are prepared to underwrite. Cities with this architecture can issue green or sustainability-linked bonds against their own revenue and borrow on their own balance sheet; cities without it remain dependent on national-government intermediation. Without earmarking, LVC proceeds dissipate into general budgets and lose both their political weight and their leverage capacity.</w:t>
      </w:r>
    </w:p>
    <w:p>
      <w:pPr>
        <w:spacing w:after="120" w:line="276" w:lineRule="auto"/>
      </w:pPr>
      <w:r>
        <w:t>Multi-instrument coordination beats single-instrument optimisation. Betterment contributions set a predictable spatial revenue floor; participation in rezoning gains captures the largest discrete uplifts; an idle-land surcharge corrects a Pigouvian externality at the urban edge; building rights price marginal density. A package is more resilient to political cycles than any single instrument—and two of these instruments can already be collecting revenue before the others are sanctioned.</w:t>
      </w:r>
    </w:p>
    <w:p>
      <w:pPr>
        <w:spacing w:after="120" w:line="276" w:lineRule="auto"/>
      </w:pPr>
      <w:r>
        <w:t>Water-scarcity adaptation is financeable with land-based revenue. Documented LVC applications cluster in coastal-flooding contexts; this case shows the architecture transfers to slow-onset, water-stressed settings, where binding hydrological constraints on developable land reinforce the capitalisation logic of LVC.</w:t>
      </w:r>
    </w:p>
    <w:p>
      <w:pPr>
        <w:spacing w:after="120" w:line="276" w:lineRule="auto"/>
      </w:pPr>
      <w:r>
        <w:t>Recommended actions: (i) legislate LVC instruments as a package, not piecemeal; (ii) ring-fence revenues through a Trust Fund designed from day one as a leverage vehicle; (iii) bind allocation to an indicator-based sustainability index that foregrounds incidence—who pays and who benefits; (iv) index instrument bases against inflation; (v) issue green or sustainability-linked bonds and unlock multilateral climate finance against the earmarked revenue stream.</w:t>
      </w:r>
    </w:p>
    <w:p>
      <w:pPr>
        <w:pStyle w:val="Heading1"/>
      </w:pPr>
      <w:r>
        <w:t>1. Introduction</w:t>
      </w:r>
    </w:p>
    <w:p>
      <w:pPr>
        <w:pStyle w:val="Heading2"/>
      </w:pPr>
      <w:r>
        <w:t>1.1 A finance problem disguised as an engineering problem</w:t>
      </w:r>
    </w:p>
    <w:p>
      <w:pPr>
        <w:spacing w:after="120" w:line="276" w:lineRule="auto"/>
      </w:pPr>
      <w:r>
        <w:t>Adaptation is usually framed as a question of engineering: build the seawall, lay the larger pipe, plant the trees. For most cities the binding constraint is not knowing what to build but finding the money to build it. The United Nations Environment Programme puts developing-country adaptation needs at USD 215–387 billion per year this decade and finds that actual flows cover a small fraction. For cities the shortfall is starker still: urban climate finance roughly doubled to about USD 831 billion by 2022, yet the Cities Climate Finance Leadership Alliance reckons it must rise more than fivefold this decade, and that cities in emerging and developing economies alone need on the order of USD 147 billion a year for adaptation by 2030 (CCFLA, 2024). The shortfall is not evenly distributed. Coastal megacities and national capitals commission feasibility studies, issue debt, and negotiate with multilateral funds; the intermediate cities of the Majority World, where much of the planet’s urban growth is now happening, cannot. They lack the credit ratings, the technical staff, and—most quietly fatal—the documented, dedicated revenue that international financiers treat as the price of admission.</w:t>
      </w:r>
    </w:p>
    <w:p>
      <w:pPr>
        <w:spacing w:after="120" w:line="276" w:lineRule="auto"/>
      </w:pPr>
      <w:r>
        <w:t>This is the bankability problem at the heart of the climate-and-cities agenda. Cities are where adaptation succeeds or fails, and mayors decide; yet the pipeline of investment-ready urban projects stays thin even though adaptation routinely returns two to ten dollars on the dollar. The obstacle is structural. Adaptation benefits—water security, cooler streets, intact recharge zones—are diffuse and hard to charge for, so they seldom yield a tariff a lender can lend against. And the institutions that would assemble such projects need finance to build capacity but capacity to attract finance. The worst-served cities cannot climb out of this trap on their own.</w:t>
      </w:r>
    </w:p>
    <w:p>
      <w:pPr>
        <w:spacing w:after="120" w:line="276" w:lineRule="auto"/>
      </w:pPr>
      <w:r>
        <w:t>This bias is not hypothetical; it is the observed pattern. Examining European Investment Bank climate lending in 2021–2023, Clifton et al. (2025) find that finance flowed disproportionately to large metropolitan regions—the places with the deepest institutions, the thickest pipelines, and the most technical capacity—rather than to the regions most exposed to the transition. Climate money follows capability more than need, producing a two-speed transition. If that bias holds in Europe, with its dense institutions, it holds with greater force across the Majority World. The lesson reframes the task: the binding problem for an intermediate city is not the scarcity of global capital but its own inability to compete for it. Build the capability—the revenue, the pipeline, the evidence—and the geography of climate finance can begin to shift.</w:t>
      </w:r>
    </w:p>
    <w:p>
      <w:pPr>
        <w:spacing w:after="120" w:line="276" w:lineRule="auto"/>
      </w:pPr>
      <w:r>
        <w:t>We argue that building that capability begins with a resource these cities already own but rarely capture: the rise in land value that public action and urban growth create. Land value capture is not new—it is among the oldest ideas in public finance—but it can be wired directly into climate adaptation, and doing so manufactures exactly the ingredient the bankability problem lacks: an own-source, ring-fenced, growing revenue stream an external financier can underwrite.</w:t>
      </w:r>
    </w:p>
    <w:p>
      <w:pPr>
        <w:pStyle w:val="Heading2"/>
      </w:pPr>
      <w:r>
        <w:t>1.2 Land, water, and the windfall nobody is taxing</w:t>
      </w:r>
    </w:p>
    <w:p>
      <w:pPr>
        <w:spacing w:after="120" w:line="276" w:lineRule="auto"/>
      </w:pPr>
      <w:r>
        <w:t>Land prices are the urban economy’s information system. They capitalise, into one observable number, the value of access, infrastructure, regulation, and amenity. When a city paves a road, extends a water main, or rezones a vineyard for housing, it does not merely change the map—it transfers wealth to whoever owns the affected land. Henry George saw the implication a century and a half ago, and the modern economics of capitalisation (Glaeser, 2011; Duranton &amp; Puga, 2015) has sharpened it: much urban land value is “unearned” by the owner in any productive sense, which makes it an unusually efficient and unusually fair base for public revenue.</w:t>
      </w:r>
    </w:p>
    <w:p>
      <w:pPr>
        <w:spacing w:after="120" w:line="276" w:lineRule="auto"/>
      </w:pPr>
      <w:r>
        <w:t>In a water-stressed region the windfall and the damage are joined at the hip. In Luján de Cuyo a hectare of vineyard rezoned for subdivision can multiply in value several-fold; the same conversion seals a permeable surface, removes a recharge area, swaps irrigation demand for higher-per-capita domestic demand, and erases a carbon sink. Private gain and collective cost are produced by one and the same act. We call this the water–land value paradox: development capitalises a premium that depends on water security while undermining the water security on which the premium depends. The paradox is also the opportunity. Capturing a slice of the development-generated increment to finance water and green infrastructure does not merely raise revenue; it closes the loop between the activity that creates the adaptation cost and the instrument that pays for the response.</w:t>
      </w:r>
    </w:p>
    <w:p>
      <w:pPr>
        <w:pStyle w:val="Heading2"/>
      </w:pPr>
      <w:r>
        <w:t>1.3 What this paper does</w:t>
      </w:r>
    </w:p>
    <w:p>
      <w:pPr>
        <w:spacing w:after="120" w:line="276" w:lineRule="auto"/>
      </w:pPr>
      <w:r>
        <w:t>We study Luján de Cuyo not as a model on paper but as a system under construction. Between 2023 and 2026 the municipality designed an Ordinance of Urban-Economy Instruments, created a land bank and an earmarked urban-economy fund, advanced a fideicomiso to administer them, drafted a new buildability code, and began computing a district-level priority index. We ask three questions. First, can a coordinated set of LVC instruments generate dedicated adaptation revenue in an intermediate, water-stressed, Majority-World city? Second, what institutional architecture turns that revenue into access to international climate finance? Third—and central to this journal’s concern that climate finance can entrench inequity—how can the allocation of the proceeds embed incidence and equity, directing investment to the districts that most need it while the charges fall on those who capture the windfall?</w:t>
      </w:r>
    </w:p>
    <w:p>
      <w:pPr>
        <w:spacing w:after="120" w:line="276" w:lineRule="auto"/>
      </w:pPr>
      <w:r>
        <w:t>Our answers rest on real municipal data, and we are deliberate about the line between evidence and estimate. We report what two operational instruments actually collect; we size the designed instruments against the city’s genuine 2026 works programme, its land-value and built-value maps, and its new buildability schedule, reporting conservative, baseline, and optimistic scenarios; and we test whether planned investment goes where the priority index says it is needed. Section 2 places the argument in the literatures on land value capture, adaptation finance, and water and land markets. Section 3 introduces the case and the data. Section 4 sets out the six instruments. Section 5 develops the trust-fund architecture and its role as a matching-funds and repayment vehicle. Section 6 describes the priority index. Section 7 presents the revenue, incidence, and financing-gap estimates. Section 8 turns to transferability, and Section 9 concludes.</w:t>
      </w:r>
    </w:p>
    <w:p>
      <w:pPr>
        <w:pStyle w:val="Heading1"/>
      </w:pPr>
      <w:r>
        <w:t>2. Land Value Capture, Adaptation Finance, and Water</w:t>
      </w:r>
    </w:p>
    <w:p>
      <w:pPr>
        <w:pStyle w:val="Heading2"/>
      </w:pPr>
      <w:r>
        <w:t>2.1 Land value capture: a mature idea, an uneven practice</w:t>
      </w:r>
    </w:p>
    <w:p>
      <w:pPr>
        <w:spacing w:after="120" w:line="276" w:lineRule="auto"/>
      </w:pPr>
      <w:r>
        <w:t>Land value capture recovers for the public some of the land-value increment created by public investment, regulation, or growth. Latin America has experimented with it for the better part of a century, from Colombia’s contribución de valorización to São Paulo’s auctioned building-rights certificates (CEPACs) and Brazil’s 2001 City Statute, and the toolkit is now well catalogued (Smolka, 2013; OECD &amp; Lincoln Institute, 2022). The recurring lesson is that the gap is not legal authorisation but execution: weak valuation, landowner resistance, and thin administrative capacity hollow out instruments that look powerful on paper. Those constraints bite hardest precisely where the literature looks least—in intermediate cities, understudied relative to the metropolises that supply most of the evidence.</w:t>
      </w:r>
    </w:p>
    <w:p>
      <w:pPr>
        <w:pStyle w:val="Heading2"/>
      </w:pPr>
      <w:r>
        <w:t>2.2 The bankability gap in urban adaptation finance</w:t>
      </w:r>
    </w:p>
    <w:p>
      <w:pPr>
        <w:spacing w:after="120" w:line="276" w:lineRule="auto"/>
      </w:pPr>
      <w:r>
        <w:t>The adaptation-finance literature and the practitioner community converge on a diagnosis: the problem is less the absence of capital than the absence of bankable projects to absorb it. The Global Commission on Adaptation documented benefit–cost ratios that should make adaptation an easy sell; the cities-and-climate community has shown why it is not. Urban adaptation goods are non-excludable and hard to monetise; municipal balance sheets are opaque or unrated; and the documentation thresholds of facilities such as the Green Climate Fund exceed what most intermediate cities can produce. The emerging consensus—visible in the creditworthiness agenda of the Coalition for Urban Transitions—is that own-source revenue is the hinge: it provides counterpart funding, signals commitment, and underwrites repayment. C40’s own analysis of urban adaptation reaches the same conclusion from the practitioner side: cities mobilise private investment when they can present clear revenue models, investable project pipelines, and strong enabling conditions (C40 Cities &amp; GCoM, 2026)—the very three things the architecture in this paper is built to supply. Crucially, the LVC and climate-finance literatures have run on separate tracks; Dunning and Lord (2020) note the missing point of tangency between them. What the consensus has lacked is a concrete, documented mechanism for generating such revenue at the intermediate-city scale, and for coupling it to adaptation. That is the gap this paper addresses.</w:t>
      </w:r>
    </w:p>
    <w:p>
      <w:pPr>
        <w:pStyle w:val="Heading2"/>
      </w:pPr>
      <w:r>
        <w:t>2.3 Water, land markets, and the case for coupling</w:t>
      </w:r>
    </w:p>
    <w:p>
      <w:pPr>
        <w:spacing w:after="120" w:line="276" w:lineRule="auto"/>
      </w:pPr>
      <w:r>
        <w:t>Access to reliable water is capitalised into land values—premiums of roughly 8 to 25 percent are reported for arid and semi-arid settings—and scarcity discounts them. Where irrigated agricultural land converts to housing, the price jump reflects both the change in permitted use and an implicit bet on continued water availability, even as the conversion degrades the hydrological system that justifies the bet. Coupling LVC to adaptation is therefore not merely administratively convenient but economically coherent: the instrument taxes the transaction that produces the externality and channels the proceeds to the investments that offset it. The conceptual move here is to treat land value capture not as a revenue tool bolted onto a climate plan, but as an element of climate governance in its own right—linking land-use regulation, fiscal policy, and adaptation within one institutional architecture.</w:t>
      </w:r>
    </w:p>
    <w:p>
      <w:pPr>
        <w:pStyle w:val="Heading1"/>
      </w:pPr>
      <w:r>
        <w:t>3. Case and Method</w:t>
      </w:r>
    </w:p>
    <w:p>
      <w:pPr>
        <w:pStyle w:val="Heading2"/>
      </w:pPr>
      <w:r>
        <w:t>3.1 Luján de Cuyo: growth on a water budget</w:t>
      </w:r>
    </w:p>
    <w:p>
      <w:pPr>
        <w:spacing w:after="120" w:line="276" w:lineRule="auto"/>
      </w:pPr>
      <w:r>
        <w:t>Luján de Cuyo sits at the foot of the Andes in Mendoza, in one of the world’s great wine regions and one of its drier inhabited landscapes—annual precipitation near 200 millimetres, far below the rainfed-agriculture threshold. Everything productive depends on Andean snowmelt routed through an irrigation network older than the republic. Two trends are now colliding. The snowpack that feeds the system has thinned over three decades of warming, while the population has grown fast: the 2022 census counts about 175,000 residents, roughly 46 percent more than in 2010. Growth is eating the irrigated periphery. Vineyards and orchards that doubled as recharge zones are being subdivided, and each converted hectare adds domestic water demand while subtracting the permeability that recharges the aquifer—the water–land value paradox in its most literal form.</w:t>
      </w:r>
    </w:p>
    <w:p>
      <w:pPr>
        <w:pStyle w:val="Heading2"/>
      </w:pPr>
      <w:r>
        <w:t>3.2 An institutional opening</w:t>
      </w:r>
    </w:p>
    <w:p>
      <w:pPr>
        <w:spacing w:after="120" w:line="276" w:lineRule="auto"/>
      </w:pPr>
      <w:r>
        <w:t>Argentina’s federal arrangement gives Mendoza’s municipalities real authority over zoning, building permits, and local charges, while the province retains water rights and trunk infrastructure. Luján de Cuyo used that authority. Confronting peri-urban expansion that was generating unsustainable water demand, the municipality assembled, over 2023–2026, the legal scaffolding for an integrated system: an Ordinance of Urban-Economy Instruments; a Municipal Land and Real-Estate Bank and an earmarked Urban-Economy Fund (Ordinances 15081 and 15093 of 2025); an administration trust to pool the flows; a draft buildability code (COS 2026); and a priority index built by a municipal public-policy laboratory. The case is therefore unusually well suited to study, because the instruments are not hypothetical—they are at the edge of implementation, and some already collect revenue.</w:t>
      </w:r>
    </w:p>
    <w:p>
      <w:pPr>
        <w:pStyle w:val="Heading2"/>
      </w:pPr>
      <w:r>
        <w:t>3.3 Data and approach</w:t>
      </w:r>
    </w:p>
    <w:p>
      <w:pPr>
        <w:spacing w:after="120" w:line="276" w:lineRule="auto"/>
      </w:pPr>
      <w:r>
        <w:t>This is a single-case study built from primary municipal material gathered between 2018 and 2026: ordinances and the draft instruments code; the 2026 public-works programme; the 2026 tax roll and the vacant-land padrón; collection records for the operational charges; the municipal land-value, built-value, and fiscal-assessment maps; the draft COS 2026 buildability schedule and a comparative zoning analysis; and the priority-index methodology with its first district-level results. We are explicit throughout about the status of every figure. Revenue from the two operational instruments is realized and drawn from municipal records; estimates for the designed instruments apply the ordinance’s own formulas to real parameters—works costs, land and built values, buildability—rather than to assumed transaction volumes, and reported as conservative-to-optimistic scenarios. All peso figures are expressed in inflation-adjusted, exchange-rate-converted US dollars; the Tax Unit is set at its 2026 value (ARS 235) and conversions use the 2025 average rate (ARS 1,244.17/USD). Where a parameter is genuinely unobserved—above all the future take-up of instruments not yet in force—we say so and bound it.</w:t>
      </w:r>
    </w:p>
    <w:p>
      <w:pPr>
        <w:pStyle w:val="Heading1"/>
      </w:pPr>
      <w:r>
        <w:t>4. Six Land Value Capture Instruments</w:t>
      </w:r>
    </w:p>
    <w:p>
      <w:pPr>
        <w:spacing w:after="120" w:line="276" w:lineRule="auto"/>
      </w:pPr>
      <w:r>
        <w:t>The framework coordinates six instruments, each catching the increment at a different point in the land-development cycle. They are designed to function as a system, not a menu: what one instrument leaves on the table another recovers, and all of them drain into the same fund.</w:t>
      </w:r>
    </w:p>
    <w:p>
      <w:pPr>
        <w:pStyle w:val="Heading2"/>
      </w:pPr>
      <w:r>
        <w:t>4.1 Betterment contributions (Contribución por Mejoras)</w:t>
      </w:r>
    </w:p>
    <w:p>
      <w:pPr>
        <w:spacing w:after="120" w:line="276" w:lineRule="auto"/>
      </w:pPr>
      <w:r>
        <w:t>When a public work raises the value of nearby property, the betterment contribution recovers part of that increment from the owners who gained. In Luján de Cuyo it attaches to investments in water distribution, stormwater and aquifer-recharge infrastructure, and public green space, with benefit zones delineated by GIS and the charge set as a share of the assessed uplift—typically 30 to 50 percent—payable in instalments to spare lower-income households. Water-related betterment revenue is earmarked to the adaptation fund, so the instrument both finances the work and demonstrates, in cash, that the work paid.</w:t>
      </w:r>
    </w:p>
    <w:p>
      <w:pPr>
        <w:pStyle w:val="Heading2"/>
      </w:pPr>
      <w:r>
        <w:t>4.2 Differential rent capture from rezoning (Participación en la Valoración de Activos)</w:t>
      </w:r>
    </w:p>
    <w:p>
      <w:pPr>
        <w:spacing w:after="120" w:line="276" w:lineRule="auto"/>
      </w:pPr>
      <w:r>
        <w:t>Rezoning is the single largest manufacturer of unearned increment, and this instrument taxes it directly: owners who benefit from a change of use or a rise in permitted intensity contribute a share of the difference between the pre- and post-decision value. Its logic is the paper’s logic in miniature. Every conversion of permeable agricultural land to impervious residential use triggers, in the same instrument, both the recognition of a private gain and a payment toward the public response.</w:t>
      </w:r>
    </w:p>
    <w:p>
      <w:pPr>
        <w:pStyle w:val="Heading2"/>
      </w:pPr>
      <w:r>
        <w:t>4.3 Vacant-land charges (Sobretasa al Baldío)</w:t>
      </w:r>
    </w:p>
    <w:p>
      <w:pPr>
        <w:spacing w:after="120" w:line="276" w:lineRule="auto"/>
      </w:pPr>
      <w:r>
        <w:t>A progressive surcharge on serviced but idle parcels pushes development inward and penalises speculation, doing double duty for adaptation: it favours compact growth over sprawl into recharge areas, and it raises revenue from land that is consuming infrastructure capacity while producing nothing. It is also, as Section 7 shows, already operational.</w:t>
      </w:r>
    </w:p>
    <w:p>
      <w:pPr>
        <w:pStyle w:val="Heading2"/>
      </w:pPr>
      <w:r>
        <w:t>4.4 Development-rights sales (Suelo Creado / Derechos de Construcción Adicional)</w:t>
      </w:r>
    </w:p>
    <w:p>
      <w:pPr>
        <w:spacing w:after="120" w:line="276" w:lineRule="auto"/>
      </w:pPr>
      <w:r>
        <w:t>Adapting the Brazilian CEPAC idea to an intermediate-city scale, the municipality sells the right to build above a base floor-area line up to a defined maximum, pricing the rights against reference land values and offering density bonuses for water-efficient design. The new COS 2026 code turns this from a concept into a calibrated schedule (Section 7.3).</w:t>
      </w:r>
    </w:p>
    <w:p>
      <w:pPr>
        <w:pStyle w:val="Heading2"/>
      </w:pPr>
      <w:r>
        <w:t>4.5 Tax incentives for climate-responsive development</w:t>
      </w:r>
    </w:p>
    <w:p>
      <w:pPr>
        <w:spacing w:after="120" w:line="276" w:lineRule="auto"/>
      </w:pPr>
      <w:r>
        <w:t>Reduced permit fees, property-tax rebates, or development-charge relief reward water-efficiency technology, permeable-surface minimums, tree retention, and green-building standards. Set against the other instruments, the incentives create a gradient: conversion without adaptation features faces the full weight of betterment and rent capture, while adaptation-aligned projects earn relief. The gradient is how the system internalises the externality of land conversion.</w:t>
      </w:r>
    </w:p>
    <w:p>
      <w:pPr>
        <w:pStyle w:val="Heading2"/>
      </w:pPr>
      <w:r>
        <w:t>4.6 Transferable development rights</w:t>
      </w:r>
    </w:p>
    <w:p>
      <w:pPr>
        <w:spacing w:after="120" w:line="276" w:lineRule="auto"/>
      </w:pPr>
      <w:r>
        <w:t>To protect recharge zones, riparian buffers, and farmland without buying them outright, owners in “sending” areas receive rights they can sell to developers in “receiving” areas. The instrument addresses the most politically charged part of adaptation in an agricultural region—restricting development on private land—by compensating it through the market rather than the budget.</w:t>
      </w:r>
    </w:p>
    <w:p>
      <w:pPr>
        <w:pStyle w:val="Heading2"/>
      </w:pPr>
      <w:r>
        <w:t>4.7 Coordination</w:t>
      </w:r>
    </w:p>
    <w:p>
      <w:pPr>
        <w:spacing w:after="120" w:line="276" w:lineRule="auto"/>
      </w:pPr>
      <w:r>
        <w:t>Read together (Table 1), the instruments span the development cycle from rezoning through construction to idle holding, and they share one destination. Coordination is what converts six modest charges into a revenue system robust enough to underwrite external finance.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Instrument</w:t>
            </w:r>
          </w:p>
        </w:tc>
        <w:tc>
          <w:tcPr>
            <w:tcW w:type="dxa" w:w="2160"/>
          </w:tcPr>
          <w:p>
            <w:r/>
            <w:r>
              <w:rPr>
                <w:b/>
                <w:sz w:val="18"/>
              </w:rPr>
              <w:t>Trigger</w:t>
            </w:r>
          </w:p>
        </w:tc>
        <w:tc>
          <w:tcPr>
            <w:tcW w:type="dxa" w:w="2160"/>
          </w:tcPr>
          <w:p>
            <w:r/>
            <w:r>
              <w:rPr>
                <w:b/>
                <w:sz w:val="18"/>
              </w:rPr>
              <w:t>Capture rate</w:t>
            </w:r>
          </w:p>
        </w:tc>
        <w:tc>
          <w:tcPr>
            <w:tcW w:type="dxa" w:w="2160"/>
          </w:tcPr>
          <w:p>
            <w:r/>
            <w:r>
              <w:rPr>
                <w:b/>
                <w:sz w:val="18"/>
              </w:rPr>
              <w:t>Climate function</w:t>
            </w:r>
          </w:p>
        </w:tc>
      </w:tr>
      <w:tr>
        <w:tc>
          <w:tcPr>
            <w:tcW w:type="dxa" w:w="2160"/>
          </w:tcPr>
          <w:p>
            <w:r/>
            <w:r>
              <w:rPr>
                <w:sz w:val="18"/>
              </w:rPr>
              <w:t>Betterment contributions</w:t>
            </w:r>
          </w:p>
        </w:tc>
        <w:tc>
          <w:tcPr>
            <w:tcW w:type="dxa" w:w="2160"/>
          </w:tcPr>
          <w:p>
            <w:r/>
            <w:r>
              <w:rPr>
                <w:sz w:val="18"/>
              </w:rPr>
              <w:t>Public infrastructure investment</w:t>
            </w:r>
          </w:p>
        </w:tc>
        <w:tc>
          <w:tcPr>
            <w:tcW w:type="dxa" w:w="2160"/>
          </w:tcPr>
          <w:p>
            <w:r/>
            <w:r>
              <w:rPr>
                <w:sz w:val="18"/>
              </w:rPr>
              <w:t>30–50% of uplift</w:t>
            </w:r>
          </w:p>
        </w:tc>
        <w:tc>
          <w:tcPr>
            <w:tcW w:type="dxa" w:w="2160"/>
          </w:tcPr>
          <w:p>
            <w:r/>
            <w:r>
              <w:rPr>
                <w:sz w:val="18"/>
              </w:rPr>
              <w:t>Finances and demonstrates returns on water works</w:t>
            </w:r>
          </w:p>
        </w:tc>
      </w:tr>
      <w:tr>
        <w:tc>
          <w:tcPr>
            <w:tcW w:type="dxa" w:w="2160"/>
          </w:tcPr>
          <w:p>
            <w:r/>
            <w:r>
              <w:rPr>
                <w:sz w:val="18"/>
              </w:rPr>
              <w:t>Differential rent capture</w:t>
            </w:r>
          </w:p>
        </w:tc>
        <w:tc>
          <w:tcPr>
            <w:tcW w:type="dxa" w:w="2160"/>
          </w:tcPr>
          <w:p>
            <w:r/>
            <w:r>
              <w:rPr>
                <w:sz w:val="18"/>
              </w:rPr>
              <w:t>Rezoning of agricultural to urban use</w:t>
            </w:r>
          </w:p>
        </w:tc>
        <w:tc>
          <w:tcPr>
            <w:tcW w:type="dxa" w:w="2160"/>
          </w:tcPr>
          <w:p>
            <w:r/>
            <w:r>
              <w:rPr>
                <w:sz w:val="18"/>
              </w:rPr>
              <w:t>30–50% of differential</w:t>
            </w:r>
          </w:p>
        </w:tc>
        <w:tc>
          <w:tcPr>
            <w:tcW w:type="dxa" w:w="2160"/>
          </w:tcPr>
          <w:p>
            <w:r/>
            <w:r>
              <w:rPr>
                <w:sz w:val="18"/>
              </w:rPr>
              <w:t>Links conversion cost to adaptation revenue</w:t>
            </w:r>
          </w:p>
        </w:tc>
      </w:tr>
      <w:tr>
        <w:tc>
          <w:tcPr>
            <w:tcW w:type="dxa" w:w="2160"/>
          </w:tcPr>
          <w:p>
            <w:r/>
            <w:r>
              <w:rPr>
                <w:sz w:val="18"/>
              </w:rPr>
              <w:t>Vacant-land charges</w:t>
            </w:r>
          </w:p>
        </w:tc>
        <w:tc>
          <w:tcPr>
            <w:tcW w:type="dxa" w:w="2160"/>
          </w:tcPr>
          <w:p>
            <w:r/>
            <w:r>
              <w:rPr>
                <w:sz w:val="18"/>
              </w:rPr>
              <w:t>Idle serviced parcels</w:t>
            </w:r>
          </w:p>
        </w:tc>
        <w:tc>
          <w:tcPr>
            <w:tcW w:type="dxa" w:w="2160"/>
          </w:tcPr>
          <w:p>
            <w:r/>
            <w:r>
              <w:rPr>
                <w:sz w:val="18"/>
              </w:rPr>
              <w:t>Progressive surcharge</w:t>
            </w:r>
          </w:p>
        </w:tc>
        <w:tc>
          <w:tcPr>
            <w:tcW w:type="dxa" w:w="2160"/>
          </w:tcPr>
          <w:p>
            <w:r/>
            <w:r>
              <w:rPr>
                <w:sz w:val="18"/>
              </w:rPr>
              <w:t>Promotes compact growth; curbs sprawl</w:t>
            </w:r>
          </w:p>
        </w:tc>
      </w:tr>
      <w:tr>
        <w:tc>
          <w:tcPr>
            <w:tcW w:type="dxa" w:w="2160"/>
          </w:tcPr>
          <w:p>
            <w:r/>
            <w:r>
              <w:rPr>
                <w:sz w:val="18"/>
              </w:rPr>
              <w:t>Development-rights sales</w:t>
            </w:r>
          </w:p>
        </w:tc>
        <w:tc>
          <w:tcPr>
            <w:tcW w:type="dxa" w:w="2160"/>
          </w:tcPr>
          <w:p>
            <w:r/>
            <w:r>
              <w:rPr>
                <w:sz w:val="18"/>
              </w:rPr>
              <w:t>Building above the base line</w:t>
            </w:r>
          </w:p>
        </w:tc>
        <w:tc>
          <w:tcPr>
            <w:tcW w:type="dxa" w:w="2160"/>
          </w:tcPr>
          <w:p>
            <w:r/>
            <w:r>
              <w:rPr>
                <w:sz w:val="18"/>
              </w:rPr>
              <w:t>Market-priced (COS 2026)</w:t>
            </w:r>
          </w:p>
        </w:tc>
        <w:tc>
          <w:tcPr>
            <w:tcW w:type="dxa" w:w="2160"/>
          </w:tcPr>
          <w:p>
            <w:r/>
            <w:r>
              <w:rPr>
                <w:sz w:val="18"/>
              </w:rPr>
              <w:t>Channels density; rewards water efficiency</w:t>
            </w:r>
          </w:p>
        </w:tc>
      </w:tr>
      <w:tr>
        <w:tc>
          <w:tcPr>
            <w:tcW w:type="dxa" w:w="2160"/>
          </w:tcPr>
          <w:p>
            <w:r/>
            <w:r>
              <w:rPr>
                <w:sz w:val="18"/>
              </w:rPr>
              <w:t>Tax incentives</w:t>
            </w:r>
          </w:p>
        </w:tc>
        <w:tc>
          <w:tcPr>
            <w:tcW w:type="dxa" w:w="2160"/>
          </w:tcPr>
          <w:p>
            <w:r/>
            <w:r>
              <w:rPr>
                <w:sz w:val="18"/>
              </w:rPr>
              <w:t>Climate-responsive features</w:t>
            </w:r>
          </w:p>
        </w:tc>
        <w:tc>
          <w:tcPr>
            <w:tcW w:type="dxa" w:w="2160"/>
          </w:tcPr>
          <w:p>
            <w:r/>
            <w:r>
              <w:rPr>
                <w:sz w:val="18"/>
              </w:rPr>
              <w:t>Variable relief</w:t>
            </w:r>
          </w:p>
        </w:tc>
        <w:tc>
          <w:tcPr>
            <w:tcW w:type="dxa" w:w="2160"/>
          </w:tcPr>
          <w:p>
            <w:r/>
            <w:r>
              <w:rPr>
                <w:sz w:val="18"/>
              </w:rPr>
              <w:t>Internalises the conversion externality</w:t>
            </w:r>
          </w:p>
        </w:tc>
      </w:tr>
      <w:tr>
        <w:tc>
          <w:tcPr>
            <w:tcW w:type="dxa" w:w="2160"/>
          </w:tcPr>
          <w:p>
            <w:r/>
            <w:r>
              <w:rPr>
                <w:sz w:val="18"/>
              </w:rPr>
              <w:t>Transferable dev. rights</w:t>
            </w:r>
          </w:p>
        </w:tc>
        <w:tc>
          <w:tcPr>
            <w:tcW w:type="dxa" w:w="2160"/>
          </w:tcPr>
          <w:p>
            <w:r/>
            <w:r>
              <w:rPr>
                <w:sz w:val="18"/>
              </w:rPr>
              <w:t>Development in receiving zones</w:t>
            </w:r>
          </w:p>
        </w:tc>
        <w:tc>
          <w:tcPr>
            <w:tcW w:type="dxa" w:w="2160"/>
          </w:tcPr>
          <w:p>
            <w:r/>
            <w:r>
              <w:rPr>
                <w:sz w:val="18"/>
              </w:rPr>
              <w:t>Market-determined</w:t>
            </w:r>
          </w:p>
        </w:tc>
        <w:tc>
          <w:tcPr>
            <w:tcW w:type="dxa" w:w="2160"/>
          </w:tcPr>
          <w:p>
            <w:r/>
            <w:r>
              <w:rPr>
                <w:sz w:val="18"/>
              </w:rPr>
              <w:t>Protects recharge zones without purchase</w:t>
            </w:r>
          </w:p>
        </w:tc>
      </w:tr>
    </w:tbl>
    <w:p>
      <w:pPr>
        <w:spacing w:after="200"/>
      </w:pPr>
      <w:r>
        <w:rPr>
          <w:i/>
          <w:sz w:val="18"/>
        </w:rPr>
        <w:t>Table 1: The six instruments, their triggers, and their adaptation functions.</w:t>
      </w:r>
    </w:p>
    <w:p>
      <w:pPr>
        <w:pStyle w:val="Heading1"/>
      </w:pPr>
      <w:r>
        <w:t>5. Institutional Architecture: The Climate Adaptation Trust Fund</w:t>
      </w:r>
    </w:p>
    <w:p>
      <w:pPr>
        <w:pStyle w:val="Heading2"/>
      </w:pPr>
      <w:r>
        <w:t>5.1 Why a trust fund</w:t>
      </w:r>
    </w:p>
    <w:p>
      <w:pPr>
        <w:spacing w:after="120" w:line="276" w:lineRule="auto"/>
      </w:pPr>
      <w:r>
        <w:t>Routing the proceeds through a dedicated trust fund rather than the general budget is the decision that makes the rest work. Practically, earmarking creates the predictable, multi-year revenue that infrastructure planning requires. Strategically, it attacks the bankability problem head-on: it produces a visible, auditable pool of own-source money an external financier can inspect as evidence of commitment and of capacity to repay.</w:t>
      </w:r>
    </w:p>
    <w:p>
      <w:pPr>
        <w:spacing w:after="120" w:line="276" w:lineRule="auto"/>
      </w:pPr>
      <w:r>
        <w:t>In Luján de Cuyo this is already taking legal form. Ordinances 15081 and 15093 of 2025 created the Municipal Land and Real-Estate Bank (BMTI) and the Urban-Economy Fund (FEULDC), an earmarked patrimony into which the value-capture instruments, the vacant-land surcharge, and the water-and-sewer charge are all directed; an administration trust (fideicomiso) is the vehicle intended to pool and channel them, with its implementing decree pending at the time of writing. The architecture described here is thus the financial layer of a system already being built.</w:t>
      </w:r>
    </w:p>
    <w:p>
      <w:pPr>
        <w:spacing w:after="120" w:line="276" w:lineRule="auto"/>
      </w:pPr>
      <w:r>
        <w:t>The fund operates as a fiduciary mechanism legally distinct from the general budget, with a board of trustees, transparent procedures, independent audit, and defined investment rules. That separation protects adaptation revenue from raids during fiscal stress, supplies the governance green-bond investors expect, and gives climate adaptation an institutional home.</w:t>
      </w:r>
    </w:p>
    <w:p>
      <w:pPr>
        <w:pStyle w:val="Heading2"/>
      </w:pPr>
      <w:r>
        <w:t>5.2 Pooling and fund structure</w:t>
      </w:r>
    </w:p>
    <w:p>
      <w:pPr>
        <w:spacing w:after="120" w:line="276" w:lineRule="auto"/>
      </w:pPr>
      <w:r>
        <w:t>The fund pools all six instruments—together with the operational water-and-sewer charge—into three sub-accounts. The Infrastructure Investment Account (60 percent of net revenue) funds capital works: water efficiency, aquifer recharge, stormwater, and green infrastructure. The Maintenance and Operations Account (25 percent) keeps that infrastructure working. The Leverage Account (15 percent) accumulates the reserve earmarked as matching funds—the own-source counterpart that grants and climate facilities require. In the municipal design this pooled patrimony is the FEULDC.</w:t>
      </w:r>
    </w:p>
    <w:p>
      <w:pPr>
        <w:pStyle w:val="Heading2"/>
      </w:pPr>
      <w:r>
        <w:t>5.3 Leveraging international climate finance</w:t>
      </w:r>
    </w:p>
    <w:p>
      <w:pPr>
        <w:spacing w:after="120" w:line="276" w:lineRule="auto"/>
      </w:pPr>
      <w:r>
        <w:t>The structure is built to support three escalating levels of leverage, and it is the fiduciary form—not the cash alone—that makes each one credible. First, accumulated Leverage Account reserves serve as the 10–30 percent counterpart that bilateral and multilateral grants demand; because that match is the binding constraint for most intermediate cities, a ring-fenced own-source pool turns unreachable grants into reachable ones. Second, the predictable, legally segregated revenue can be pledged as the repayment source and security for a green bond or a concessional loan: the fideicomiso isolates the pledged flows from the general budget and from political reallocation, which is precisely the assurance bond investors and development banks require. Third, a demonstrated record of disbursing funds, building works, and servicing debt—legible in audited accounts—earns the credibility for larger facilities such as the Green Climate Fund, the GEF, or the climate windows of CAF and the IDB.</w:t>
      </w:r>
    </w:p>
    <w:p>
      <w:pPr>
        <w:spacing w:after="120" w:line="276" w:lineRule="auto"/>
      </w:pPr>
      <w:r>
        <w:t>The strategy is deliberately incremental. Early revenue finances small, demonstrable projects; their success, plus transparent governance, positions the city for progressively larger rounds. Credibility, like capital, compounds.</w:t>
      </w:r>
    </w:p>
    <w:p>
      <w:pPr>
        <w:pStyle w:val="Heading2"/>
      </w:pPr>
      <w:r>
        <w:t>5.4 Governance and accountability</w:t>
      </w:r>
    </w:p>
    <w:p>
      <w:pPr>
        <w:spacing w:after="120" w:line="276" w:lineRule="auto"/>
      </w:pPr>
      <w:r>
        <w:t>The board pairs the mayor, the planning director, and the comptroller with two external members—one from the agricultural sector, one with environmental-finance expertise—and requires a qualified majority, which blocks unilateral diversion. Independent annual audits and quarterly statements are published on the municipal website. Transparency here is not housekeeping; it is the collateral.</w:t>
      </w:r>
    </w:p>
    <w:p>
      <w:pPr>
        <w:pStyle w:val="Heading2"/>
      </w:pPr>
      <w:r>
        <w:t>5.5 The trust fund as a matching-funds and repayment vehicle</w:t>
      </w:r>
    </w:p>
    <w:p>
      <w:pPr>
        <w:spacing w:after="120" w:line="276" w:lineRule="auto"/>
      </w:pPr>
      <w:r>
        <w:t>The decisive advantage of the fideicomiso is that it solves the two conditions that most often disqualify intermediate-city adaptation projects from international green finance: no counterpart funds and no credible repayment source. The fund supplies both from the same pooled revenue.</w:t>
      </w:r>
    </w:p>
    <w:p>
      <w:pPr>
        <w:spacing w:after="120" w:line="276" w:lineRule="auto"/>
      </w:pPr>
      <w:r>
        <w:t>On matching funds, the Leverage Account compounds a dedicated co-financing reserve. At a near-term revenue of roughly USD 3 million a year (Section 7), it adds on the order of USD 0.45 million annually—enough within two or three years to anchor the counterpart for grants in the USD 2–10 million range, including the Green Climate Fund’s Simplified Approval Process. Own-source matching is read by financiers as a costly signal of genuine commitment, and is scored heavily in funding proposals.</w:t>
      </w:r>
    </w:p>
    <w:p>
      <w:pPr>
        <w:spacing w:after="120" w:line="276" w:lineRule="auto"/>
      </w:pPr>
      <w:r>
        <w:t>On repayment, the same flows service debt. The water-and-sewer series—elevenfold real growth over 2021–2025 (Section 7.2)—is exactly the kind of demonstrated, ring-fenced cash flow against which a debt-service-coverage ratio can be computed and a bond rated. Pledging the fund’s flows through the fideicomiso rather than the general budget raises the effective seniority of repayment and lowers the risk premium. A green-bond issuance of three to four times annual revenue—on the order of USD 9–12 million at the baseline, and more as the package matures—is serviceable from the dedicated streams and would finance a first tranche of the deficits the priority index identifies.</w:t>
      </w:r>
    </w:p>
    <w:p>
      <w:pPr>
        <w:spacing w:after="120" w:line="276" w:lineRule="auto"/>
      </w:pPr>
      <w:r>
        <w:t>The fideicomiso also de-risks the instrument for the city itself: because adaptation revenue is legally separated, it cannot be spent on payroll in a bad year, which protects both the investment programme and the repayment pledge across electoral cycles. The trust fund, in short, is not an accounting convenience. It is the bridge that converts locally captured land value into matched, repayable, and ultimately larger flows of international climate finance.</w:t>
      </w:r>
    </w:p>
    <w:p>
      <w:pPr>
        <w:pStyle w:val="Heading1"/>
      </w:pPr>
      <w:r>
        <w:t>6. The Priority Index (Índice de Ciudad Deseada)</w:t>
      </w:r>
    </w:p>
    <w:p>
      <w:pPr>
        <w:pStyle w:val="Heading2"/>
      </w:pPr>
      <w:r>
        <w:t>6.1 Purpose</w:t>
      </w:r>
    </w:p>
    <w:p>
      <w:pPr>
        <w:spacing w:after="120" w:line="276" w:lineRule="auto"/>
      </w:pPr>
      <w:r>
        <w:t>A revenue framework is only as good as the rule that spends the money. The municipality’s priority index—the Índice de Ciudad Deseada and its companion infrastructure-prioritisation index—is a composite, district-level instrument that ranks where investment is most needed, embeds climate and equity criteria in that ranking, and produces the quantitative evidence external financiers ask for. It is built and updated by the municipal public-policy laboratory and is designed to be recomputed annually.</w:t>
      </w:r>
    </w:p>
    <w:p>
      <w:pPr>
        <w:pStyle w:val="Heading2"/>
      </w:pPr>
      <w:r>
        <w:t>6.2 Structure</w:t>
      </w:r>
    </w:p>
    <w:p>
      <w:pPr>
        <w:spacing w:after="120" w:line="276" w:lineRule="auto"/>
      </w:pPr>
      <w:r>
        <w:t>The index spans six dimensions and some two dozen indicators, each scored against desired values. Green space and biodiversity measures public green-space provision, walking access, and square metres per inhabitant. Mobility and services measures proximity to the Metrotranvía and bus network and to cycle infrastructure. Compactness and functionality covers dwelling and population density, street permeability, vacant dwellings, and air quality. Accessibility to community services measures walking proximity to education, health, sport, culture, and basic retail. Equity and community draws on census data for overcrowding, housing quality, schooling, and health coverage. Basic infrastructure—the dimension closest to the water-stress framing—captures water demand (demanda hídrica), network connectivity, recycling and green points, and the energy use and self-generation of public space.</w:t>
      </w:r>
    </w:p>
    <w:p>
      <w:pPr>
        <w:spacing w:after="120" w:line="276" w:lineRule="auto"/>
      </w:pPr>
      <w:r>
        <w:t>Two features matter for adaptation. Water enters the index three times—as green infrastructure, as the water-demand indicator, and through compactness, which lowers per-capita demand—so the index is, in effect, a water-stress instrument wearing a livability label. And it is spatial: every indicator is computed by district, so the framework knows not only what is short but where.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Sample indicators</w:t>
            </w:r>
          </w:p>
        </w:tc>
        <w:tc>
          <w:tcPr>
            <w:tcW w:type="dxa" w:w="2880"/>
          </w:tcPr>
          <w:p>
            <w:r/>
            <w:r>
              <w:rPr>
                <w:b/>
                <w:sz w:val="18"/>
              </w:rPr>
              <w:t>Climate / water relevance</w:t>
            </w:r>
          </w:p>
        </w:tc>
      </w:tr>
      <w:tr>
        <w:tc>
          <w:tcPr>
            <w:tcW w:type="dxa" w:w="2880"/>
          </w:tcPr>
          <w:p>
            <w:r/>
            <w:r>
              <w:rPr>
                <w:sz w:val="18"/>
              </w:rPr>
              <w:t>Green space &amp; biodiversity</w:t>
            </w:r>
          </w:p>
        </w:tc>
        <w:tc>
          <w:tcPr>
            <w:tcW w:type="dxa" w:w="2880"/>
          </w:tcPr>
          <w:p>
            <w:r/>
            <w:r>
              <w:rPr>
                <w:sz w:val="18"/>
              </w:rPr>
              <w:t>Public green-space %, 5-min access, m²/inhabitant</w:t>
            </w:r>
          </w:p>
        </w:tc>
        <w:tc>
          <w:tcPr>
            <w:tcW w:type="dxa" w:w="2880"/>
          </w:tcPr>
          <w:p>
            <w:r/>
            <w:r>
              <w:rPr>
                <w:sz w:val="18"/>
              </w:rPr>
              <w:t>Heat-island mitigation; climate refuges</w:t>
            </w:r>
          </w:p>
        </w:tc>
      </w:tr>
      <w:tr>
        <w:tc>
          <w:tcPr>
            <w:tcW w:type="dxa" w:w="2880"/>
          </w:tcPr>
          <w:p>
            <w:r/>
            <w:r>
              <w:rPr>
                <w:sz w:val="18"/>
              </w:rPr>
              <w:t>Mobility &amp; services</w:t>
            </w:r>
          </w:p>
        </w:tc>
        <w:tc>
          <w:tcPr>
            <w:tcW w:type="dxa" w:w="2880"/>
          </w:tcPr>
          <w:p>
            <w:r/>
            <w:r>
              <w:rPr>
                <w:sz w:val="18"/>
              </w:rPr>
              <w:t>Proximity to Metrotranvía/bus; cycle access</w:t>
            </w:r>
          </w:p>
        </w:tc>
        <w:tc>
          <w:tcPr>
            <w:tcW w:type="dxa" w:w="2880"/>
          </w:tcPr>
          <w:p>
            <w:r/>
            <w:r>
              <w:rPr>
                <w:sz w:val="18"/>
              </w:rPr>
              <w:t>Low-carbon mobility</w:t>
            </w:r>
          </w:p>
        </w:tc>
      </w:tr>
      <w:tr>
        <w:tc>
          <w:tcPr>
            <w:tcW w:type="dxa" w:w="2880"/>
          </w:tcPr>
          <w:p>
            <w:r/>
            <w:r>
              <w:rPr>
                <w:sz w:val="18"/>
              </w:rPr>
              <w:t>Compactness &amp; functionality</w:t>
            </w:r>
          </w:p>
        </w:tc>
        <w:tc>
          <w:tcPr>
            <w:tcW w:type="dxa" w:w="2880"/>
          </w:tcPr>
          <w:p>
            <w:r/>
            <w:r>
              <w:rPr>
                <w:sz w:val="18"/>
              </w:rPr>
              <w:t>Density, street permeability, vacant dwellings, air quality</w:t>
            </w:r>
          </w:p>
        </w:tc>
        <w:tc>
          <w:tcPr>
            <w:tcW w:type="dxa" w:w="2880"/>
          </w:tcPr>
          <w:p>
            <w:r/>
            <w:r>
              <w:rPr>
                <w:sz w:val="18"/>
              </w:rPr>
              <w:t>Curbs sprawl and per-capita water demand</w:t>
            </w:r>
          </w:p>
        </w:tc>
      </w:tr>
      <w:tr>
        <w:tc>
          <w:tcPr>
            <w:tcW w:type="dxa" w:w="2880"/>
          </w:tcPr>
          <w:p>
            <w:r/>
            <w:r>
              <w:rPr>
                <w:sz w:val="18"/>
              </w:rPr>
              <w:t>Accessibility to services</w:t>
            </w:r>
          </w:p>
        </w:tc>
        <w:tc>
          <w:tcPr>
            <w:tcW w:type="dxa" w:w="2880"/>
          </w:tcPr>
          <w:p>
            <w:r/>
            <w:r>
              <w:rPr>
                <w:sz w:val="18"/>
              </w:rPr>
              <w:t>Access to education, health, sport, culture, retail</w:t>
            </w:r>
          </w:p>
        </w:tc>
        <w:tc>
          <w:tcPr>
            <w:tcW w:type="dxa" w:w="2880"/>
          </w:tcPr>
          <w:p>
            <w:r/>
            <w:r>
              <w:rPr>
                <w:sz w:val="18"/>
              </w:rPr>
              <w:t>15-minute city; spatial equity</w:t>
            </w:r>
          </w:p>
        </w:tc>
      </w:tr>
      <w:tr>
        <w:tc>
          <w:tcPr>
            <w:tcW w:type="dxa" w:w="2880"/>
          </w:tcPr>
          <w:p>
            <w:r/>
            <w:r>
              <w:rPr>
                <w:sz w:val="18"/>
              </w:rPr>
              <w:t>Equity &amp; community</w:t>
            </w:r>
          </w:p>
        </w:tc>
        <w:tc>
          <w:tcPr>
            <w:tcW w:type="dxa" w:w="2880"/>
          </w:tcPr>
          <w:p>
            <w:r/>
            <w:r>
              <w:rPr>
                <w:sz w:val="18"/>
              </w:rPr>
              <w:t>Overcrowding, housing quality, schooling, health</w:t>
            </w:r>
          </w:p>
        </w:tc>
        <w:tc>
          <w:tcPr>
            <w:tcW w:type="dxa" w:w="2880"/>
          </w:tcPr>
          <w:p>
            <w:r/>
            <w:r>
              <w:rPr>
                <w:sz w:val="18"/>
              </w:rPr>
              <w:t>Targets vulnerable households</w:t>
            </w:r>
          </w:p>
        </w:tc>
      </w:tr>
      <w:tr>
        <w:tc>
          <w:tcPr>
            <w:tcW w:type="dxa" w:w="2880"/>
          </w:tcPr>
          <w:p>
            <w:r/>
            <w:r>
              <w:rPr>
                <w:sz w:val="18"/>
              </w:rPr>
              <w:t>Basic infrastructure</w:t>
            </w:r>
          </w:p>
        </w:tc>
        <w:tc>
          <w:tcPr>
            <w:tcW w:type="dxa" w:w="2880"/>
          </w:tcPr>
          <w:p>
            <w:r/>
            <w:r>
              <w:rPr>
                <w:sz w:val="18"/>
              </w:rPr>
              <w:t>Water demand, network connectivity, green points, public-space energy</w:t>
            </w:r>
          </w:p>
        </w:tc>
        <w:tc>
          <w:tcPr>
            <w:tcW w:type="dxa" w:w="2880"/>
          </w:tcPr>
          <w:p>
            <w:r/>
            <w:r>
              <w:rPr>
                <w:sz w:val="18"/>
              </w:rPr>
              <w:t>Water security; resource efficiency</w:t>
            </w:r>
          </w:p>
        </w:tc>
      </w:tr>
    </w:tbl>
    <w:p>
      <w:pPr>
        <w:spacing w:after="200"/>
      </w:pPr>
      <w:r>
        <w:rPr>
          <w:i/>
          <w:sz w:val="18"/>
        </w:rPr>
        <w:t>Table 2: The six dimensions of the priority index, with sample indicators. Each is scored per district on a five-level sufficiency scale (§6.3). Source: Municipalidad de Luján de Cuyo, Laboratorio de Políticas Públicas.</w:t>
      </w:r>
    </w:p>
    <w:p>
      <w:pPr>
        <w:pStyle w:val="Heading2"/>
      </w:pPr>
      <w:r>
        <w:t>6.3 Scoring and use</w:t>
      </w:r>
    </w:p>
    <w:p>
      <w:pPr>
        <w:spacing w:after="120" w:line="276" w:lineRule="auto"/>
      </w:pPr>
      <w:r>
        <w:t>Rather than a single weighted average, the index grades each district against the desired value on a five-level sufficiency scale: A, outstanding (≥90%); B (70–89%); C (50–69%); D, insufficient (25–49%); E, very insufficient (&lt;25%). The lower the grade, the higher the priority—“a menor cobertura, mayor priorización.” Grades aggregate into a district profile and a department-wide ranking, answering two questions: which work each district most needs, and which districts are furthest from the desired city. As of October 2025 the green-space dimension has been computed district by district; the others are being assembled, and composite weights are not yet fixed, so the index currently reports dimension-level sufficiency rather than one blended score. Section 7.5 uses that first dimension to ask a pointed question with direct equity content: is the city investing where its own index says it should?</w:t>
      </w:r>
    </w:p>
    <w:p>
      <w:pPr>
        <w:pStyle w:val="Heading1"/>
      </w:pPr>
      <w:r>
        <w:t>7. Revenue Potential, Incidence, and Financial Projections</w:t>
      </w:r>
    </w:p>
    <w:p>
      <w:pPr>
        <w:pStyle w:val="Heading2"/>
      </w:pPr>
      <w:r>
        <w:t>7.1 Method and data</w:t>
      </w:r>
    </w:p>
    <w:p>
      <w:pPr>
        <w:spacing w:after="120" w:line="276" w:lineRule="auto"/>
      </w:pPr>
      <w:r>
        <w:t>We report revenue on two footings and never blur them. Realized revenue is what the two operational instruments actually collect—the water-and-sewer charge (records 2021–2025) and the vacant-land surcharge (the 2026 tax roll)—expressed in inflation- and exchange-rate-adjusted dollars. Ex-ante potential covers the designed instruments—betterment, differential rent capture, and development-rights sales—through a transparent deterministic build-up, instrument by instrument, from the real parameters that follow: the 2026 works programme, the COS 2026 buildability schedule, and the land- and built-value maps. Because no transactions exist for these instruments yet, the point estimates are illustrative; we report conservative, baseline, and optimistic scenarios and are candid about the one genuinely unobserved parameter—the future annual take-up of instruments not yet in force. The Tax Unit is at its 2026 value (ARS 235) and conversions use ARS 1,244.17/USD.</w:t>
      </w:r>
    </w:p>
    <w:p>
      <w:pPr>
        <w:pStyle w:val="Heading2"/>
      </w:pPr>
      <w:r>
        <w:t>7.2 Realized revenue: the two operational instruments</w:t>
      </w:r>
    </w:p>
    <w:p>
      <w:pPr>
        <w:spacing w:after="120" w:line="276" w:lineRule="auto"/>
      </w:pPr>
      <w:r>
        <w:t>The clearest proof that land-based revenue can scale is the water-and-sewer feasibility contribution, a charge levied to secure service capacity for new development. Collections climbed from USD 60,699 in 2021 to USD 690,497 in 2025—an elevenfold real increase, a compound annual growth rate of 83.7 percent once inflation and devaluation are stripped out (Table 3). A land-linked own-source charge became a material revenue line in four years, through one of the most turbulent macroeconomic episodes in Argentine memory. It is not one of the six value-capture instruments, but it is the framework’s proof of concept in hard cash.</w:t>
      </w:r>
    </w:p>
    <w:p>
      <w:pPr>
        <w:spacing w:after="120" w:line="276" w:lineRule="auto"/>
      </w:pPr>
      <w:r>
        <w:t>The vacant-land surcharge—one of the six—supplies the second data point. The 2026 roll identifies 5,315 idle parcels: 4,996 taxed at a 100-percent surcharge and 319 at 200 percent in priority urban voids. The surcharge adds about ARS 493 million to the 2026 emission; net of collection losses the municipality expects roughly ARS 345 million (USD 277,539), about ARS 93,000 per lot. Together the two operational instruments already yield on the order of USD 0.97 million a year—audited, bankable revenue that exists before a single value-capture instrument is sanctioned.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Year</w:t>
            </w:r>
          </w:p>
        </w:tc>
        <w:tc>
          <w:tcPr>
            <w:tcW w:type="dxa" w:w="2160"/>
          </w:tcPr>
          <w:p>
            <w:r/>
            <w:r>
              <w:rPr>
                <w:b/>
                <w:sz w:val="18"/>
              </w:rPr>
              <w:t>Water &amp; sewer contribution (USD)</w:t>
            </w:r>
          </w:p>
        </w:tc>
        <w:tc>
          <w:tcPr>
            <w:tcW w:type="dxa" w:w="2160"/>
          </w:tcPr>
          <w:p>
            <w:r/>
            <w:r>
              <w:rPr>
                <w:b/>
                <w:sz w:val="18"/>
              </w:rPr>
              <w:t>Vacant-land surcharge (USD)</w:t>
            </w:r>
          </w:p>
        </w:tc>
        <w:tc>
          <w:tcPr>
            <w:tcW w:type="dxa" w:w="2160"/>
          </w:tcPr>
          <w:p>
            <w:r/>
            <w:r>
              <w:rPr>
                <w:b/>
                <w:sz w:val="18"/>
              </w:rPr>
              <w:t>Total (USD)</w:t>
            </w:r>
          </w:p>
        </w:tc>
      </w:tr>
      <w:tr>
        <w:tc>
          <w:tcPr>
            <w:tcW w:type="dxa" w:w="2160"/>
          </w:tcPr>
          <w:p>
            <w:r/>
            <w:r>
              <w:rPr>
                <w:sz w:val="18"/>
              </w:rPr>
              <w:t>2021</w:t>
            </w:r>
          </w:p>
        </w:tc>
        <w:tc>
          <w:tcPr>
            <w:tcW w:type="dxa" w:w="2160"/>
          </w:tcPr>
          <w:p>
            <w:r/>
            <w:r>
              <w:rPr>
                <w:sz w:val="18"/>
              </w:rPr>
              <w:t>60,699</w:t>
            </w:r>
          </w:p>
        </w:tc>
        <w:tc>
          <w:tcPr>
            <w:tcW w:type="dxa" w:w="2160"/>
          </w:tcPr>
          <w:p>
            <w:r/>
            <w:r>
              <w:rPr>
                <w:sz w:val="18"/>
              </w:rPr>
              <w:t>–</w:t>
            </w:r>
          </w:p>
        </w:tc>
        <w:tc>
          <w:tcPr>
            <w:tcW w:type="dxa" w:w="2160"/>
          </w:tcPr>
          <w:p>
            <w:r/>
            <w:r>
              <w:rPr>
                <w:sz w:val="18"/>
              </w:rPr>
              <w:t>60,699</w:t>
            </w:r>
          </w:p>
        </w:tc>
      </w:tr>
      <w:tr>
        <w:tc>
          <w:tcPr>
            <w:tcW w:type="dxa" w:w="2160"/>
          </w:tcPr>
          <w:p>
            <w:r/>
            <w:r>
              <w:rPr>
                <w:sz w:val="18"/>
              </w:rPr>
              <w:t>2022</w:t>
            </w:r>
          </w:p>
        </w:tc>
        <w:tc>
          <w:tcPr>
            <w:tcW w:type="dxa" w:w="2160"/>
          </w:tcPr>
          <w:p>
            <w:r/>
            <w:r>
              <w:rPr>
                <w:sz w:val="18"/>
              </w:rPr>
              <w:t>97,212</w:t>
            </w:r>
          </w:p>
        </w:tc>
        <w:tc>
          <w:tcPr>
            <w:tcW w:type="dxa" w:w="2160"/>
          </w:tcPr>
          <w:p>
            <w:r/>
            <w:r>
              <w:rPr>
                <w:sz w:val="18"/>
              </w:rPr>
              <w:t>–</w:t>
            </w:r>
          </w:p>
        </w:tc>
        <w:tc>
          <w:tcPr>
            <w:tcW w:type="dxa" w:w="2160"/>
          </w:tcPr>
          <w:p>
            <w:r/>
            <w:r>
              <w:rPr>
                <w:sz w:val="18"/>
              </w:rPr>
              <w:t>97,212</w:t>
            </w:r>
          </w:p>
        </w:tc>
      </w:tr>
      <w:tr>
        <w:tc>
          <w:tcPr>
            <w:tcW w:type="dxa" w:w="2160"/>
          </w:tcPr>
          <w:p>
            <w:r/>
            <w:r>
              <w:rPr>
                <w:sz w:val="18"/>
              </w:rPr>
              <w:t>2023</w:t>
            </w:r>
          </w:p>
        </w:tc>
        <w:tc>
          <w:tcPr>
            <w:tcW w:type="dxa" w:w="2160"/>
          </w:tcPr>
          <w:p>
            <w:r/>
            <w:r>
              <w:rPr>
                <w:sz w:val="18"/>
              </w:rPr>
              <w:t>168,756</w:t>
            </w:r>
          </w:p>
        </w:tc>
        <w:tc>
          <w:tcPr>
            <w:tcW w:type="dxa" w:w="2160"/>
          </w:tcPr>
          <w:p>
            <w:r/>
            <w:r>
              <w:rPr>
                <w:sz w:val="18"/>
              </w:rPr>
              <w:t>–</w:t>
            </w:r>
          </w:p>
        </w:tc>
        <w:tc>
          <w:tcPr>
            <w:tcW w:type="dxa" w:w="2160"/>
          </w:tcPr>
          <w:p>
            <w:r/>
            <w:r>
              <w:rPr>
                <w:sz w:val="18"/>
              </w:rPr>
              <w:t>168,756</w:t>
            </w:r>
          </w:p>
        </w:tc>
      </w:tr>
      <w:tr>
        <w:tc>
          <w:tcPr>
            <w:tcW w:type="dxa" w:w="2160"/>
          </w:tcPr>
          <w:p>
            <w:r/>
            <w:r>
              <w:rPr>
                <w:sz w:val="18"/>
              </w:rPr>
              <w:t>2024</w:t>
            </w:r>
          </w:p>
        </w:tc>
        <w:tc>
          <w:tcPr>
            <w:tcW w:type="dxa" w:w="2160"/>
          </w:tcPr>
          <w:p>
            <w:r/>
            <w:r>
              <w:rPr>
                <w:sz w:val="18"/>
              </w:rPr>
              <w:t>246,004</w:t>
            </w:r>
          </w:p>
        </w:tc>
        <w:tc>
          <w:tcPr>
            <w:tcW w:type="dxa" w:w="2160"/>
          </w:tcPr>
          <w:p>
            <w:r/>
            <w:r>
              <w:rPr>
                <w:sz w:val="18"/>
              </w:rPr>
              <w:t>–</w:t>
            </w:r>
          </w:p>
        </w:tc>
        <w:tc>
          <w:tcPr>
            <w:tcW w:type="dxa" w:w="2160"/>
          </w:tcPr>
          <w:p>
            <w:r/>
            <w:r>
              <w:rPr>
                <w:sz w:val="18"/>
              </w:rPr>
              <w:t>246,004</w:t>
            </w:r>
          </w:p>
        </w:tc>
      </w:tr>
      <w:tr>
        <w:tc>
          <w:tcPr>
            <w:tcW w:type="dxa" w:w="2160"/>
          </w:tcPr>
          <w:p>
            <w:r/>
            <w:r>
              <w:rPr>
                <w:sz w:val="18"/>
              </w:rPr>
              <w:t>2025</w:t>
            </w:r>
          </w:p>
        </w:tc>
        <w:tc>
          <w:tcPr>
            <w:tcW w:type="dxa" w:w="2160"/>
          </w:tcPr>
          <w:p>
            <w:r/>
            <w:r>
              <w:rPr>
                <w:sz w:val="18"/>
              </w:rPr>
              <w:t>690,497</w:t>
            </w:r>
          </w:p>
        </w:tc>
        <w:tc>
          <w:tcPr>
            <w:tcW w:type="dxa" w:w="2160"/>
          </w:tcPr>
          <w:p>
            <w:r/>
            <w:r>
              <w:rPr>
                <w:sz w:val="18"/>
              </w:rPr>
              <w:t>–</w:t>
            </w:r>
          </w:p>
        </w:tc>
        <w:tc>
          <w:tcPr>
            <w:tcW w:type="dxa" w:w="2160"/>
          </w:tcPr>
          <w:p>
            <w:r/>
            <w:r>
              <w:rPr>
                <w:sz w:val="18"/>
              </w:rPr>
              <w:t>690,497</w:t>
            </w:r>
          </w:p>
        </w:tc>
      </w:tr>
      <w:tr>
        <w:tc>
          <w:tcPr>
            <w:tcW w:type="dxa" w:w="2160"/>
          </w:tcPr>
          <w:p>
            <w:r/>
            <w:r>
              <w:rPr>
                <w:sz w:val="18"/>
              </w:rPr>
              <w:t>2026 (est.)</w:t>
            </w:r>
          </w:p>
        </w:tc>
        <w:tc>
          <w:tcPr>
            <w:tcW w:type="dxa" w:w="2160"/>
          </w:tcPr>
          <w:p>
            <w:r/>
            <w:r>
              <w:rPr>
                <w:sz w:val="18"/>
              </w:rPr>
              <w:t>–</w:t>
            </w:r>
          </w:p>
        </w:tc>
        <w:tc>
          <w:tcPr>
            <w:tcW w:type="dxa" w:w="2160"/>
          </w:tcPr>
          <w:p>
            <w:r/>
            <w:r>
              <w:rPr>
                <w:sz w:val="18"/>
              </w:rPr>
              <w:t>277,539</w:t>
            </w:r>
          </w:p>
        </w:tc>
        <w:tc>
          <w:tcPr>
            <w:tcW w:type="dxa" w:w="2160"/>
          </w:tcPr>
          <w:p>
            <w:r/>
            <w:r>
              <w:rPr>
                <w:sz w:val="18"/>
              </w:rPr>
              <w:t>277,539</w:t>
            </w:r>
          </w:p>
        </w:tc>
      </w:tr>
    </w:tbl>
    <w:p>
      <w:pPr>
        <w:spacing w:after="200"/>
      </w:pPr>
      <w:r>
        <w:rPr>
          <w:i/>
          <w:sz w:val="18"/>
        </w:rPr>
        <w:t>Table 3: Realized revenue from the two operational instruments (FX- and inflation-adjusted USD). Water &amp; sewer real CAGR 2021–2025 = 83.7% (≈11× real growth). Vacant-land surcharge from the 2026 tax roll (5,315 lots; ≈ARS 345 million). Source: municipal records and 2026 padrón; INDEC and official ARS/USD series.</w:t>
      </w:r>
    </w:p>
    <w:p>
      <w:pPr>
        <w:pStyle w:val="Heading2"/>
      </w:pPr>
      <w:r>
        <w:t>7.3 Ex-ante potential of the value-capture instruments</w:t>
      </w:r>
    </w:p>
    <w:p>
      <w:pPr>
        <w:spacing w:after="120" w:line="276" w:lineRule="auto"/>
      </w:pPr>
      <w:r>
        <w:t>The betterment levy is sized against the city’s real 2026 public-works programme (Table 4), which budgets about ARS 6.85 billion (USD 5.5 million) across ten municipally funded projects. We classify each by two attributes that matter here: its planning-priority weight (80 percent for priority-1 works, 20 percent for priority-2) and its environmental-adaptation impact. The latter is the point of the exercise. Works of high or medium-high environmental impact—the stormwater drainage inside the Ciudad de Luján centrality, the new green microplazas, the Tierra del Fuego boulevard, and the canal bridge that carries the metrotranvía connection—account for roughly ARS 4.7 billion, about 69 percent of the programme. A betterment levy that earmarks revenue to the adaptation fund is therefore recovering the cost of works that are, in the main, themselves adaptation.</w:t>
      </w:r>
    </w:p>
    <w:p>
      <w:pPr>
        <w:spacing w:after="120" w:line="276" w:lineRule="auto"/>
      </w:pPr>
      <w:r>
        <w:t>To size the levy, we apply the priority weights and set aside the network-level canal bridge, whose benefit is too diffuse to attribute to adjacent owners. That leaves a betterment-eligible, priority-weighted base of about ARS 3.49 billion (USD 2.81 million). Recovering 25 to 50 percent—within the ordinance’s ceilings—yields roughly ARS 0.87–1.75 billion a year (USD 0.70–1.40 million).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ID</w:t>
            </w:r>
          </w:p>
        </w:tc>
        <w:tc>
          <w:tcPr>
            <w:tcW w:type="dxa" w:w="1728"/>
          </w:tcPr>
          <w:p>
            <w:r/>
            <w:r>
              <w:rPr>
                <w:b/>
                <w:sz w:val="18"/>
              </w:rPr>
              <w:t>Project</w:t>
            </w:r>
          </w:p>
        </w:tc>
        <w:tc>
          <w:tcPr>
            <w:tcW w:type="dxa" w:w="1728"/>
          </w:tcPr>
          <w:p>
            <w:r/>
            <w:r>
              <w:rPr>
                <w:b/>
                <w:sz w:val="18"/>
              </w:rPr>
              <w:t>Budget (ARS)</w:t>
            </w:r>
          </w:p>
        </w:tc>
        <w:tc>
          <w:tcPr>
            <w:tcW w:type="dxa" w:w="1728"/>
          </w:tcPr>
          <w:p>
            <w:r/>
            <w:r>
              <w:rPr>
                <w:b/>
                <w:sz w:val="18"/>
              </w:rPr>
              <w:t>Priority (EA)</w:t>
            </w:r>
          </w:p>
        </w:tc>
        <w:tc>
          <w:tcPr>
            <w:tcW w:type="dxa" w:w="1728"/>
          </w:tcPr>
          <w:p>
            <w:r/>
            <w:r>
              <w:rPr>
                <w:b/>
                <w:sz w:val="18"/>
              </w:rPr>
              <w:t>Env.–adaptation impact</w:t>
            </w:r>
          </w:p>
        </w:tc>
      </w:tr>
      <w:tr>
        <w:tc>
          <w:tcPr>
            <w:tcW w:type="dxa" w:w="1728"/>
          </w:tcPr>
          <w:p>
            <w:r/>
            <w:r>
              <w:rPr>
                <w:sz w:val="18"/>
              </w:rPr>
              <w:t>1274</w:t>
            </w:r>
          </w:p>
        </w:tc>
        <w:tc>
          <w:tcPr>
            <w:tcW w:type="dxa" w:w="1728"/>
          </w:tcPr>
          <w:p>
            <w:r/>
            <w:r>
              <w:rPr>
                <w:sz w:val="18"/>
              </w:rPr>
              <w:t>Cacique Guaymallén canal bridge (metrotranvía / San Martín, E–W)</w:t>
            </w:r>
          </w:p>
        </w:tc>
        <w:tc>
          <w:tcPr>
            <w:tcW w:type="dxa" w:w="1728"/>
          </w:tcPr>
          <w:p>
            <w:r/>
            <w:r>
              <w:rPr>
                <w:sz w:val="18"/>
              </w:rPr>
              <w:t>2,000,000,000</w:t>
            </w:r>
          </w:p>
        </w:tc>
        <w:tc>
          <w:tcPr>
            <w:tcW w:type="dxa" w:w="1728"/>
          </w:tcPr>
          <w:p>
            <w:r/>
            <w:r>
              <w:rPr>
                <w:sz w:val="18"/>
              </w:rPr>
              <w:t>1 (80%)</w:t>
            </w:r>
          </w:p>
        </w:tc>
        <w:tc>
          <w:tcPr>
            <w:tcW w:type="dxa" w:w="1728"/>
          </w:tcPr>
          <w:p>
            <w:r/>
            <w:r>
              <w:rPr>
                <w:sz w:val="18"/>
              </w:rPr>
              <w:t>Med–high (drainage + transit)</w:t>
            </w:r>
          </w:p>
        </w:tc>
      </w:tr>
      <w:tr>
        <w:tc>
          <w:tcPr>
            <w:tcW w:type="dxa" w:w="1728"/>
          </w:tcPr>
          <w:p>
            <w:r/>
            <w:r>
              <w:rPr>
                <w:sz w:val="18"/>
              </w:rPr>
              <w:t>395</w:t>
            </w:r>
          </w:p>
        </w:tc>
        <w:tc>
          <w:tcPr>
            <w:tcW w:type="dxa" w:w="1728"/>
          </w:tcPr>
          <w:p>
            <w:r/>
            <w:r>
              <w:rPr>
                <w:sz w:val="18"/>
              </w:rPr>
              <w:t>Centrality, Ciudad de Luján (incl. aluvional drainage)</w:t>
            </w:r>
          </w:p>
        </w:tc>
        <w:tc>
          <w:tcPr>
            <w:tcW w:type="dxa" w:w="1728"/>
          </w:tcPr>
          <w:p>
            <w:r/>
            <w:r>
              <w:rPr>
                <w:sz w:val="18"/>
              </w:rPr>
              <w:t>1,500,000,000</w:t>
            </w:r>
          </w:p>
        </w:tc>
        <w:tc>
          <w:tcPr>
            <w:tcW w:type="dxa" w:w="1728"/>
          </w:tcPr>
          <w:p>
            <w:r/>
            <w:r>
              <w:rPr>
                <w:sz w:val="18"/>
              </w:rPr>
              <w:t>1 (80%)</w:t>
            </w:r>
          </w:p>
        </w:tc>
        <w:tc>
          <w:tcPr>
            <w:tcW w:type="dxa" w:w="1728"/>
          </w:tcPr>
          <w:p>
            <w:r/>
            <w:r>
              <w:rPr>
                <w:sz w:val="18"/>
              </w:rPr>
              <w:t>High (flood drainage + mobility)</w:t>
            </w:r>
          </w:p>
        </w:tc>
      </w:tr>
      <w:tr>
        <w:tc>
          <w:tcPr>
            <w:tcW w:type="dxa" w:w="1728"/>
          </w:tcPr>
          <w:p>
            <w:r/>
            <w:r>
              <w:rPr>
                <w:sz w:val="18"/>
              </w:rPr>
              <w:t>773</w:t>
            </w:r>
          </w:p>
        </w:tc>
        <w:tc>
          <w:tcPr>
            <w:tcW w:type="dxa" w:w="1728"/>
          </w:tcPr>
          <w:p>
            <w:r/>
            <w:r>
              <w:rPr>
                <w:sz w:val="18"/>
              </w:rPr>
              <w:t>Saenz Peña–La Carrodilla / Ruta 15 centrality</w:t>
            </w:r>
          </w:p>
        </w:tc>
        <w:tc>
          <w:tcPr>
            <w:tcW w:type="dxa" w:w="1728"/>
          </w:tcPr>
          <w:p>
            <w:r/>
            <w:r>
              <w:rPr>
                <w:sz w:val="18"/>
              </w:rPr>
              <w:t>1,500,000,000</w:t>
            </w:r>
          </w:p>
        </w:tc>
        <w:tc>
          <w:tcPr>
            <w:tcW w:type="dxa" w:w="1728"/>
          </w:tcPr>
          <w:p>
            <w:r/>
            <w:r>
              <w:rPr>
                <w:sz w:val="18"/>
              </w:rPr>
              <w:t>1 (80%)</w:t>
            </w:r>
          </w:p>
        </w:tc>
        <w:tc>
          <w:tcPr>
            <w:tcW w:type="dxa" w:w="1728"/>
          </w:tcPr>
          <w:p>
            <w:r/>
            <w:r>
              <w:rPr>
                <w:sz w:val="18"/>
              </w:rPr>
              <w:t>Medium</w:t>
            </w:r>
          </w:p>
        </w:tc>
      </w:tr>
      <w:tr>
        <w:tc>
          <w:tcPr>
            <w:tcW w:type="dxa" w:w="1728"/>
          </w:tcPr>
          <w:p>
            <w:r/>
            <w:r>
              <w:rPr>
                <w:sz w:val="18"/>
              </w:rPr>
              <w:t>865</w:t>
            </w:r>
          </w:p>
        </w:tc>
        <w:tc>
          <w:tcPr>
            <w:tcW w:type="dxa" w:w="1728"/>
          </w:tcPr>
          <w:p>
            <w:r/>
            <w:r>
              <w:rPr>
                <w:sz w:val="18"/>
              </w:rPr>
              <w:t>Microplazas (≈10 of 20)</w:t>
            </w:r>
          </w:p>
        </w:tc>
        <w:tc>
          <w:tcPr>
            <w:tcW w:type="dxa" w:w="1728"/>
          </w:tcPr>
          <w:p>
            <w:r/>
            <w:r>
              <w:rPr>
                <w:sz w:val="18"/>
              </w:rPr>
              <w:t>1,200,000,000</w:t>
            </w:r>
          </w:p>
        </w:tc>
        <w:tc>
          <w:tcPr>
            <w:tcW w:type="dxa" w:w="1728"/>
          </w:tcPr>
          <w:p>
            <w:r/>
            <w:r>
              <w:rPr>
                <w:sz w:val="18"/>
              </w:rPr>
              <w:t>1 (80%)</w:t>
            </w:r>
          </w:p>
        </w:tc>
        <w:tc>
          <w:tcPr>
            <w:tcW w:type="dxa" w:w="1728"/>
          </w:tcPr>
          <w:p>
            <w:r/>
            <w:r>
              <w:rPr>
                <w:sz w:val="18"/>
              </w:rPr>
              <w:t>High (green space)</w:t>
            </w:r>
          </w:p>
        </w:tc>
      </w:tr>
      <w:tr>
        <w:tc>
          <w:tcPr>
            <w:tcW w:type="dxa" w:w="1728"/>
          </w:tcPr>
          <w:p>
            <w:r/>
            <w:r>
              <w:rPr>
                <w:sz w:val="18"/>
              </w:rPr>
              <w:t>993</w:t>
            </w:r>
          </w:p>
        </w:tc>
        <w:tc>
          <w:tcPr>
            <w:tcW w:type="dxa" w:w="1728"/>
          </w:tcPr>
          <w:p>
            <w:r/>
            <w:r>
              <w:rPr>
                <w:sz w:val="18"/>
              </w:rPr>
              <w:t>Speed reducers / safe crossings</w:t>
            </w:r>
          </w:p>
        </w:tc>
        <w:tc>
          <w:tcPr>
            <w:tcW w:type="dxa" w:w="1728"/>
          </w:tcPr>
          <w:p>
            <w:r/>
            <w:r>
              <w:rPr>
                <w:sz w:val="18"/>
              </w:rPr>
              <w:t>350,000,000</w:t>
            </w:r>
          </w:p>
        </w:tc>
        <w:tc>
          <w:tcPr>
            <w:tcW w:type="dxa" w:w="1728"/>
          </w:tcPr>
          <w:p>
            <w:r/>
            <w:r>
              <w:rPr>
                <w:sz w:val="18"/>
              </w:rPr>
              <w:t>2 (20%)</w:t>
            </w:r>
          </w:p>
        </w:tc>
        <w:tc>
          <w:tcPr>
            <w:tcW w:type="dxa" w:w="1728"/>
          </w:tcPr>
          <w:p>
            <w:r/>
            <w:r>
              <w:rPr>
                <w:sz w:val="18"/>
              </w:rPr>
              <w:t>Low</w:t>
            </w:r>
          </w:p>
        </w:tc>
      </w:tr>
      <w:tr>
        <w:tc>
          <w:tcPr>
            <w:tcW w:type="dxa" w:w="1728"/>
          </w:tcPr>
          <w:p>
            <w:r/>
            <w:r>
              <w:rPr>
                <w:sz w:val="18"/>
              </w:rPr>
              <w:t>994</w:t>
            </w:r>
          </w:p>
        </w:tc>
        <w:tc>
          <w:tcPr>
            <w:tcW w:type="dxa" w:w="1728"/>
          </w:tcPr>
          <w:p>
            <w:r/>
            <w:r>
              <w:rPr>
                <w:sz w:val="18"/>
              </w:rPr>
              <w:t>Secure monitored infrastructure points (5 stops)</w:t>
            </w:r>
          </w:p>
        </w:tc>
        <w:tc>
          <w:tcPr>
            <w:tcW w:type="dxa" w:w="1728"/>
          </w:tcPr>
          <w:p>
            <w:r/>
            <w:r>
              <w:rPr>
                <w:sz w:val="18"/>
              </w:rPr>
              <w:t>200,000,000</w:t>
            </w:r>
          </w:p>
        </w:tc>
        <w:tc>
          <w:tcPr>
            <w:tcW w:type="dxa" w:w="1728"/>
          </w:tcPr>
          <w:p>
            <w:r/>
            <w:r>
              <w:rPr>
                <w:sz w:val="18"/>
              </w:rPr>
              <w:t>2 (20%)</w:t>
            </w:r>
          </w:p>
        </w:tc>
        <w:tc>
          <w:tcPr>
            <w:tcW w:type="dxa" w:w="1728"/>
          </w:tcPr>
          <w:p>
            <w:r/>
            <w:r>
              <w:rPr>
                <w:sz w:val="18"/>
              </w:rPr>
              <w:t>Low</w:t>
            </w:r>
          </w:p>
        </w:tc>
      </w:tr>
      <w:tr>
        <w:tc>
          <w:tcPr>
            <w:tcW w:type="dxa" w:w="1728"/>
          </w:tcPr>
          <w:p>
            <w:r/>
            <w:r>
              <w:rPr>
                <w:sz w:val="18"/>
              </w:rPr>
              <w:t>464</w:t>
            </w:r>
          </w:p>
        </w:tc>
        <w:tc>
          <w:tcPr>
            <w:tcW w:type="dxa" w:w="1728"/>
          </w:tcPr>
          <w:p>
            <w:r/>
            <w:r>
              <w:rPr>
                <w:sz w:val="18"/>
              </w:rPr>
              <w:t>Connected bus shelters</w:t>
            </w:r>
          </w:p>
        </w:tc>
        <w:tc>
          <w:tcPr>
            <w:tcW w:type="dxa" w:w="1728"/>
          </w:tcPr>
          <w:p>
            <w:r/>
            <w:r>
              <w:rPr>
                <w:sz w:val="18"/>
              </w:rPr>
              <w:t>33,750,000</w:t>
            </w:r>
          </w:p>
        </w:tc>
        <w:tc>
          <w:tcPr>
            <w:tcW w:type="dxa" w:w="1728"/>
          </w:tcPr>
          <w:p>
            <w:r/>
            <w:r>
              <w:rPr>
                <w:sz w:val="18"/>
              </w:rPr>
              <w:t>2 (20%)</w:t>
            </w:r>
          </w:p>
        </w:tc>
        <w:tc>
          <w:tcPr>
            <w:tcW w:type="dxa" w:w="1728"/>
          </w:tcPr>
          <w:p>
            <w:r/>
            <w:r>
              <w:rPr>
                <w:sz w:val="18"/>
              </w:rPr>
              <w:t>Medium (transit)</w:t>
            </w:r>
          </w:p>
        </w:tc>
      </w:tr>
      <w:tr>
        <w:tc>
          <w:tcPr>
            <w:tcW w:type="dxa" w:w="1728"/>
          </w:tcPr>
          <w:p>
            <w:r/>
            <w:r>
              <w:rPr>
                <w:sz w:val="18"/>
              </w:rPr>
              <w:t>452</w:t>
            </w:r>
          </w:p>
        </w:tc>
        <w:tc>
          <w:tcPr>
            <w:tcW w:type="dxa" w:w="1728"/>
          </w:tcPr>
          <w:p>
            <w:r/>
            <w:r>
              <w:rPr>
                <w:sz w:val="18"/>
              </w:rPr>
              <w:t>Sidewalks Zapiola &amp; Pueyrredón (1,750 m)</w:t>
            </w:r>
          </w:p>
        </w:tc>
        <w:tc>
          <w:tcPr>
            <w:tcW w:type="dxa" w:w="1728"/>
          </w:tcPr>
          <w:p>
            <w:r/>
            <w:r>
              <w:rPr>
                <w:sz w:val="18"/>
              </w:rPr>
              <w:t>30,562,500</w:t>
            </w:r>
          </w:p>
        </w:tc>
        <w:tc>
          <w:tcPr>
            <w:tcW w:type="dxa" w:w="1728"/>
          </w:tcPr>
          <w:p>
            <w:r/>
            <w:r>
              <w:rPr>
                <w:sz w:val="18"/>
              </w:rPr>
              <w:t>2 (20%)</w:t>
            </w:r>
          </w:p>
        </w:tc>
        <w:tc>
          <w:tcPr>
            <w:tcW w:type="dxa" w:w="1728"/>
          </w:tcPr>
          <w:p>
            <w:r/>
            <w:r>
              <w:rPr>
                <w:sz w:val="18"/>
              </w:rPr>
              <w:t>Medium (walkability)</w:t>
            </w:r>
          </w:p>
        </w:tc>
      </w:tr>
      <w:tr>
        <w:tc>
          <w:tcPr>
            <w:tcW w:type="dxa" w:w="1728"/>
          </w:tcPr>
          <w:p>
            <w:r/>
            <w:r>
              <w:rPr>
                <w:sz w:val="18"/>
              </w:rPr>
              <w:t>575</w:t>
            </w:r>
          </w:p>
        </w:tc>
        <w:tc>
          <w:tcPr>
            <w:tcW w:type="dxa" w:w="1728"/>
          </w:tcPr>
          <w:p>
            <w:r/>
            <w:r>
              <w:rPr>
                <w:sz w:val="18"/>
              </w:rPr>
              <w:t>Boulevard Tierra del Fuego (400 m)</w:t>
            </w:r>
          </w:p>
        </w:tc>
        <w:tc>
          <w:tcPr>
            <w:tcW w:type="dxa" w:w="1728"/>
          </w:tcPr>
          <w:p>
            <w:r/>
            <w:r>
              <w:rPr>
                <w:sz w:val="18"/>
              </w:rPr>
              <w:t>24,570,000</w:t>
            </w:r>
          </w:p>
        </w:tc>
        <w:tc>
          <w:tcPr>
            <w:tcW w:type="dxa" w:w="1728"/>
          </w:tcPr>
          <w:p>
            <w:r/>
            <w:r>
              <w:rPr>
                <w:sz w:val="18"/>
              </w:rPr>
              <w:t>2 (20%)</w:t>
            </w:r>
          </w:p>
        </w:tc>
        <w:tc>
          <w:tcPr>
            <w:tcW w:type="dxa" w:w="1728"/>
          </w:tcPr>
          <w:p>
            <w:r/>
            <w:r>
              <w:rPr>
                <w:sz w:val="18"/>
              </w:rPr>
              <w:t>Med–high (green corridor)</w:t>
            </w:r>
          </w:p>
        </w:tc>
      </w:tr>
      <w:tr>
        <w:tc>
          <w:tcPr>
            <w:tcW w:type="dxa" w:w="1728"/>
          </w:tcPr>
          <w:p>
            <w:r/>
            <w:r>
              <w:rPr>
                <w:sz w:val="18"/>
              </w:rPr>
              <w:t>463</w:t>
            </w:r>
          </w:p>
        </w:tc>
        <w:tc>
          <w:tcPr>
            <w:tcW w:type="dxa" w:w="1728"/>
          </w:tcPr>
          <w:p>
            <w:r/>
            <w:r>
              <w:rPr>
                <w:sz w:val="18"/>
              </w:rPr>
              <w:t>Polideportivo sidewalk (600 m)</w:t>
            </w:r>
          </w:p>
        </w:tc>
        <w:tc>
          <w:tcPr>
            <w:tcW w:type="dxa" w:w="1728"/>
          </w:tcPr>
          <w:p>
            <w:r/>
            <w:r>
              <w:rPr>
                <w:sz w:val="18"/>
              </w:rPr>
              <w:t>15,000,000</w:t>
            </w:r>
          </w:p>
        </w:tc>
        <w:tc>
          <w:tcPr>
            <w:tcW w:type="dxa" w:w="1728"/>
          </w:tcPr>
          <w:p>
            <w:r/>
            <w:r>
              <w:rPr>
                <w:sz w:val="18"/>
              </w:rPr>
              <w:t>2 (20%)</w:t>
            </w:r>
          </w:p>
        </w:tc>
        <w:tc>
          <w:tcPr>
            <w:tcW w:type="dxa" w:w="1728"/>
          </w:tcPr>
          <w:p>
            <w:r/>
            <w:r>
              <w:rPr>
                <w:sz w:val="18"/>
              </w:rPr>
              <w:t>Medium</w:t>
            </w:r>
          </w:p>
        </w:tc>
      </w:tr>
      <w:tr>
        <w:tc>
          <w:tcPr>
            <w:tcW w:type="dxa" w:w="1728"/>
          </w:tcPr>
          <w:p>
            <w:r/>
            <w:r>
              <w:rPr>
                <w:sz w:val="18"/>
              </w:rPr>
            </w:r>
          </w:p>
        </w:tc>
        <w:tc>
          <w:tcPr>
            <w:tcW w:type="dxa" w:w="1728"/>
          </w:tcPr>
          <w:p>
            <w:r/>
            <w:r>
              <w:rPr>
                <w:sz w:val="18"/>
              </w:rPr>
              <w:t>Total funded programme</w:t>
            </w:r>
          </w:p>
        </w:tc>
        <w:tc>
          <w:tcPr>
            <w:tcW w:type="dxa" w:w="1728"/>
          </w:tcPr>
          <w:p>
            <w:r/>
            <w:r>
              <w:rPr>
                <w:sz w:val="18"/>
              </w:rPr>
              <w:t>6,853,882,500</w:t>
            </w:r>
          </w:p>
        </w:tc>
        <w:tc>
          <w:tcPr>
            <w:tcW w:type="dxa" w:w="1728"/>
          </w:tcPr>
          <w:p>
            <w:r/>
            <w:r>
              <w:rPr>
                <w:sz w:val="18"/>
              </w:rPr>
            </w:r>
          </w:p>
        </w:tc>
        <w:tc>
          <w:tcPr>
            <w:tcW w:type="dxa" w:w="1728"/>
          </w:tcPr>
          <w:p>
            <w:r/>
            <w:r>
              <w:rPr>
                <w:sz w:val="18"/>
              </w:rPr>
            </w:r>
          </w:p>
        </w:tc>
      </w:tr>
      <w:tr>
        <w:tc>
          <w:tcPr>
            <w:tcW w:type="dxa" w:w="1728"/>
          </w:tcPr>
          <w:p>
            <w:r/>
            <w:r>
              <w:rPr>
                <w:sz w:val="18"/>
              </w:rPr>
            </w:r>
          </w:p>
        </w:tc>
        <w:tc>
          <w:tcPr>
            <w:tcW w:type="dxa" w:w="1728"/>
          </w:tcPr>
          <w:p>
            <w:r/>
            <w:r>
              <w:rPr>
                <w:sz w:val="18"/>
              </w:rPr>
              <w:t>Adaptation-relevant (high / med–high impact)</w:t>
            </w:r>
          </w:p>
        </w:tc>
        <w:tc>
          <w:tcPr>
            <w:tcW w:type="dxa" w:w="1728"/>
          </w:tcPr>
          <w:p>
            <w:r/>
            <w:r>
              <w:rPr>
                <w:sz w:val="18"/>
              </w:rPr>
              <w:t>4,724,570,000</w:t>
            </w:r>
          </w:p>
        </w:tc>
        <w:tc>
          <w:tcPr>
            <w:tcW w:type="dxa" w:w="1728"/>
          </w:tcPr>
          <w:p>
            <w:r/>
            <w:r>
              <w:rPr>
                <w:sz w:val="18"/>
              </w:rPr>
              <w:t>≈69%</w:t>
            </w:r>
          </w:p>
        </w:tc>
        <w:tc>
          <w:tcPr>
            <w:tcW w:type="dxa" w:w="1728"/>
          </w:tcPr>
          <w:p>
            <w:r/>
            <w:r>
              <w:rPr>
                <w:sz w:val="18"/>
              </w:rPr>
            </w:r>
          </w:p>
        </w:tc>
      </w:tr>
      <w:tr>
        <w:tc>
          <w:tcPr>
            <w:tcW w:type="dxa" w:w="1728"/>
          </w:tcPr>
          <w:p>
            <w:r/>
            <w:r>
              <w:rPr>
                <w:sz w:val="18"/>
              </w:rPr>
            </w:r>
          </w:p>
        </w:tc>
        <w:tc>
          <w:tcPr>
            <w:tcW w:type="dxa" w:w="1728"/>
          </w:tcPr>
          <w:p>
            <w:r/>
            <w:r>
              <w:rPr>
                <w:sz w:val="18"/>
              </w:rPr>
              <w:t>Betterment-eligible, priority-weighted (excl. ID 1274)</w:t>
            </w:r>
          </w:p>
        </w:tc>
        <w:tc>
          <w:tcPr>
            <w:tcW w:type="dxa" w:w="1728"/>
          </w:tcPr>
          <w:p>
            <w:r/>
            <w:r>
              <w:rPr>
                <w:sz w:val="18"/>
              </w:rPr>
              <w:t>3,490,776,500</w:t>
            </w:r>
          </w:p>
        </w:tc>
        <w:tc>
          <w:tcPr>
            <w:tcW w:type="dxa" w:w="1728"/>
          </w:tcPr>
          <w:p>
            <w:r/>
            <w:r>
              <w:rPr>
                <w:sz w:val="18"/>
              </w:rPr>
            </w:r>
          </w:p>
        </w:tc>
        <w:tc>
          <w:tcPr>
            <w:tcW w:type="dxa" w:w="1728"/>
          </w:tcPr>
          <w:p>
            <w:r/>
            <w:r>
              <w:rPr>
                <w:sz w:val="18"/>
              </w:rPr>
            </w:r>
          </w:p>
        </w:tc>
      </w:tr>
    </w:tbl>
    <w:p>
      <w:pPr>
        <w:spacing w:after="200"/>
      </w:pPr>
      <w:r>
        <w:rPr>
          <w:i/>
          <w:sz w:val="18"/>
        </w:rPr>
        <w:t>Table 4: The municipally funded 2026 public-works programme—the betterment-levy base—by planning priority and environmental-adaptation impact. Seven further projects (bike lanes, repaving) sit in the operating budget. Source: Plan de Obras, “Obras y Espacios Públicos — Proyectos a ejecutar 2026.”</w:t>
      </w:r>
    </w:p>
    <w:p>
      <w:pPr>
        <w:spacing w:after="120" w:line="276" w:lineRule="auto"/>
      </w:pPr>
      <w:r>
        <w:t>Some works are the province’s, not the city’s—chiefly a new Río Mendoza bridge and two Acceso Sur pedestrian overpasses (Table 5). The municipality cannot levy betterment on works it does not finance, so these are excluded from the base; we list them because they reshape corridor accessibility and the land-value gradient the other instruments tax.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ID</w:t>
            </w:r>
          </w:p>
        </w:tc>
        <w:tc>
          <w:tcPr>
            <w:tcW w:type="dxa" w:w="2160"/>
          </w:tcPr>
          <w:p>
            <w:r/>
            <w:r>
              <w:rPr>
                <w:b/>
                <w:sz w:val="18"/>
              </w:rPr>
              <w:t>Project</w:t>
            </w:r>
          </w:p>
        </w:tc>
        <w:tc>
          <w:tcPr>
            <w:tcW w:type="dxa" w:w="2160"/>
          </w:tcPr>
          <w:p>
            <w:r/>
            <w:r>
              <w:rPr>
                <w:b/>
                <w:sz w:val="18"/>
              </w:rPr>
              <w:t>Executing body</w:t>
            </w:r>
          </w:p>
        </w:tc>
        <w:tc>
          <w:tcPr>
            <w:tcW w:type="dxa" w:w="2160"/>
          </w:tcPr>
          <w:p>
            <w:r/>
            <w:r>
              <w:rPr>
                <w:b/>
                <w:sz w:val="18"/>
              </w:rPr>
              <w:t>Env.–adaptation impact</w:t>
            </w:r>
          </w:p>
        </w:tc>
      </w:tr>
      <w:tr>
        <w:tc>
          <w:tcPr>
            <w:tcW w:type="dxa" w:w="2160"/>
          </w:tcPr>
          <w:p>
            <w:r/>
            <w:r>
              <w:rPr>
                <w:sz w:val="18"/>
              </w:rPr>
              <w:t>466</w:t>
            </w:r>
          </w:p>
        </w:tc>
        <w:tc>
          <w:tcPr>
            <w:tcW w:type="dxa" w:w="2160"/>
          </w:tcPr>
          <w:p>
            <w:r/>
            <w:r>
              <w:rPr>
                <w:sz w:val="18"/>
              </w:rPr>
              <w:t>Nuevo Puente Río Mendoza + Ciclovía San Martín</w:t>
            </w:r>
          </w:p>
        </w:tc>
        <w:tc>
          <w:tcPr>
            <w:tcW w:type="dxa" w:w="2160"/>
          </w:tcPr>
          <w:p>
            <w:r/>
            <w:r>
              <w:rPr>
                <w:sz w:val="18"/>
              </w:rPr>
              <w:t>Province (DPV)</w:t>
            </w:r>
          </w:p>
        </w:tc>
        <w:tc>
          <w:tcPr>
            <w:tcW w:type="dxa" w:w="2160"/>
          </w:tcPr>
          <w:p>
            <w:r/>
            <w:r>
              <w:rPr>
                <w:sz w:val="18"/>
              </w:rPr>
              <w:t>Medium (connectivity + bike lane)</w:t>
            </w:r>
          </w:p>
        </w:tc>
      </w:tr>
      <w:tr>
        <w:tc>
          <w:tcPr>
            <w:tcW w:type="dxa" w:w="2160"/>
          </w:tcPr>
          <w:p>
            <w:r/>
            <w:r>
              <w:rPr>
                <w:sz w:val="18"/>
              </w:rPr>
              <w:t>467</w:t>
            </w:r>
          </w:p>
        </w:tc>
        <w:tc>
          <w:tcPr>
            <w:tcW w:type="dxa" w:w="2160"/>
          </w:tcPr>
          <w:p>
            <w:r/>
            <w:r>
              <w:rPr>
                <w:sz w:val="18"/>
              </w:rPr>
              <w:t>Pedestrian overpass — Acceso Sur &amp; Malabia</w:t>
            </w:r>
          </w:p>
        </w:tc>
        <w:tc>
          <w:tcPr>
            <w:tcW w:type="dxa" w:w="2160"/>
          </w:tcPr>
          <w:p>
            <w:r/>
            <w:r>
              <w:rPr>
                <w:sz w:val="18"/>
              </w:rPr>
              <w:t>Province</w:t>
            </w:r>
          </w:p>
        </w:tc>
        <w:tc>
          <w:tcPr>
            <w:tcW w:type="dxa" w:w="2160"/>
          </w:tcPr>
          <w:p>
            <w:r/>
            <w:r>
              <w:rPr>
                <w:sz w:val="18"/>
              </w:rPr>
              <w:t>Low–medium (safe crossing)</w:t>
            </w:r>
          </w:p>
        </w:tc>
      </w:tr>
      <w:tr>
        <w:tc>
          <w:tcPr>
            <w:tcW w:type="dxa" w:w="2160"/>
          </w:tcPr>
          <w:p>
            <w:r/>
            <w:r>
              <w:rPr>
                <w:sz w:val="18"/>
              </w:rPr>
              <w:t>468</w:t>
            </w:r>
          </w:p>
        </w:tc>
        <w:tc>
          <w:tcPr>
            <w:tcW w:type="dxa" w:w="2160"/>
          </w:tcPr>
          <w:p>
            <w:r/>
            <w:r>
              <w:rPr>
                <w:sz w:val="18"/>
              </w:rPr>
              <w:t>Pedestrian overpass — Acceso Sur &amp; Castro Barros</w:t>
            </w:r>
          </w:p>
        </w:tc>
        <w:tc>
          <w:tcPr>
            <w:tcW w:type="dxa" w:w="2160"/>
          </w:tcPr>
          <w:p>
            <w:r/>
            <w:r>
              <w:rPr>
                <w:sz w:val="18"/>
              </w:rPr>
              <w:t>Province</w:t>
            </w:r>
          </w:p>
        </w:tc>
        <w:tc>
          <w:tcPr>
            <w:tcW w:type="dxa" w:w="2160"/>
          </w:tcPr>
          <w:p>
            <w:r/>
            <w:r>
              <w:rPr>
                <w:sz w:val="18"/>
              </w:rPr>
              <w:t>Low–medium (safe crossing)</w:t>
            </w:r>
          </w:p>
        </w:tc>
      </w:tr>
    </w:tbl>
    <w:p>
      <w:pPr>
        <w:spacing w:after="200"/>
      </w:pPr>
      <w:r>
        <w:rPr>
          <w:i/>
          <w:sz w:val="18"/>
        </w:rPr>
        <w:t>Table 5: Works financed or executed by the Province of Mendoza—excluded from the municipal betterment base.</w:t>
      </w:r>
    </w:p>
    <w:p>
      <w:pPr>
        <w:spacing w:after="120" w:line="276" w:lineRule="auto"/>
      </w:pPr>
      <w:r>
        <w:t>The development-rights and differential-rent instruments are aimed at the places the city means to densify (Table 6): the metrotranvía / San Martín transit corridor and the centralities of Ciudad de Luján and La Carrodilla–Mayor Drummond, which coincide with the priority urban voids carrying the 200-percent vacant-land surcharge. The same places where idle land is most penalised are where building rights are sold and rezoning value captured—one spatial signal, not three.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Densification zone</w:t>
            </w:r>
          </w:p>
        </w:tc>
        <w:tc>
          <w:tcPr>
            <w:tcW w:type="dxa" w:w="2160"/>
          </w:tcPr>
          <w:p>
            <w:r/>
            <w:r>
              <w:rPr>
                <w:b/>
                <w:sz w:val="18"/>
              </w:rPr>
              <w:t>Type</w:t>
            </w:r>
          </w:p>
        </w:tc>
        <w:tc>
          <w:tcPr>
            <w:tcW w:type="dxa" w:w="2160"/>
          </w:tcPr>
          <w:p>
            <w:r/>
            <w:r>
              <w:rPr>
                <w:b/>
                <w:sz w:val="18"/>
              </w:rPr>
              <w:t>Instruments</w:t>
            </w:r>
          </w:p>
        </w:tc>
        <w:tc>
          <w:tcPr>
            <w:tcW w:type="dxa" w:w="2160"/>
          </w:tcPr>
          <w:p>
            <w:r/>
            <w:r>
              <w:rPr>
                <w:b/>
                <w:sz w:val="18"/>
              </w:rPr>
              <w:t>Adaptation / spatial link</w:t>
            </w:r>
          </w:p>
        </w:tc>
      </w:tr>
      <w:tr>
        <w:tc>
          <w:tcPr>
            <w:tcW w:type="dxa" w:w="2160"/>
          </w:tcPr>
          <w:p>
            <w:r/>
            <w:r>
              <w:rPr>
                <w:sz w:val="18"/>
              </w:rPr>
              <w:t>Metrotranvía / San Martín corridor</w:t>
            </w:r>
          </w:p>
        </w:tc>
        <w:tc>
          <w:tcPr>
            <w:tcW w:type="dxa" w:w="2160"/>
          </w:tcPr>
          <w:p>
            <w:r/>
            <w:r>
              <w:rPr>
                <w:sz w:val="18"/>
              </w:rPr>
              <w:t>Transit corridor</w:t>
            </w:r>
          </w:p>
        </w:tc>
        <w:tc>
          <w:tcPr>
            <w:tcW w:type="dxa" w:w="2160"/>
          </w:tcPr>
          <w:p>
            <w:r/>
            <w:r>
              <w:rPr>
                <w:sz w:val="18"/>
              </w:rPr>
              <w:t>Suelo Creado, PVA</w:t>
            </w:r>
          </w:p>
        </w:tc>
        <w:tc>
          <w:tcPr>
            <w:tcW w:type="dxa" w:w="2160"/>
          </w:tcPr>
          <w:p>
            <w:r/>
            <w:r>
              <w:rPr>
                <w:sz w:val="18"/>
              </w:rPr>
              <w:t>TOD; low-carbon mobility (ID 1274)</w:t>
            </w:r>
          </w:p>
        </w:tc>
      </w:tr>
      <w:tr>
        <w:tc>
          <w:tcPr>
            <w:tcW w:type="dxa" w:w="2160"/>
          </w:tcPr>
          <w:p>
            <w:r/>
            <w:r>
              <w:rPr>
                <w:sz w:val="18"/>
              </w:rPr>
              <w:t>Ciudad de Luján centrality</w:t>
            </w:r>
          </w:p>
        </w:tc>
        <w:tc>
          <w:tcPr>
            <w:tcW w:type="dxa" w:w="2160"/>
          </w:tcPr>
          <w:p>
            <w:r/>
            <w:r>
              <w:rPr>
                <w:sz w:val="18"/>
              </w:rPr>
              <w:t>Urban centrality</w:t>
            </w:r>
          </w:p>
        </w:tc>
        <w:tc>
          <w:tcPr>
            <w:tcW w:type="dxa" w:w="2160"/>
          </w:tcPr>
          <w:p>
            <w:r/>
            <w:r>
              <w:rPr>
                <w:sz w:val="18"/>
              </w:rPr>
              <w:t>Suelo Creado, PVA; vacant-land +200%</w:t>
            </w:r>
          </w:p>
        </w:tc>
        <w:tc>
          <w:tcPr>
            <w:tcW w:type="dxa" w:w="2160"/>
          </w:tcPr>
          <w:p>
            <w:r/>
            <w:r>
              <w:rPr>
                <w:sz w:val="18"/>
              </w:rPr>
              <w:t>Compact infill; drainage (ID 395)</w:t>
            </w:r>
          </w:p>
        </w:tc>
      </w:tr>
      <w:tr>
        <w:tc>
          <w:tcPr>
            <w:tcW w:type="dxa" w:w="2160"/>
          </w:tcPr>
          <w:p>
            <w:r/>
            <w:r>
              <w:rPr>
                <w:sz w:val="18"/>
              </w:rPr>
              <w:t>La Carrodilla–Mayor Drummond</w:t>
            </w:r>
          </w:p>
        </w:tc>
        <w:tc>
          <w:tcPr>
            <w:tcW w:type="dxa" w:w="2160"/>
          </w:tcPr>
          <w:p>
            <w:r/>
            <w:r>
              <w:rPr>
                <w:sz w:val="18"/>
              </w:rPr>
              <w:t>Centrality / priority infill</w:t>
            </w:r>
          </w:p>
        </w:tc>
        <w:tc>
          <w:tcPr>
            <w:tcW w:type="dxa" w:w="2160"/>
          </w:tcPr>
          <w:p>
            <w:r/>
            <w:r>
              <w:rPr>
                <w:sz w:val="18"/>
              </w:rPr>
              <w:t>Suelo Creado, PVA; vacant-land +200%</w:t>
            </w:r>
          </w:p>
        </w:tc>
        <w:tc>
          <w:tcPr>
            <w:tcW w:type="dxa" w:w="2160"/>
          </w:tcPr>
          <w:p>
            <w:r/>
            <w:r>
              <w:rPr>
                <w:sz w:val="18"/>
              </w:rPr>
              <w:t>Centrality (ID 773); urban voids</w:t>
            </w:r>
          </w:p>
        </w:tc>
      </w:tr>
    </w:tbl>
    <w:p>
      <w:pPr>
        <w:spacing w:after="200"/>
      </w:pPr>
      <w:r>
        <w:rPr>
          <w:i/>
          <w:sz w:val="18"/>
        </w:rPr>
        <w:t>Table 6: Priority densification zones where the development-rights and differential-rent instruments apply.</w:t>
      </w:r>
    </w:p>
    <w:p>
      <w:pPr>
        <w:spacing w:after="120" w:line="276" w:lineRule="auto"/>
      </w:pPr>
      <w:r>
        <w:t>What gives these instruments their base is the city’s new buildability code. The draft COS 2026 replaces a single height limit with two lines: a base of 10 metres (13 in ZCM6), buildable without instruments, and a maximum of 36 metres reached only by purchasing additional building rights (Suelo Creado) or through rent capture—about 8.7 extra floors. Across the seven affected zones (4,491 hectares, with floor-area coverage of 75–90 percent), this opens a ceiling near 295 million m² of additional buildable area (Table 7), a theoretical maximum that assumes full take-up. Revenue therefore depends on annual absorption, which we set conservatively at 20,000–80,000 m²/yr across the Low–High scenarios—under 0.03 percent of the ceiling even at the high end, so the development-rights base will not bind for decades.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Zone</w:t>
            </w:r>
          </w:p>
        </w:tc>
        <w:tc>
          <w:tcPr>
            <w:tcW w:type="dxa" w:w="1728"/>
          </w:tcPr>
          <w:p>
            <w:r/>
            <w:r>
              <w:rPr>
                <w:b/>
                <w:sz w:val="18"/>
              </w:rPr>
              <w:t>Area 2022 (ha)</w:t>
            </w:r>
          </w:p>
        </w:tc>
        <w:tc>
          <w:tcPr>
            <w:tcW w:type="dxa" w:w="1728"/>
          </w:tcPr>
          <w:p>
            <w:r/>
            <w:r>
              <w:rPr>
                <w:b/>
                <w:sz w:val="18"/>
              </w:rPr>
              <w:t>FOS (%)</w:t>
            </w:r>
          </w:p>
        </w:tc>
        <w:tc>
          <w:tcPr>
            <w:tcW w:type="dxa" w:w="1728"/>
          </w:tcPr>
          <w:p>
            <w:r/>
            <w:r>
              <w:rPr>
                <w:b/>
                <w:sz w:val="18"/>
              </w:rPr>
              <w:t>Height básico → máximo (m)</w:t>
            </w:r>
          </w:p>
        </w:tc>
        <w:tc>
          <w:tcPr>
            <w:tcW w:type="dxa" w:w="1728"/>
          </w:tcPr>
          <w:p>
            <w:r/>
            <w:r>
              <w:rPr>
                <w:b/>
                <w:sz w:val="18"/>
              </w:rPr>
              <w:t>Additional buildable ceiling (m²)</w:t>
            </w:r>
          </w:p>
        </w:tc>
      </w:tr>
      <w:tr>
        <w:tc>
          <w:tcPr>
            <w:tcW w:type="dxa" w:w="1728"/>
          </w:tcPr>
          <w:p>
            <w:r/>
            <w:r>
              <w:rPr>
                <w:sz w:val="18"/>
              </w:rPr>
              <w:t>ZRM2</w:t>
            </w:r>
          </w:p>
        </w:tc>
        <w:tc>
          <w:tcPr>
            <w:tcW w:type="dxa" w:w="1728"/>
          </w:tcPr>
          <w:p>
            <w:r/>
            <w:r>
              <w:rPr>
                <w:sz w:val="18"/>
              </w:rPr>
              <w:t>1,356</w:t>
            </w:r>
          </w:p>
        </w:tc>
        <w:tc>
          <w:tcPr>
            <w:tcW w:type="dxa" w:w="1728"/>
          </w:tcPr>
          <w:p>
            <w:r/>
            <w:r>
              <w:rPr>
                <w:sz w:val="18"/>
              </w:rPr>
              <w:t>75</w:t>
            </w:r>
          </w:p>
        </w:tc>
        <w:tc>
          <w:tcPr>
            <w:tcW w:type="dxa" w:w="1728"/>
          </w:tcPr>
          <w:p>
            <w:r/>
            <w:r>
              <w:rPr>
                <w:sz w:val="18"/>
              </w:rPr>
              <w:t>10 → 36</w:t>
            </w:r>
          </w:p>
        </w:tc>
        <w:tc>
          <w:tcPr>
            <w:tcW w:type="dxa" w:w="1728"/>
          </w:tcPr>
          <w:p>
            <w:r/>
            <w:r>
              <w:rPr>
                <w:sz w:val="18"/>
              </w:rPr>
              <w:t>88,137,947</w:t>
            </w:r>
          </w:p>
        </w:tc>
      </w:tr>
      <w:tr>
        <w:tc>
          <w:tcPr>
            <w:tcW w:type="dxa" w:w="1728"/>
          </w:tcPr>
          <w:p>
            <w:r/>
            <w:r>
              <w:rPr>
                <w:sz w:val="18"/>
              </w:rPr>
              <w:t>ZRM3</w:t>
            </w:r>
          </w:p>
        </w:tc>
        <w:tc>
          <w:tcPr>
            <w:tcW w:type="dxa" w:w="1728"/>
          </w:tcPr>
          <w:p>
            <w:r/>
            <w:r>
              <w:rPr>
                <w:sz w:val="18"/>
              </w:rPr>
              <w:t>1,256</w:t>
            </w:r>
          </w:p>
        </w:tc>
        <w:tc>
          <w:tcPr>
            <w:tcW w:type="dxa" w:w="1728"/>
          </w:tcPr>
          <w:p>
            <w:r/>
            <w:r>
              <w:rPr>
                <w:sz w:val="18"/>
              </w:rPr>
              <w:t>75</w:t>
            </w:r>
          </w:p>
        </w:tc>
        <w:tc>
          <w:tcPr>
            <w:tcW w:type="dxa" w:w="1728"/>
          </w:tcPr>
          <w:p>
            <w:r/>
            <w:r>
              <w:rPr>
                <w:sz w:val="18"/>
              </w:rPr>
              <w:t>10 → 36</w:t>
            </w:r>
          </w:p>
        </w:tc>
        <w:tc>
          <w:tcPr>
            <w:tcW w:type="dxa" w:w="1728"/>
          </w:tcPr>
          <w:p>
            <w:r/>
            <w:r>
              <w:rPr>
                <w:sz w:val="18"/>
              </w:rPr>
              <w:t>81,668,328</w:t>
            </w:r>
          </w:p>
        </w:tc>
      </w:tr>
      <w:tr>
        <w:tc>
          <w:tcPr>
            <w:tcW w:type="dxa" w:w="1728"/>
          </w:tcPr>
          <w:p>
            <w:r/>
            <w:r>
              <w:rPr>
                <w:sz w:val="18"/>
              </w:rPr>
              <w:t>ZRM1</w:t>
            </w:r>
          </w:p>
        </w:tc>
        <w:tc>
          <w:tcPr>
            <w:tcW w:type="dxa" w:w="1728"/>
          </w:tcPr>
          <w:p>
            <w:r/>
            <w:r>
              <w:rPr>
                <w:sz w:val="18"/>
              </w:rPr>
              <w:t>901</w:t>
            </w:r>
          </w:p>
        </w:tc>
        <w:tc>
          <w:tcPr>
            <w:tcW w:type="dxa" w:w="1728"/>
          </w:tcPr>
          <w:p>
            <w:r/>
            <w:r>
              <w:rPr>
                <w:sz w:val="18"/>
              </w:rPr>
              <w:t>75</w:t>
            </w:r>
          </w:p>
        </w:tc>
        <w:tc>
          <w:tcPr>
            <w:tcW w:type="dxa" w:w="1728"/>
          </w:tcPr>
          <w:p>
            <w:r/>
            <w:r>
              <w:rPr>
                <w:sz w:val="18"/>
              </w:rPr>
              <w:t>10 → 36</w:t>
            </w:r>
          </w:p>
        </w:tc>
        <w:tc>
          <w:tcPr>
            <w:tcW w:type="dxa" w:w="1728"/>
          </w:tcPr>
          <w:p>
            <w:r/>
            <w:r>
              <w:rPr>
                <w:sz w:val="18"/>
              </w:rPr>
              <w:t>58,596,637</w:t>
            </w:r>
          </w:p>
        </w:tc>
      </w:tr>
      <w:tr>
        <w:tc>
          <w:tcPr>
            <w:tcW w:type="dxa" w:w="1728"/>
          </w:tcPr>
          <w:p>
            <w:r/>
            <w:r>
              <w:rPr>
                <w:sz w:val="18"/>
              </w:rPr>
              <w:t>ZR1</w:t>
            </w:r>
          </w:p>
        </w:tc>
        <w:tc>
          <w:tcPr>
            <w:tcW w:type="dxa" w:w="1728"/>
          </w:tcPr>
          <w:p>
            <w:r/>
            <w:r>
              <w:rPr>
                <w:sz w:val="18"/>
              </w:rPr>
              <w:t>714</w:t>
            </w:r>
          </w:p>
        </w:tc>
        <w:tc>
          <w:tcPr>
            <w:tcW w:type="dxa" w:w="1728"/>
          </w:tcPr>
          <w:p>
            <w:r/>
            <w:r>
              <w:rPr>
                <w:sz w:val="18"/>
              </w:rPr>
              <w:t>75</w:t>
            </w:r>
          </w:p>
        </w:tc>
        <w:tc>
          <w:tcPr>
            <w:tcW w:type="dxa" w:w="1728"/>
          </w:tcPr>
          <w:p>
            <w:r/>
            <w:r>
              <w:rPr>
                <w:sz w:val="18"/>
              </w:rPr>
              <w:t>10 → 36</w:t>
            </w:r>
          </w:p>
        </w:tc>
        <w:tc>
          <w:tcPr>
            <w:tcW w:type="dxa" w:w="1728"/>
          </w:tcPr>
          <w:p>
            <w:r/>
            <w:r>
              <w:rPr>
                <w:sz w:val="18"/>
              </w:rPr>
              <w:t>46,410,451</w:t>
            </w:r>
          </w:p>
        </w:tc>
      </w:tr>
      <w:tr>
        <w:tc>
          <w:tcPr>
            <w:tcW w:type="dxa" w:w="1728"/>
          </w:tcPr>
          <w:p>
            <w:r/>
            <w:r>
              <w:rPr>
                <w:sz w:val="18"/>
              </w:rPr>
              <w:t>ZCM1</w:t>
            </w:r>
          </w:p>
        </w:tc>
        <w:tc>
          <w:tcPr>
            <w:tcW w:type="dxa" w:w="1728"/>
          </w:tcPr>
          <w:p>
            <w:r/>
            <w:r>
              <w:rPr>
                <w:sz w:val="18"/>
              </w:rPr>
              <w:t>232</w:t>
            </w:r>
          </w:p>
        </w:tc>
        <w:tc>
          <w:tcPr>
            <w:tcW w:type="dxa" w:w="1728"/>
          </w:tcPr>
          <w:p>
            <w:r/>
            <w:r>
              <w:rPr>
                <w:sz w:val="18"/>
              </w:rPr>
              <w:t>89</w:t>
            </w:r>
          </w:p>
        </w:tc>
        <w:tc>
          <w:tcPr>
            <w:tcW w:type="dxa" w:w="1728"/>
          </w:tcPr>
          <w:p>
            <w:r/>
            <w:r>
              <w:rPr>
                <w:sz w:val="18"/>
              </w:rPr>
              <w:t>10 → 36</w:t>
            </w:r>
          </w:p>
        </w:tc>
        <w:tc>
          <w:tcPr>
            <w:tcW w:type="dxa" w:w="1728"/>
          </w:tcPr>
          <w:p>
            <w:r/>
            <w:r>
              <w:rPr>
                <w:sz w:val="18"/>
              </w:rPr>
              <w:t>17,924,965</w:t>
            </w:r>
          </w:p>
        </w:tc>
      </w:tr>
      <w:tr>
        <w:tc>
          <w:tcPr>
            <w:tcW w:type="dxa" w:w="1728"/>
          </w:tcPr>
          <w:p>
            <w:r/>
            <w:r>
              <w:rPr>
                <w:sz w:val="18"/>
              </w:rPr>
              <w:t>ZC</w:t>
            </w:r>
          </w:p>
        </w:tc>
        <w:tc>
          <w:tcPr>
            <w:tcW w:type="dxa" w:w="1728"/>
          </w:tcPr>
          <w:p>
            <w:r/>
            <w:r>
              <w:rPr>
                <w:sz w:val="18"/>
              </w:rPr>
              <w:t>31</w:t>
            </w:r>
          </w:p>
        </w:tc>
        <w:tc>
          <w:tcPr>
            <w:tcW w:type="dxa" w:w="1728"/>
          </w:tcPr>
          <w:p>
            <w:r/>
            <w:r>
              <w:rPr>
                <w:sz w:val="18"/>
              </w:rPr>
              <w:t>90</w:t>
            </w:r>
          </w:p>
        </w:tc>
        <w:tc>
          <w:tcPr>
            <w:tcW w:type="dxa" w:w="1728"/>
          </w:tcPr>
          <w:p>
            <w:r/>
            <w:r>
              <w:rPr>
                <w:sz w:val="18"/>
              </w:rPr>
              <w:t>10 → 36</w:t>
            </w:r>
          </w:p>
        </w:tc>
        <w:tc>
          <w:tcPr>
            <w:tcW w:type="dxa" w:w="1728"/>
          </w:tcPr>
          <w:p>
            <w:r/>
            <w:r>
              <w:rPr>
                <w:sz w:val="18"/>
              </w:rPr>
              <w:t>2,413,938</w:t>
            </w:r>
          </w:p>
        </w:tc>
      </w:tr>
      <w:tr>
        <w:tc>
          <w:tcPr>
            <w:tcW w:type="dxa" w:w="1728"/>
          </w:tcPr>
          <w:p>
            <w:r/>
            <w:r>
              <w:rPr>
                <w:sz w:val="18"/>
              </w:rPr>
              <w:t>ZCM6</w:t>
            </w:r>
          </w:p>
        </w:tc>
        <w:tc>
          <w:tcPr>
            <w:tcW w:type="dxa" w:w="1728"/>
          </w:tcPr>
          <w:p>
            <w:r/>
            <w:r>
              <w:rPr>
                <w:sz w:val="18"/>
              </w:rPr>
              <w:t>n/a</w:t>
            </w:r>
          </w:p>
        </w:tc>
        <w:tc>
          <w:tcPr>
            <w:tcW w:type="dxa" w:w="1728"/>
          </w:tcPr>
          <w:p>
            <w:r/>
            <w:r>
              <w:rPr>
                <w:sz w:val="18"/>
              </w:rPr>
              <w:t>—</w:t>
            </w:r>
          </w:p>
        </w:tc>
        <w:tc>
          <w:tcPr>
            <w:tcW w:type="dxa" w:w="1728"/>
          </w:tcPr>
          <w:p>
            <w:r/>
            <w:r>
              <w:rPr>
                <w:sz w:val="18"/>
              </w:rPr>
              <w:t>13 → 36</w:t>
            </w:r>
          </w:p>
        </w:tc>
        <w:tc>
          <w:tcPr>
            <w:tcW w:type="dxa" w:w="1728"/>
          </w:tcPr>
          <w:p>
            <w:r/>
            <w:r>
              <w:rPr>
                <w:sz w:val="18"/>
              </w:rPr>
              <w:t>n/a</w:t>
            </w:r>
          </w:p>
        </w:tc>
      </w:tr>
      <w:tr>
        <w:tc>
          <w:tcPr>
            <w:tcW w:type="dxa" w:w="1728"/>
          </w:tcPr>
          <w:p>
            <w:r/>
            <w:r>
              <w:rPr>
                <w:sz w:val="18"/>
              </w:rPr>
              <w:t>Total (7 zones)</w:t>
            </w:r>
          </w:p>
        </w:tc>
        <w:tc>
          <w:tcPr>
            <w:tcW w:type="dxa" w:w="1728"/>
          </w:tcPr>
          <w:p>
            <w:r/>
            <w:r>
              <w:rPr>
                <w:sz w:val="18"/>
              </w:rPr>
              <w:t>4,491</w:t>
            </w:r>
          </w:p>
        </w:tc>
        <w:tc>
          <w:tcPr>
            <w:tcW w:type="dxa" w:w="1728"/>
          </w:tcPr>
          <w:p>
            <w:r/>
            <w:r>
              <w:rPr>
                <w:sz w:val="18"/>
              </w:rPr>
              <w:t>—</w:t>
            </w:r>
          </w:p>
        </w:tc>
        <w:tc>
          <w:tcPr>
            <w:tcW w:type="dxa" w:w="1728"/>
          </w:tcPr>
          <w:p>
            <w:r/>
            <w:r>
              <w:rPr>
                <w:sz w:val="18"/>
              </w:rPr>
              <w:t>—</w:t>
            </w:r>
          </w:p>
        </w:tc>
        <w:tc>
          <w:tcPr>
            <w:tcW w:type="dxa" w:w="1728"/>
          </w:tcPr>
          <w:p>
            <w:r/>
            <w:r>
              <w:rPr>
                <w:sz w:val="18"/>
              </w:rPr>
              <w:t>295,152,266</w:t>
            </w:r>
          </w:p>
        </w:tc>
      </w:tr>
    </w:tbl>
    <w:p>
      <w:pPr>
        <w:spacing w:after="200"/>
      </w:pPr>
      <w:r>
        <w:rPr>
          <w:i/>
          <w:sz w:val="18"/>
        </w:rPr>
        <w:t>Table 7: COS 2026 buildability schedule and the ceiling of additional buildable area. Base 10 m → maximum 36 m (~8.7 extra floors) reachable only via Suelo Creado and rent capture; the ceiling assumes full take-up and is an upper bound, not an annual figure. Source: draft COS 2026 (Tabla 10) and the 2019–2026 zoning comparison.</w:t>
      </w:r>
    </w:p>
    <w:p>
      <w:pPr>
        <w:spacing w:after="120" w:line="276" w:lineRule="auto"/>
      </w:pPr>
      <w:r>
        <w:t>Valuing this take-up closes the estimate. Floor space sells for roughly USD 300–1,200/m² in these zones (built-value map), of which the instruments capture a small fraction—Suelo Creado at about 50–250 UT/m² and rent capture at 30–180 UT/m². Adding the three designed instruments to the two operational ones, the package’s combined annual potential runs from about USD 1.8 million (Low) to USD 5.6 million (High), centred near USD 3.0 million (Table 8)—of which roughly USD 1 million is already collected. These are deliberately conservative figures tied to current parameters; because the rights ceiling is so large, they are best read as a near-term floor that rises with take-up, not as a cap.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Instrument</w:t>
            </w:r>
          </w:p>
        </w:tc>
        <w:tc>
          <w:tcPr>
            <w:tcW w:type="dxa" w:w="1728"/>
          </w:tcPr>
          <w:p>
            <w:r/>
            <w:r>
              <w:rPr>
                <w:b/>
                <w:sz w:val="18"/>
              </w:rPr>
              <w:t>Basis (real municipal data)</w:t>
            </w:r>
          </w:p>
        </w:tc>
        <w:tc>
          <w:tcPr>
            <w:tcW w:type="dxa" w:w="1728"/>
          </w:tcPr>
          <w:p>
            <w:r/>
            <w:r>
              <w:rPr>
                <w:b/>
                <w:sz w:val="18"/>
              </w:rPr>
              <w:t>Low (USD/yr)</w:t>
            </w:r>
          </w:p>
        </w:tc>
        <w:tc>
          <w:tcPr>
            <w:tcW w:type="dxa" w:w="1728"/>
          </w:tcPr>
          <w:p>
            <w:r/>
            <w:r>
              <w:rPr>
                <w:b/>
                <w:sz w:val="18"/>
              </w:rPr>
              <w:t>Base (USD/yr)</w:t>
            </w:r>
          </w:p>
        </w:tc>
        <w:tc>
          <w:tcPr>
            <w:tcW w:type="dxa" w:w="1728"/>
          </w:tcPr>
          <w:p>
            <w:r/>
            <w:r>
              <w:rPr>
                <w:b/>
                <w:sz w:val="18"/>
              </w:rPr>
              <w:t>High (USD/yr)</w:t>
            </w:r>
          </w:p>
        </w:tc>
      </w:tr>
      <w:tr>
        <w:tc>
          <w:tcPr>
            <w:tcW w:type="dxa" w:w="1728"/>
          </w:tcPr>
          <w:p>
            <w:r/>
            <w:r>
              <w:rPr>
                <w:sz w:val="18"/>
              </w:rPr>
              <w:t>Betterment contributions</w:t>
            </w:r>
          </w:p>
        </w:tc>
        <w:tc>
          <w:tcPr>
            <w:tcW w:type="dxa" w:w="1728"/>
          </w:tcPr>
          <w:p>
            <w:r/>
            <w:r>
              <w:rPr>
                <w:sz w:val="18"/>
              </w:rPr>
              <w:t>2026 works programme: ARS 3.49 B eligible × 25–50%</w:t>
            </w:r>
          </w:p>
        </w:tc>
        <w:tc>
          <w:tcPr>
            <w:tcW w:type="dxa" w:w="1728"/>
          </w:tcPr>
          <w:p>
            <w:r/>
            <w:r>
              <w:rPr>
                <w:sz w:val="18"/>
              </w:rPr>
              <w:t>0.70 M</w:t>
            </w:r>
          </w:p>
        </w:tc>
        <w:tc>
          <w:tcPr>
            <w:tcW w:type="dxa" w:w="1728"/>
          </w:tcPr>
          <w:p>
            <w:r/>
            <w:r>
              <w:rPr>
                <w:sz w:val="18"/>
              </w:rPr>
              <w:t>1.12 M</w:t>
            </w:r>
          </w:p>
        </w:tc>
        <w:tc>
          <w:tcPr>
            <w:tcW w:type="dxa" w:w="1728"/>
          </w:tcPr>
          <w:p>
            <w:r/>
            <w:r>
              <w:rPr>
                <w:sz w:val="18"/>
              </w:rPr>
              <w:t>1.40 M</w:t>
            </w:r>
          </w:p>
        </w:tc>
      </w:tr>
      <w:tr>
        <w:tc>
          <w:tcPr>
            <w:tcW w:type="dxa" w:w="1728"/>
          </w:tcPr>
          <w:p>
            <w:r/>
            <w:r>
              <w:rPr>
                <w:sz w:val="18"/>
              </w:rPr>
              <w:t>Development-rights sales</w:t>
            </w:r>
          </w:p>
        </w:tc>
        <w:tc>
          <w:tcPr>
            <w:tcW w:type="dxa" w:w="1728"/>
          </w:tcPr>
          <w:p>
            <w:r/>
            <w:r>
              <w:rPr>
                <w:sz w:val="18"/>
              </w:rPr>
              <w:t>COS 2026 take-up × 50–250 UT/m²</w:t>
            </w:r>
          </w:p>
        </w:tc>
        <w:tc>
          <w:tcPr>
            <w:tcW w:type="dxa" w:w="1728"/>
          </w:tcPr>
          <w:p>
            <w:r/>
            <w:r>
              <w:rPr>
                <w:sz w:val="18"/>
              </w:rPr>
              <w:t>0.09 M</w:t>
            </w:r>
          </w:p>
        </w:tc>
        <w:tc>
          <w:tcPr>
            <w:tcW w:type="dxa" w:w="1728"/>
          </w:tcPr>
          <w:p>
            <w:r/>
            <w:r>
              <w:rPr>
                <w:sz w:val="18"/>
              </w:rPr>
              <w:t>0.57 M</w:t>
            </w:r>
          </w:p>
        </w:tc>
        <w:tc>
          <w:tcPr>
            <w:tcW w:type="dxa" w:w="1728"/>
          </w:tcPr>
          <w:p>
            <w:r/>
            <w:r>
              <w:rPr>
                <w:sz w:val="18"/>
              </w:rPr>
              <w:t>1.89 M</w:t>
            </w:r>
          </w:p>
        </w:tc>
      </w:tr>
      <w:tr>
        <w:tc>
          <w:tcPr>
            <w:tcW w:type="dxa" w:w="1728"/>
          </w:tcPr>
          <w:p>
            <w:r/>
            <w:r>
              <w:rPr>
                <w:sz w:val="18"/>
              </w:rPr>
              <w:t>Differential rent capture</w:t>
            </w:r>
          </w:p>
        </w:tc>
        <w:tc>
          <w:tcPr>
            <w:tcW w:type="dxa" w:w="1728"/>
          </w:tcPr>
          <w:p>
            <w:r/>
            <w:r>
              <w:rPr>
                <w:sz w:val="18"/>
              </w:rPr>
              <w:t>COS 2026 take-up × 30–180 UT/m²</w:t>
            </w:r>
          </w:p>
        </w:tc>
        <w:tc>
          <w:tcPr>
            <w:tcW w:type="dxa" w:w="1728"/>
          </w:tcPr>
          <w:p>
            <w:r/>
            <w:r>
              <w:rPr>
                <w:sz w:val="18"/>
              </w:rPr>
              <w:t>0.06 M</w:t>
            </w:r>
          </w:p>
        </w:tc>
        <w:tc>
          <w:tcPr>
            <w:tcW w:type="dxa" w:w="1728"/>
          </w:tcPr>
          <w:p>
            <w:r/>
            <w:r>
              <w:rPr>
                <w:sz w:val="18"/>
              </w:rPr>
              <w:t>0.38 M</w:t>
            </w:r>
          </w:p>
        </w:tc>
        <w:tc>
          <w:tcPr>
            <w:tcW w:type="dxa" w:w="1728"/>
          </w:tcPr>
          <w:p>
            <w:r/>
            <w:r>
              <w:rPr>
                <w:sz w:val="18"/>
              </w:rPr>
              <w:t>1.36 M</w:t>
            </w:r>
          </w:p>
        </w:tc>
      </w:tr>
      <w:tr>
        <w:tc>
          <w:tcPr>
            <w:tcW w:type="dxa" w:w="1728"/>
          </w:tcPr>
          <w:p>
            <w:r/>
            <w:r>
              <w:rPr>
                <w:sz w:val="18"/>
              </w:rPr>
              <w:t>Subtotal — value capture (ex-ante)</w:t>
            </w:r>
          </w:p>
        </w:tc>
        <w:tc>
          <w:tcPr>
            <w:tcW w:type="dxa" w:w="1728"/>
          </w:tcPr>
          <w:p>
            <w:r/>
            <w:r>
              <w:rPr>
                <w:sz w:val="18"/>
              </w:rPr>
            </w:r>
          </w:p>
        </w:tc>
        <w:tc>
          <w:tcPr>
            <w:tcW w:type="dxa" w:w="1728"/>
          </w:tcPr>
          <w:p>
            <w:r/>
            <w:r>
              <w:rPr>
                <w:sz w:val="18"/>
              </w:rPr>
              <w:t>0.85 M</w:t>
            </w:r>
          </w:p>
        </w:tc>
        <w:tc>
          <w:tcPr>
            <w:tcW w:type="dxa" w:w="1728"/>
          </w:tcPr>
          <w:p>
            <w:r/>
            <w:r>
              <w:rPr>
                <w:sz w:val="18"/>
              </w:rPr>
              <w:t>2.07 M</w:t>
            </w:r>
          </w:p>
        </w:tc>
        <w:tc>
          <w:tcPr>
            <w:tcW w:type="dxa" w:w="1728"/>
          </w:tcPr>
          <w:p>
            <w:r/>
            <w:r>
              <w:rPr>
                <w:sz w:val="18"/>
              </w:rPr>
              <w:t>4.65 M</w:t>
            </w:r>
          </w:p>
        </w:tc>
      </w:tr>
      <w:tr>
        <w:tc>
          <w:tcPr>
            <w:tcW w:type="dxa" w:w="1728"/>
          </w:tcPr>
          <w:p>
            <w:r/>
            <w:r>
              <w:rPr>
                <w:sz w:val="18"/>
              </w:rPr>
              <w:t>Realized operational (water/sewer + vacant land)</w:t>
            </w:r>
          </w:p>
        </w:tc>
        <w:tc>
          <w:tcPr>
            <w:tcW w:type="dxa" w:w="1728"/>
          </w:tcPr>
          <w:p>
            <w:r/>
            <w:r>
              <w:rPr>
                <w:sz w:val="18"/>
              </w:rPr>
              <w:t>Municipal records (2025/2026)</w:t>
            </w:r>
          </w:p>
        </w:tc>
        <w:tc>
          <w:tcPr>
            <w:tcW w:type="dxa" w:w="1728"/>
          </w:tcPr>
          <w:p>
            <w:r/>
            <w:r>
              <w:rPr>
                <w:sz w:val="18"/>
              </w:rPr>
              <w:t>0.97 M</w:t>
            </w:r>
          </w:p>
        </w:tc>
        <w:tc>
          <w:tcPr>
            <w:tcW w:type="dxa" w:w="1728"/>
          </w:tcPr>
          <w:p>
            <w:r/>
            <w:r>
              <w:rPr>
                <w:sz w:val="18"/>
              </w:rPr>
              <w:t>0.97 M</w:t>
            </w:r>
          </w:p>
        </w:tc>
        <w:tc>
          <w:tcPr>
            <w:tcW w:type="dxa" w:w="1728"/>
          </w:tcPr>
          <w:p>
            <w:r/>
            <w:r>
              <w:rPr>
                <w:sz w:val="18"/>
              </w:rPr>
              <w:t>0.97 M</w:t>
            </w:r>
          </w:p>
        </w:tc>
      </w:tr>
      <w:tr>
        <w:tc>
          <w:tcPr>
            <w:tcW w:type="dxa" w:w="1728"/>
          </w:tcPr>
          <w:p>
            <w:r/>
            <w:r>
              <w:rPr>
                <w:sz w:val="18"/>
              </w:rPr>
              <w:t>Total annual revenue potential</w:t>
            </w:r>
          </w:p>
        </w:tc>
        <w:tc>
          <w:tcPr>
            <w:tcW w:type="dxa" w:w="1728"/>
          </w:tcPr>
          <w:p>
            <w:r/>
            <w:r>
              <w:rPr>
                <w:sz w:val="18"/>
              </w:rPr>
            </w:r>
          </w:p>
        </w:tc>
        <w:tc>
          <w:tcPr>
            <w:tcW w:type="dxa" w:w="1728"/>
          </w:tcPr>
          <w:p>
            <w:r/>
            <w:r>
              <w:rPr>
                <w:sz w:val="18"/>
              </w:rPr>
              <w:t>1.82 M</w:t>
            </w:r>
          </w:p>
        </w:tc>
        <w:tc>
          <w:tcPr>
            <w:tcW w:type="dxa" w:w="1728"/>
          </w:tcPr>
          <w:p>
            <w:r/>
            <w:r>
              <w:rPr>
                <w:sz w:val="18"/>
              </w:rPr>
              <w:t>3.04 M</w:t>
            </w:r>
          </w:p>
        </w:tc>
        <w:tc>
          <w:tcPr>
            <w:tcW w:type="dxa" w:w="1728"/>
          </w:tcPr>
          <w:p>
            <w:r/>
            <w:r>
              <w:rPr>
                <w:sz w:val="18"/>
              </w:rPr>
              <w:t>5.62 M</w:t>
            </w:r>
          </w:p>
        </w:tc>
      </w:tr>
    </w:tbl>
    <w:p>
      <w:pPr>
        <w:spacing w:after="200"/>
      </w:pPr>
      <w:r>
        <w:rPr>
          <w:i/>
          <w:sz w:val="18"/>
        </w:rPr>
        <w:t>Table 8: Revenue potential by instrument and scenario—a deterministic build-up from real parameters (ordinance formulas, UT 2026 = ARS 235; converted at ARS 1,244.17/USD). Ex-ante figures are illustrative and conservative, tied to current take-up; all figures are before leverage.</w:t>
      </w:r>
    </w:p>
    <w:p>
      <w:pPr>
        <w:pStyle w:val="Heading2"/>
      </w:pPr>
      <w:r>
        <w:t>7.4 Incidence: who pays, who benefits</w:t>
      </w:r>
    </w:p>
    <w:p>
      <w:pPr>
        <w:spacing w:after="120" w:line="276" w:lineRule="auto"/>
      </w:pPr>
      <w:r>
        <w:t>Because the journal rightly worries that climate finance can deepen inequity, incidence is not an afterthought here but a design variable. On the paying side, the instruments fall on the owners who capture the windfall: rezoning-gain capture and development-rights sales are paid by those who profit from intensification, and the vacant-land surcharge falls on owners holding serviced land idle—progressive bases, since landownership and development gains are concentrated. On the receiving side, the priority index binds disbursement to need, steering investment toward districts with lower baseline access to green space, water, and services (Section 7.5). The combination is deliberately redistributive: value is captured where it is created—the consolidated, high-value, transit-served districts—and spent where the deficits are deepest. A framework that merely raised revenue could still be regressive; this one is engineered not to be.</w:t>
      </w:r>
    </w:p>
    <w:p>
      <w:pPr>
        <w:pStyle w:val="Heading2"/>
      </w:pPr>
      <w:r>
        <w:t>7.5 The financing gap, alignment, and the leverage that closes it</w:t>
      </w:r>
    </w:p>
    <w:p>
      <w:pPr>
        <w:spacing w:after="120" w:line="276" w:lineRule="auto"/>
      </w:pPr>
      <w:r>
        <w:t>To make the numbers concrete, take one deficit the index measures. Lifting green space from a municipal average near 6 m² per inhabitant to the index’s 10 m² target implies roughly 700,000 m² of new green space for about 175,000 residents; at an indicative USD 80/m², a one-off capital need near USD 56 million. Near-term revenue of about USD 3 million covers some 5 percent of that in a year on a pay-as-you-go basis—which is why pay-as-you-go is the wrong frame. The trust fund’s leverage (Section 5.5) is what closes the gap: a dedicated reserve to match grants, and a pledged revenue stream to secure a green bond of three to four times annual revenue—about USD 9–12 million at the baseline, and more as the package matures—covering a large share of the deficit in a single issuance.</w:t>
      </w:r>
    </w:p>
    <w:p>
      <w:pPr>
        <w:spacing w:after="120" w:line="276" w:lineRule="auto"/>
      </w:pPr>
      <w:r>
        <w:t>Does the city already invest where the index says it should? The green-space dimension, computed in October 2025, puts the highest-priority districts at the urban edge and the lower-income periphery—Vistalba, Las Compuertas, and the Industrial district at level E, then Chacras de Coria, Agrelo, Mayor Drummond, and Vertientes del Pedemonte at level D—while the consolidated centres of Ciudad and La Puntilla already score A (Table 9). The need is not where the city is wealthiest.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Green-space sufficiency</w:t>
            </w:r>
          </w:p>
        </w:tc>
        <w:tc>
          <w:tcPr>
            <w:tcW w:type="dxa" w:w="2880"/>
          </w:tcPr>
          <w:p>
            <w:r/>
            <w:r>
              <w:rPr>
                <w:b/>
                <w:sz w:val="18"/>
              </w:rPr>
              <w:t>Districts</w:t>
            </w:r>
          </w:p>
        </w:tc>
        <w:tc>
          <w:tcPr>
            <w:tcW w:type="dxa" w:w="2880"/>
          </w:tcPr>
          <w:p>
            <w:r/>
            <w:r>
              <w:rPr>
                <w:b/>
                <w:sz w:val="18"/>
              </w:rPr>
              <w:t>Investment priority</w:t>
            </w:r>
          </w:p>
        </w:tc>
      </w:tr>
      <w:tr>
        <w:tc>
          <w:tcPr>
            <w:tcW w:type="dxa" w:w="2880"/>
          </w:tcPr>
          <w:p>
            <w:r/>
            <w:r>
              <w:rPr>
                <w:sz w:val="18"/>
              </w:rPr>
              <w:t>A — Outstanding (≥90%)</w:t>
            </w:r>
          </w:p>
        </w:tc>
        <w:tc>
          <w:tcPr>
            <w:tcW w:type="dxa" w:w="2880"/>
          </w:tcPr>
          <w:p>
            <w:r/>
            <w:r>
              <w:rPr>
                <w:sz w:val="18"/>
              </w:rPr>
              <w:t>La Puntilla, Ciudad</w:t>
            </w:r>
          </w:p>
        </w:tc>
        <w:tc>
          <w:tcPr>
            <w:tcW w:type="dxa" w:w="2880"/>
          </w:tcPr>
          <w:p>
            <w:r/>
            <w:r>
              <w:rPr>
                <w:sz w:val="18"/>
              </w:rPr>
              <w:t>Low</w:t>
            </w:r>
          </w:p>
        </w:tc>
      </w:tr>
      <w:tr>
        <w:tc>
          <w:tcPr>
            <w:tcW w:type="dxa" w:w="2880"/>
          </w:tcPr>
          <w:p>
            <w:r/>
            <w:r>
              <w:rPr>
                <w:sz w:val="18"/>
              </w:rPr>
              <w:t>B — Very sufficient (70–89%)</w:t>
            </w:r>
          </w:p>
        </w:tc>
        <w:tc>
          <w:tcPr>
            <w:tcW w:type="dxa" w:w="2880"/>
          </w:tcPr>
          <w:p>
            <w:r/>
            <w:r>
              <w:rPr>
                <w:sz w:val="18"/>
              </w:rPr>
              <w:t>Potrerillos, Carrodilla</w:t>
            </w:r>
          </w:p>
        </w:tc>
        <w:tc>
          <w:tcPr>
            <w:tcW w:type="dxa" w:w="2880"/>
          </w:tcPr>
          <w:p>
            <w:r/>
            <w:r>
              <w:rPr>
                <w:sz w:val="18"/>
              </w:rPr>
              <w:t>Low</w:t>
            </w:r>
          </w:p>
        </w:tc>
      </w:tr>
      <w:tr>
        <w:tc>
          <w:tcPr>
            <w:tcW w:type="dxa" w:w="2880"/>
          </w:tcPr>
          <w:p>
            <w:r/>
            <w:r>
              <w:rPr>
                <w:sz w:val="18"/>
              </w:rPr>
              <w:t>C — Sufficient (50–69%)</w:t>
            </w:r>
          </w:p>
        </w:tc>
        <w:tc>
          <w:tcPr>
            <w:tcW w:type="dxa" w:w="2880"/>
          </w:tcPr>
          <w:p>
            <w:r/>
            <w:r>
              <w:rPr>
                <w:sz w:val="18"/>
              </w:rPr>
              <w:t>Perdriel, Cacheuta, El Carrizal, Ugarteche</w:t>
            </w:r>
          </w:p>
        </w:tc>
        <w:tc>
          <w:tcPr>
            <w:tcW w:type="dxa" w:w="2880"/>
          </w:tcPr>
          <w:p>
            <w:r/>
            <w:r>
              <w:rPr>
                <w:sz w:val="18"/>
              </w:rPr>
              <w:t>Medium</w:t>
            </w:r>
          </w:p>
        </w:tc>
      </w:tr>
      <w:tr>
        <w:tc>
          <w:tcPr>
            <w:tcW w:type="dxa" w:w="2880"/>
          </w:tcPr>
          <w:p>
            <w:r/>
            <w:r>
              <w:rPr>
                <w:sz w:val="18"/>
              </w:rPr>
              <w:t>D — Insufficient (25–49%)</w:t>
            </w:r>
          </w:p>
        </w:tc>
        <w:tc>
          <w:tcPr>
            <w:tcW w:type="dxa" w:w="2880"/>
          </w:tcPr>
          <w:p>
            <w:r/>
            <w:r>
              <w:rPr>
                <w:sz w:val="18"/>
              </w:rPr>
              <w:t>Chacras de Coria, Agrelo, Mayor Drummond, Vertientes del Pedemonte</w:t>
            </w:r>
          </w:p>
        </w:tc>
        <w:tc>
          <w:tcPr>
            <w:tcW w:type="dxa" w:w="2880"/>
          </w:tcPr>
          <w:p>
            <w:r/>
            <w:r>
              <w:rPr>
                <w:sz w:val="18"/>
              </w:rPr>
              <w:t>High</w:t>
            </w:r>
          </w:p>
        </w:tc>
      </w:tr>
      <w:tr>
        <w:tc>
          <w:tcPr>
            <w:tcW w:type="dxa" w:w="2880"/>
          </w:tcPr>
          <w:p>
            <w:r/>
            <w:r>
              <w:rPr>
                <w:sz w:val="18"/>
              </w:rPr>
              <w:t>E — Very insufficient (&lt;25%)</w:t>
            </w:r>
          </w:p>
        </w:tc>
        <w:tc>
          <w:tcPr>
            <w:tcW w:type="dxa" w:w="2880"/>
          </w:tcPr>
          <w:p>
            <w:r/>
            <w:r>
              <w:rPr>
                <w:sz w:val="18"/>
              </w:rPr>
              <w:t>Vistalba, Las Compuertas, Industrial</w:t>
            </w:r>
          </w:p>
        </w:tc>
        <w:tc>
          <w:tcPr>
            <w:tcW w:type="dxa" w:w="2880"/>
          </w:tcPr>
          <w:p>
            <w:r/>
            <w:r>
              <w:rPr>
                <w:sz w:val="18"/>
              </w:rPr>
              <w:t>Highest</w:t>
            </w:r>
          </w:p>
        </w:tc>
      </w:tr>
    </w:tbl>
    <w:p>
      <w:pPr>
        <w:spacing w:after="200"/>
      </w:pPr>
      <w:r>
        <w:rPr>
          <w:i/>
          <w:sz w:val="18"/>
        </w:rPr>
        <w:t>Table 9: Green-space and biodiversity subindex by district (October 2025). Lower sufficiency = higher priority. Source: Laboratorio de Políticas Públicas, Municipalidad de Luján de Cuyo.</w:t>
      </w:r>
    </w:p>
    <w:p>
      <w:pPr>
        <w:spacing w:after="120" w:line="276" w:lineRule="auto"/>
      </w:pPr>
      <w:r>
        <w:t>Mapping the 2026 works onto these grades exposes a partial misalignment (Table 10 and Figure 1). The two largest place-based investments—the Ciudad and La Carrodilla centralities, ARS 1.5 billion each—fall in districts already graded A and B; their case rests on compactness, drainage, and value capture, not green-space equity. Mayor Drummond, a level-D district, does get a sidewalk and is a densification target, which fits. But the highest-priority districts—Vistalba, Las Compuertas, Industrial—get no dedicated green investment. The swing factor is the microplazas programme: ARS 1.2 billion, about twenty squares, department-wide and not yet sited. Direct those squares to the level-D and level-E districts and a latent misalignment becomes a close fit between the index and the investment—precisely the disbursement discipline the incidence argument requires.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2026 work (ID)</w:t>
            </w:r>
          </w:p>
        </w:tc>
        <w:tc>
          <w:tcPr>
            <w:tcW w:type="dxa" w:w="2160"/>
          </w:tcPr>
          <w:p>
            <w:r/>
            <w:r>
              <w:rPr>
                <w:b/>
                <w:sz w:val="18"/>
              </w:rPr>
              <w:t>District(s)</w:t>
            </w:r>
          </w:p>
        </w:tc>
        <w:tc>
          <w:tcPr>
            <w:tcW w:type="dxa" w:w="2160"/>
          </w:tcPr>
          <w:p>
            <w:r/>
            <w:r>
              <w:rPr>
                <w:b/>
                <w:sz w:val="18"/>
              </w:rPr>
              <w:t>Green-space level</w:t>
            </w:r>
          </w:p>
        </w:tc>
        <w:tc>
          <w:tcPr>
            <w:tcW w:type="dxa" w:w="2160"/>
          </w:tcPr>
          <w:p>
            <w:r/>
            <w:r>
              <w:rPr>
                <w:b/>
                <w:sz w:val="18"/>
              </w:rPr>
              <w:t>Alignment with green priority</w:t>
            </w:r>
          </w:p>
        </w:tc>
      </w:tr>
      <w:tr>
        <w:tc>
          <w:tcPr>
            <w:tcW w:type="dxa" w:w="2160"/>
          </w:tcPr>
          <w:p>
            <w:r/>
            <w:r>
              <w:rPr>
                <w:sz w:val="18"/>
              </w:rPr>
              <w:t>Centrality (395)</w:t>
            </w:r>
          </w:p>
        </w:tc>
        <w:tc>
          <w:tcPr>
            <w:tcW w:type="dxa" w:w="2160"/>
          </w:tcPr>
          <w:p>
            <w:r/>
            <w:r>
              <w:rPr>
                <w:sz w:val="18"/>
              </w:rPr>
              <w:t>Ciudad</w:t>
            </w:r>
          </w:p>
        </w:tc>
        <w:tc>
          <w:tcPr>
            <w:tcW w:type="dxa" w:w="2160"/>
          </w:tcPr>
          <w:p>
            <w:r/>
            <w:r>
              <w:rPr>
                <w:sz w:val="18"/>
              </w:rPr>
              <w:t>A</w:t>
            </w:r>
          </w:p>
        </w:tc>
        <w:tc>
          <w:tcPr>
            <w:tcW w:type="dxa" w:w="2160"/>
          </w:tcPr>
          <w:p>
            <w:r/>
            <w:r>
              <w:rPr>
                <w:sz w:val="18"/>
              </w:rPr>
              <w:t>Low — justified by drainage/compactness</w:t>
            </w:r>
          </w:p>
        </w:tc>
      </w:tr>
      <w:tr>
        <w:tc>
          <w:tcPr>
            <w:tcW w:type="dxa" w:w="2160"/>
          </w:tcPr>
          <w:p>
            <w:r/>
            <w:r>
              <w:rPr>
                <w:sz w:val="18"/>
              </w:rPr>
              <w:t>Centrality (773)</w:t>
            </w:r>
          </w:p>
        </w:tc>
        <w:tc>
          <w:tcPr>
            <w:tcW w:type="dxa" w:w="2160"/>
          </w:tcPr>
          <w:p>
            <w:r/>
            <w:r>
              <w:rPr>
                <w:sz w:val="18"/>
              </w:rPr>
              <w:t>Carrodilla</w:t>
            </w:r>
          </w:p>
        </w:tc>
        <w:tc>
          <w:tcPr>
            <w:tcW w:type="dxa" w:w="2160"/>
          </w:tcPr>
          <w:p>
            <w:r/>
            <w:r>
              <w:rPr>
                <w:sz w:val="18"/>
              </w:rPr>
              <w:t>B</w:t>
            </w:r>
          </w:p>
        </w:tc>
        <w:tc>
          <w:tcPr>
            <w:tcW w:type="dxa" w:w="2160"/>
          </w:tcPr>
          <w:p>
            <w:r/>
            <w:r>
              <w:rPr>
                <w:sz w:val="18"/>
              </w:rPr>
              <w:t>Low — justified by value capture</w:t>
            </w:r>
          </w:p>
        </w:tc>
      </w:tr>
      <w:tr>
        <w:tc>
          <w:tcPr>
            <w:tcW w:type="dxa" w:w="2160"/>
          </w:tcPr>
          <w:p>
            <w:r/>
            <w:r>
              <w:rPr>
                <w:sz w:val="18"/>
              </w:rPr>
              <w:t>Microplazas (865)</w:t>
            </w:r>
          </w:p>
        </w:tc>
        <w:tc>
          <w:tcPr>
            <w:tcW w:type="dxa" w:w="2160"/>
          </w:tcPr>
          <w:p>
            <w:r/>
            <w:r>
              <w:rPr>
                <w:sz w:val="18"/>
              </w:rPr>
              <w:t>Department-wide</w:t>
            </w:r>
          </w:p>
        </w:tc>
        <w:tc>
          <w:tcPr>
            <w:tcW w:type="dxa" w:w="2160"/>
          </w:tcPr>
          <w:p>
            <w:r/>
            <w:r>
              <w:rPr>
                <w:sz w:val="18"/>
              </w:rPr>
              <w:t>Varies</w:t>
            </w:r>
          </w:p>
        </w:tc>
        <w:tc>
          <w:tcPr>
            <w:tcW w:type="dxa" w:w="2160"/>
          </w:tcPr>
          <w:p>
            <w:r/>
            <w:r>
              <w:rPr>
                <w:sz w:val="18"/>
              </w:rPr>
              <w:t>Decisive — align by targeting D/E districts</w:t>
            </w:r>
          </w:p>
        </w:tc>
      </w:tr>
      <w:tr>
        <w:tc>
          <w:tcPr>
            <w:tcW w:type="dxa" w:w="2160"/>
          </w:tcPr>
          <w:p>
            <w:r/>
            <w:r>
              <w:rPr>
                <w:sz w:val="18"/>
              </w:rPr>
              <w:t>Boulevard T. del Fuego (575)</w:t>
            </w:r>
          </w:p>
        </w:tc>
        <w:tc>
          <w:tcPr>
            <w:tcW w:type="dxa" w:w="2160"/>
          </w:tcPr>
          <w:p>
            <w:r/>
            <w:r>
              <w:rPr>
                <w:sz w:val="18"/>
              </w:rPr>
              <w:t>Bardas Blancas (edge)</w:t>
            </w:r>
          </w:p>
        </w:tc>
        <w:tc>
          <w:tcPr>
            <w:tcW w:type="dxa" w:w="2160"/>
          </w:tcPr>
          <w:p>
            <w:r/>
            <w:r>
              <w:rPr>
                <w:sz w:val="18"/>
              </w:rPr>
              <w:t>D–E (edge)</w:t>
            </w:r>
          </w:p>
        </w:tc>
        <w:tc>
          <w:tcPr>
            <w:tcW w:type="dxa" w:w="2160"/>
          </w:tcPr>
          <w:p>
            <w:r/>
            <w:r>
              <w:rPr>
                <w:sz w:val="18"/>
              </w:rPr>
              <w:t>Potential — near high-priority area</w:t>
            </w:r>
          </w:p>
        </w:tc>
      </w:tr>
      <w:tr>
        <w:tc>
          <w:tcPr>
            <w:tcW w:type="dxa" w:w="2160"/>
          </w:tcPr>
          <w:p>
            <w:r/>
            <w:r>
              <w:rPr>
                <w:sz w:val="18"/>
              </w:rPr>
              <w:t>Sidewalk Zapiola/Drummond (452)</w:t>
            </w:r>
          </w:p>
        </w:tc>
        <w:tc>
          <w:tcPr>
            <w:tcW w:type="dxa" w:w="2160"/>
          </w:tcPr>
          <w:p>
            <w:r/>
            <w:r>
              <w:rPr>
                <w:sz w:val="18"/>
              </w:rPr>
              <w:t>Mayor Drummond</w:t>
            </w:r>
          </w:p>
        </w:tc>
        <w:tc>
          <w:tcPr>
            <w:tcW w:type="dxa" w:w="2160"/>
          </w:tcPr>
          <w:p>
            <w:r/>
            <w:r>
              <w:rPr>
                <w:sz w:val="18"/>
              </w:rPr>
              <w:t>D</w:t>
            </w:r>
          </w:p>
        </w:tc>
        <w:tc>
          <w:tcPr>
            <w:tcW w:type="dxa" w:w="2160"/>
          </w:tcPr>
          <w:p>
            <w:r/>
            <w:r>
              <w:rPr>
                <w:sz w:val="18"/>
              </w:rPr>
              <w:t>Aligned</w:t>
            </w:r>
          </w:p>
        </w:tc>
      </w:tr>
      <w:tr>
        <w:tc>
          <w:tcPr>
            <w:tcW w:type="dxa" w:w="2160"/>
          </w:tcPr>
          <w:p>
            <w:r/>
            <w:r>
              <w:rPr>
                <w:sz w:val="18"/>
              </w:rPr>
              <w:t>Polideportivo sidewalk (463)</w:t>
            </w:r>
          </w:p>
        </w:tc>
        <w:tc>
          <w:tcPr>
            <w:tcW w:type="dxa" w:w="2160"/>
          </w:tcPr>
          <w:p>
            <w:r/>
            <w:r>
              <w:rPr>
                <w:sz w:val="18"/>
              </w:rPr>
              <w:t>Ciudad</w:t>
            </w:r>
          </w:p>
        </w:tc>
        <w:tc>
          <w:tcPr>
            <w:tcW w:type="dxa" w:w="2160"/>
          </w:tcPr>
          <w:p>
            <w:r/>
            <w:r>
              <w:rPr>
                <w:sz w:val="18"/>
              </w:rPr>
              <w:t>A</w:t>
            </w:r>
          </w:p>
        </w:tc>
        <w:tc>
          <w:tcPr>
            <w:tcW w:type="dxa" w:w="2160"/>
          </w:tcPr>
          <w:p>
            <w:r/>
            <w:r>
              <w:rPr>
                <w:sz w:val="18"/>
              </w:rPr>
              <w:t>Low</w:t>
            </w:r>
          </w:p>
        </w:tc>
      </w:tr>
      <w:tr>
        <w:tc>
          <w:tcPr>
            <w:tcW w:type="dxa" w:w="2160"/>
          </w:tcPr>
          <w:p>
            <w:r/>
            <w:r>
              <w:rPr>
                <w:sz w:val="18"/>
              </w:rPr>
              <w:t>Canal bridge / metrotranvía (1274)</w:t>
            </w:r>
          </w:p>
        </w:tc>
        <w:tc>
          <w:tcPr>
            <w:tcW w:type="dxa" w:w="2160"/>
          </w:tcPr>
          <w:p>
            <w:r/>
            <w:r>
              <w:rPr>
                <w:sz w:val="18"/>
              </w:rPr>
              <w:t>Ciudad / corridor</w:t>
            </w:r>
          </w:p>
        </w:tc>
        <w:tc>
          <w:tcPr>
            <w:tcW w:type="dxa" w:w="2160"/>
          </w:tcPr>
          <w:p>
            <w:r/>
            <w:r>
              <w:rPr>
                <w:sz w:val="18"/>
              </w:rPr>
              <w:t>A</w:t>
            </w:r>
          </w:p>
        </w:tc>
        <w:tc>
          <w:tcPr>
            <w:tcW w:type="dxa" w:w="2160"/>
          </w:tcPr>
          <w:p>
            <w:r/>
            <w:r>
              <w:rPr>
                <w:sz w:val="18"/>
              </w:rPr>
              <w:t>Mobility, not green</w:t>
            </w:r>
          </w:p>
        </w:tc>
      </w:tr>
    </w:tbl>
    <w:p>
      <w:pPr>
        <w:spacing w:after="200"/>
      </w:pPr>
      <w:r>
        <w:rPr>
          <w:i/>
          <w:sz w:val="18"/>
        </w:rPr>
        <w:t>Table 10: 2026 works mapped to district green-space priority. “Alignment” asks whether the work sits where the index signals the greatest need.</w:t>
      </w:r>
    </w:p>
    <w:p>
      <w:pPr>
        <w:jc w:val="center"/>
      </w:pPr>
      <w:r>
        <w:drawing>
          <wp:inline xmlns:a="http://schemas.openxmlformats.org/drawingml/2006/main" xmlns:pic="http://schemas.openxmlformats.org/drawingml/2006/picture">
            <wp:extent cx="5760720" cy="3629254"/>
            <wp:docPr id="1" name="Picture 1"/>
            <wp:cNvGraphicFramePr>
              <a:graphicFrameLocks noChangeAspect="1"/>
            </wp:cNvGraphicFramePr>
            <a:graphic>
              <a:graphicData uri="http://schemas.openxmlformats.org/drawingml/2006/picture">
                <pic:pic>
                  <pic:nvPicPr>
                    <pic:cNvPr id="0" name="fig_alignment_works_vs_priority.png"/>
                    <pic:cNvPicPr/>
                  </pic:nvPicPr>
                  <pic:blipFill>
                    <a:blip r:embed="rId9"/>
                    <a:stretch>
                      <a:fillRect/>
                    </a:stretch>
                  </pic:blipFill>
                  <pic:spPr>
                    <a:xfrm>
                      <a:off x="0" y="0"/>
                      <a:ext cx="5760720" cy="3629254"/>
                    </a:xfrm>
                    <a:prstGeom prst="rect"/>
                  </pic:spPr>
                </pic:pic>
              </a:graphicData>
            </a:graphic>
          </wp:inline>
        </w:drawing>
      </w:r>
    </w:p>
    <w:p>
      <w:pPr>
        <w:spacing w:after="200"/>
      </w:pPr>
      <w:r>
        <w:rPr>
          <w:i/>
          <w:sz w:val="18"/>
        </w:rPr>
        <w:t>Figure 1: Where green investment is needed versus where the 2026 works are located. Horizontal axis: district green-space sufficiency (A–E; lower = higher priority). Vertical axis: 2026 place-based public-space investment (ARS billion). Ciudad and Carrodilla concentrate spending in already well-served districts; the highest-need districts receive little or none; the department-wide microplazas line is the lever that could close the gap. Source: author, from the priority index (Oct 2025) and the 2026 Plan de Obras.</w:t>
      </w:r>
    </w:p>
    <w:p>
      <w:pPr>
        <w:spacing w:after="120" w:line="276" w:lineRule="auto"/>
      </w:pPr>
      <w:r>
        <w:t>The exercise exposes the framework’s central tension, and its resolution. Value capture is generated where land is most valuable—the consolidated, transit-served districts that are also the densification zones—yet several of those same districts score poorly on green space, and the equity dimension will likely flag the poorer periphery as most deprived. A city that simply spent each instrument’s proceeds where they arose would entrench that gap. The trust fund is what prevents it: it captures value where value is created and, through the index, redirects it to where need is greatest. Pairing the fund with the index does double duty—it satisfies the financier’s demand for evidence-based prioritisation, and it disciplines the regressive instinct to invest only in neighbourhoods that already have enough.</w:t>
      </w:r>
    </w:p>
    <w:p>
      <w:pPr>
        <w:pStyle w:val="Heading1"/>
      </w:pPr>
      <w:r>
        <w:t>8. Transferability and Policy Implications</w:t>
      </w:r>
    </w:p>
    <w:p>
      <w:pPr>
        <w:pStyle w:val="Heading2"/>
      </w:pPr>
      <w:r>
        <w:t>8.1 What travels</w:t>
      </w:r>
    </w:p>
    <w:p>
      <w:pPr>
        <w:spacing w:after="120" w:line="276" w:lineRule="auto"/>
      </w:pPr>
      <w:r>
        <w:t>The framework was built to be copied, and three features make it portable. It is modular: a city can start with the two instruments easiest to administer—a vacant-land surcharge and a development charge, both operational in Luján de Cuyo within a few years—and add the value-capture instruments as capacity grows. It is adaptable: the priority index accommodates different hazards by reweighting dimensions, so a flood- or heat-exposed city can keep the architecture and change the content. And it is leverage-ready: the trust-fund logic works wherever international finance asks for own-source matching and repayment, which is to say almost everywhere.</w:t>
      </w:r>
    </w:p>
    <w:p>
      <w:pPr>
        <w:pStyle w:val="Heading2"/>
      </w:pPr>
      <w:r>
        <w:t>8.2 Enabling conditions and barriers</w:t>
      </w:r>
    </w:p>
    <w:p>
      <w:pPr>
        <w:spacing w:after="120" w:line="276" w:lineRule="auto"/>
      </w:pPr>
      <w:r>
        <w:t>Two conditions are necessary. The first is legal authority to levy the instruments—available here through municipal competence over zoning and local charges, but variable across jurisdictions. The second is land-market data; the Luján de Cuyo experience suggests that GIS-based valuation plus periodic market surveys is enough, and is affordable. The hardest barrier is political economy: land value capture moves wealth from landowners to the community and provokes predictable resistance. The case suggests a workable response—frame the instruments as climate-adaptation finance rather than as taxation, and let the earmarking and transparency of the trust fund do the persuading. When residents see that the charge on a rezoning becomes a plaza or a recharged aquifer in their own district, the politics shift.</w:t>
      </w:r>
    </w:p>
    <w:p>
      <w:pPr>
        <w:pStyle w:val="Heading2"/>
      </w:pPr>
      <w:r>
        <w:t>8.3 Implications for cities and their financiers</w:t>
      </w:r>
    </w:p>
    <w:p>
      <w:pPr>
        <w:spacing w:after="120" w:line="276" w:lineRule="auto"/>
      </w:pPr>
      <w:r>
        <w:t>For mayors, the message is that the adaptation-finance wait can end at the municipal boundary. Cities need not wait for a national programme or a multilateral cheque to begin; they can mobilise the land value their own decisions create, ring-fence it, and use it as the lever that eventually attracts the larger flows. This is the agenda C40 and the Cities Climate Finance Leadership Alliance have pressed (C40 Cities &amp; GCoM, 2026; CCFLA, 2024)—own-source revenue, creditworthiness, bankable pipelines, inclusive allocation—rendered as a concrete, replicable mechanism for the intermediate cities that need it most and study it least. For financiers, the implication is symmetric: an instrument that manufactures counterpart funds, repayment capacity, and spatial evidence in one structure is precisely the municipal counterpart that turns a thin pipeline thick. A just transition, after all, is measured not by the size of the cheque but by where it lands; an intermediate city that can capture and steer its own land value is one that can finally make the cheque land at home.</w:t>
      </w:r>
    </w:p>
    <w:p>
      <w:pPr>
        <w:pStyle w:val="Heading1"/>
      </w:pPr>
      <w:r>
        <w:t>9. Conclusion</w:t>
      </w:r>
    </w:p>
    <w:p>
      <w:pPr>
        <w:spacing w:after="120" w:line="276" w:lineRule="auto"/>
      </w:pPr>
      <w:r>
        <w:t>The alignment between land value capture and climate adaptation has been recognised in the literature for years and implemented almost nowhere. Luján de Cuyo shows what implementation looks like in an intermediate, water-stressed, Majority-World city: six instruments that catch the increment across the development cycle; a fideicomiso that pools them into matched, repayable revenue; and a priority index that points the money toward need. The evidence is partly already in the bank—an elevenfold real rise in one operational charge, a surcharge on more than five thousand idle lots—and partly ahead of it, in instruments calibrated to a real works programme and a real buildability code, whose combined potential we estimate conservatively at USD 1.8–5.6 million a year (central ≈ USD 3 million), before leverage.</w:t>
      </w:r>
    </w:p>
    <w:p>
      <w:pPr>
        <w:spacing w:after="120" w:line="276" w:lineRule="auto"/>
      </w:pPr>
      <w:r>
        <w:t>The honest limitations are the obverse of the contribution. The value-capture instruments are designed, not yet transacting, so their figures are estimates anchored to real parameters rather than observed flows; the priority index is one dimension into a six-dimension build; and the full leverage chain remains to be tested in the bond market. None of this weakens the central claim. The claim is not that Luján de Cuyo has solved adaptation finance, but that it has built a machine other cities can build too—one that converts the land-use windfall, which water-stressed regions are generating in abundance, into the bankable, equitably allocated own-source revenue the climate-finance system rewards.</w:t>
      </w:r>
    </w:p>
    <w:p>
      <w:pPr>
        <w:spacing w:after="120" w:line="276" w:lineRule="auto"/>
      </w:pPr>
      <w:r>
        <w:t>Two and a half billion people live in water-stressed countries, and the cities among them will not be saved by templates designed for somewhere else. They need models that begin with what they have. The land beneath a growing city rises in value every day; the only questions are who captures the increment, and what they do with it. Luján de Cuyo offers one answer—capture it, ring-fence it, and spend it where the city most needs to adapt—and an institutional architecture, refined in the friction of municipal politics, for any city ready to give the same answer.</w:t>
      </w:r>
    </w:p>
    <w:p>
      <w:pPr>
        <w:pStyle w:val="Heading1"/>
      </w:pPr>
      <w:r>
        <w:t>Acknowledgments</w:t>
      </w:r>
    </w:p>
    <w:p>
      <w:pPr>
        <w:spacing w:after="120" w:line="276" w:lineRule="auto"/>
      </w:pPr>
      <w:r>
        <w:t>This research forms part of a 12-month case study supported by the Lincoln Institute of Land Policy (LILP). The author thanks the Municipality of Luján de Cuyo and its Laboratorio de Políticas Públicas for access to municipal data, and CIPUV–Universidad Torcuato Di Tella for institutional support. All errors are the author’s own.</w:t>
      </w:r>
    </w:p>
    <w:p>
      <w:pPr>
        <w:pStyle w:val="Heading1"/>
      </w:pPr>
      <w:r>
        <w:t>References</w:t>
      </w:r>
    </w:p>
    <w:p>
      <w:pPr>
        <w:spacing w:after="80"/>
        <w:ind w:left="432" w:hanging="432"/>
      </w:pPr>
      <w:r>
        <w:rPr>
          <w:sz w:val="18"/>
        </w:rPr>
        <w:t>Alterman, R. (2012). Land use regulations and property values: The “Windfall Capture” idea revisited. In N. Brooks, K. Donaghy, &amp; G. Knaap (Eds.), The Oxford Handbook of Urban Economics and Planning (pp. 755–786). Oxford University Press.</w:t>
      </w:r>
    </w:p>
    <w:p>
      <w:pPr>
        <w:spacing w:after="80"/>
        <w:ind w:left="432" w:hanging="432"/>
      </w:pPr>
      <w:r>
        <w:rPr>
          <w:sz w:val="18"/>
        </w:rPr>
        <w:t>Blanco, A., Moreno, N., Vetter, D., &amp; Vetter, M. (2016). The Potential of Land Value Capture for Financing Urban Projects. Inter-American Development Bank.</w:t>
      </w:r>
    </w:p>
    <w:p>
      <w:pPr>
        <w:spacing w:after="80"/>
        <w:ind w:left="432" w:hanging="432"/>
      </w:pPr>
      <w:r>
        <w:rPr>
          <w:sz w:val="18"/>
        </w:rPr>
        <w:t>C40 Cities &amp; Global Covenant of Mayors for Climate &amp; Energy (GCoM). (2026). Building the Financial Case for Urban Adaptation: Guidance and Case Studies. C40 Cities Finance Facility.</w:t>
      </w:r>
    </w:p>
    <w:p>
      <w:pPr>
        <w:spacing w:after="80"/>
        <w:ind w:left="432" w:hanging="432"/>
      </w:pPr>
      <w:r>
        <w:rPr>
          <w:sz w:val="18"/>
        </w:rPr>
        <w:t>Cities Climate Finance Leadership Alliance (CCFLA) &amp; Climate Policy Initiative. (2024). The State of Cities Climate Finance 2024. CCFLA.</w:t>
      </w:r>
    </w:p>
    <w:p>
      <w:pPr>
        <w:spacing w:after="80"/>
        <w:ind w:left="432" w:hanging="432"/>
      </w:pPr>
      <w:r>
        <w:rPr>
          <w:sz w:val="18"/>
        </w:rPr>
        <w:t>Clifton, J., Díaz-Fuentes, D., Fernández Gutiérrez, M., &amp; Lara Gómez, A. (2025). European Investment Bank climate finance and regional vulnerability in the just transition. Cambridge Journal of Regions, Economy and Society (advance online publication). [Exact title to be confirmed.]</w:t>
      </w:r>
    </w:p>
    <w:p>
      <w:pPr>
        <w:spacing w:after="80"/>
        <w:ind w:left="432" w:hanging="432"/>
      </w:pPr>
      <w:r>
        <w:rPr>
          <w:sz w:val="18"/>
        </w:rPr>
        <w:t>Coalition for Urban Transitions. (2019). Climate Emergency, Urban Opportunity. WRI Ross Center &amp; C40 Cities.</w:t>
      </w:r>
    </w:p>
    <w:p>
      <w:pPr>
        <w:spacing w:after="80"/>
        <w:ind w:left="432" w:hanging="432"/>
      </w:pPr>
      <w:r>
        <w:rPr>
          <w:sz w:val="18"/>
        </w:rPr>
        <w:t>Dunning, R. J., &amp; Lord, A. (2020). Preparing for the climate crisis: What role should land value capture play? Land Use Policy, 99, 104867.</w:t>
      </w:r>
    </w:p>
    <w:p>
      <w:pPr>
        <w:spacing w:after="80"/>
        <w:ind w:left="432" w:hanging="432"/>
      </w:pPr>
      <w:r>
        <w:rPr>
          <w:sz w:val="18"/>
        </w:rPr>
        <w:t>Duranton, G., &amp; Puga, D. (2015). Urban land use. In G. Duranton, J. V. Henderson, &amp; W. Strange (Eds.), Handbook of Regional and Urban Economics, Vol. 5 (pp. 467–560). Elsevier.</w:t>
      </w:r>
    </w:p>
    <w:p>
      <w:pPr>
        <w:spacing w:after="80"/>
        <w:ind w:left="432" w:hanging="432"/>
      </w:pPr>
      <w:r>
        <w:rPr>
          <w:sz w:val="18"/>
        </w:rPr>
        <w:t>Fankhauser, S., &amp; Schmidt-Traub, G. (2011). From adaptation to climate-resilient development. Climate and Development, 3(2), 94–113.</w:t>
      </w:r>
    </w:p>
    <w:p>
      <w:pPr>
        <w:spacing w:after="80"/>
        <w:ind w:left="432" w:hanging="432"/>
      </w:pPr>
      <w:r>
        <w:rPr>
          <w:sz w:val="18"/>
        </w:rPr>
        <w:t>George, H. (1879). Progress and Poverty. Appleton.</w:t>
      </w:r>
    </w:p>
    <w:p>
      <w:pPr>
        <w:spacing w:after="80"/>
        <w:ind w:left="432" w:hanging="432"/>
      </w:pPr>
      <w:r>
        <w:rPr>
          <w:sz w:val="18"/>
        </w:rPr>
        <w:t>Glaeser, E. (2011). Triumph of the City. Penguin Press.</w:t>
      </w:r>
    </w:p>
    <w:p>
      <w:pPr>
        <w:spacing w:after="80"/>
        <w:ind w:left="432" w:hanging="432"/>
      </w:pPr>
      <w:r>
        <w:rPr>
          <w:sz w:val="18"/>
        </w:rPr>
        <w:t>Global Commission on Adaptation. (2019). Adapt Now: A Global Call for Leadership on Climate Resilience.</w:t>
      </w:r>
    </w:p>
    <w:p>
      <w:pPr>
        <w:spacing w:after="80"/>
        <w:ind w:left="432" w:hanging="432"/>
      </w:pPr>
      <w:r>
        <w:rPr>
          <w:sz w:val="18"/>
        </w:rPr>
        <w:t>Ingram, G. K., &amp; Hong, Y. H. (Eds.). (2012). Value Capture and Land Policies. Lincoln Institute of Land Policy.</w:t>
      </w:r>
    </w:p>
    <w:p>
      <w:pPr>
        <w:spacing w:after="80"/>
        <w:ind w:left="432" w:hanging="432"/>
      </w:pPr>
      <w:r>
        <w:rPr>
          <w:sz w:val="18"/>
        </w:rPr>
        <w:t>IPCC. (2022). Climate Change 2022: Impacts, Adaptation and Vulnerability. Cambridge University Press.</w:t>
      </w:r>
    </w:p>
    <w:p>
      <w:pPr>
        <w:spacing w:after="80"/>
        <w:ind w:left="432" w:hanging="432"/>
      </w:pPr>
      <w:r>
        <w:rPr>
          <w:sz w:val="18"/>
        </w:rPr>
        <w:t>Maldonado, M. M. (2013). Land value capture in Colombia. In M. M. Smolka &amp; D. Amborski (Eds.), Recuperación de Plusvalías en América Latina. Lincoln Institute.</w:t>
      </w:r>
    </w:p>
    <w:p>
      <w:pPr>
        <w:spacing w:after="80"/>
        <w:ind w:left="432" w:hanging="432"/>
      </w:pPr>
      <w:r>
        <w:rPr>
          <w:sz w:val="18"/>
        </w:rPr>
        <w:t>OECD &amp; Lincoln Institute of Land Policy. (2022). Global Compendium of Land Value Capture Policies. OECD Publishing.</w:t>
      </w:r>
    </w:p>
    <w:p>
      <w:pPr>
        <w:spacing w:after="80"/>
        <w:ind w:left="432" w:hanging="432"/>
      </w:pPr>
      <w:r>
        <w:rPr>
          <w:sz w:val="18"/>
        </w:rPr>
        <w:t>Smolka, M. O. (2013). Implementing Value Capture in Latin America. Lincoln Institute of Land Policy.</w:t>
      </w:r>
    </w:p>
    <w:p>
      <w:pPr>
        <w:spacing w:after="80"/>
        <w:ind w:left="432" w:hanging="432"/>
      </w:pPr>
      <w:r>
        <w:rPr>
          <w:sz w:val="18"/>
        </w:rPr>
        <w:t>Suzuki, H., Murakami, J., Hong, Y. H., &amp; Tamayose, B. (2015). Financing Transit-Oriented Development with Land Values. World Bank Group.</w:t>
      </w:r>
    </w:p>
    <w:p>
      <w:pPr>
        <w:spacing w:after="80"/>
        <w:ind w:left="432" w:hanging="432"/>
      </w:pPr>
      <w:r>
        <w:rPr>
          <w:sz w:val="18"/>
        </w:rPr>
        <w:t>UNEP. (2023). Adaptation Gap Report 2023: Underfinanced. Underprepared. United Nations Environment Programme.</w:t>
      </w:r>
    </w:p>
    <w:p>
      <w:pPr>
        <w:spacing w:after="80"/>
        <w:ind w:left="432" w:hanging="432"/>
      </w:pPr>
      <w:r>
        <w:rPr>
          <w:sz w:val="18"/>
        </w:rPr>
        <w:t>United Nations. (2023). The United Nations World Water Development Report 2023. UNESCO.</w:t>
      </w:r>
    </w:p>
    <w:p>
      <w:pPr>
        <w:spacing w:after="80"/>
        <w:ind w:left="432" w:hanging="432"/>
      </w:pPr>
      <w:r>
        <w:rPr>
          <w:sz w:val="18"/>
        </w:rPr>
        <w:t>World Bank. (2021). What the Future Has in Store: A New Paradigm for Water Storage. World Bank Publications.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