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2.png" ContentType="image/png"/>
  <Override PartName="/word/media/rId4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15</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(29)</w:t>
      </w:r>
      <w:r>
        <w:t xml:space="preserve">, and the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4" w:name="model"/>
      <w:bookmarkEnd w:id="24"/>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that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(38)</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applied-example-using-two-sample-mr"/>
      <w:bookmarkEnd w:id="30"/>
      <w:r>
        <w:t xml:space="preserve">Applied example using 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1">
        <w:r>
          <w:rPr>
            <w:rStyle w:val="Hyperlink"/>
          </w:rPr>
          <w:t xml:space="preserve">https://github.com/explodecomputer/causal-directions</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also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we find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(44)</w:t>
      </w:r>
      <w:r>
        <w:t xml:space="preserve">. Our analysis extends this to related methods such as CIT that are widely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(47)</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(16,48,49)</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(50)</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(51,52)</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(53)</w:t>
      </w:r>
      <w:r>
        <w:t xml:space="preserve">, multivariate MR</w:t>
      </w:r>
      <w:r>
        <w:t xml:space="preserve"> </w:t>
      </w:r>
      <w:r>
        <w:t xml:space="preserve">(52)</w:t>
      </w:r>
      <w:r>
        <w:t xml:space="preserve"> </w:t>
      </w:r>
      <w:r>
        <w:t xml:space="preserve">and mediation through MR</w:t>
      </w:r>
      <w:r>
        <w:t xml:space="preserve"> </w:t>
      </w:r>
      <w:r>
        <w:t xml:space="preserve">(54–56)</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acknowledgements"/>
      <w:bookmarkEnd w:id="39"/>
      <w:r>
        <w:t xml:space="preserve">Acknowledgements</w:t>
      </w:r>
    </w:p>
    <w:p>
      <w:pPr>
        <w:pStyle w:val="FirstParagraph"/>
      </w:pPr>
      <w:r>
        <w:t xml:space="preserve">This work was funded by the UK Medical Research Council (MC_UU_12013/1 and MC_UU_12013/9).</w:t>
      </w:r>
    </w:p>
    <w:p>
      <w:pPr>
        <w:pStyle w:val="Heading2"/>
      </w:pPr>
      <w:bookmarkStart w:id="40" w:name="figures"/>
      <w:bookmarkEnd w:id="40"/>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1"/>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7" w:name="appendix-1"/>
      <w:bookmarkEnd w:id="47"/>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8" w:name="appendix-2"/>
      <w:bookmarkEnd w:id="48"/>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9" w:name="references"/>
      <w:bookmarkEnd w:id="49"/>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50">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1">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2">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3">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4">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5">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6">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7">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8">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9">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60">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1">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2">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3">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4">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5">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6">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7">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8">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9">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70">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71">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2">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3">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4">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5">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6">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7">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8">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79">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80">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81">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2">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3">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4">
        <w:r>
          <w:rPr>
            <w:rStyle w:val="Hyperlink"/>
          </w:rPr>
          <w:t xml:space="preserve">http://dx.plos.org/10.1371/journal.pone.0019556</w:t>
        </w:r>
      </w:hyperlink>
    </w:p>
    <w:p>
      <w:pPr>
        <w:pStyle w:val="Bibliography"/>
      </w:pPr>
      <w:r>
        <w:t xml:space="preserve">47. Zhu Z, Zhang F, Hu H, Bakshi A, Robinson MR, Powell JE, et al. Integration of summary data from GWAS and eQTL studies predicts complex trait gene targets. Nature Genetics [Internet]. 2016 Mar;48(5):481–7. Available from:</w:t>
      </w:r>
      <w:r>
        <w:t xml:space="preserve"> </w:t>
      </w:r>
      <w:hyperlink r:id="rId85">
        <w:r>
          <w:rPr>
            <w:rStyle w:val="Hyperlink"/>
          </w:rPr>
          <w:t xml:space="preserve">http://www.nature.com/doifinder/10.1038/ng.3538</w:t>
        </w:r>
      </w:hyperlink>
    </w:p>
    <w:p>
      <w:pPr>
        <w:pStyle w:val="Bibliography"/>
      </w:pPr>
      <w:r>
        <w:t xml:space="preserve">48.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6">
        <w:r>
          <w:rPr>
            <w:rStyle w:val="Hyperlink"/>
          </w:rPr>
          <w:t xml:space="preserve">http://dx.plos.org/10.1371/journal.pmed.1001618</w:t>
        </w:r>
      </w:hyperlink>
    </w:p>
    <w:p>
      <w:pPr>
        <w:pStyle w:val="Bibliography"/>
      </w:pPr>
      <w:r>
        <w:t xml:space="preserve">49.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7">
        <w:r>
          <w:rPr>
            <w:rStyle w:val="Hyperlink"/>
          </w:rPr>
          <w:t xml:space="preserve">http://linkinghub.elsevier.com/retrieve/pii/S0002929717300320</w:t>
        </w:r>
      </w:hyperlink>
    </w:p>
    <w:p>
      <w:pPr>
        <w:pStyle w:val="Bibliography"/>
      </w:pPr>
      <w:r>
        <w:t xml:space="preserve">50. Lee SH, Wray NR. Novel genetic analysis for case-control genome-wide association studies: quantification of power and genomic prediction accuracy. PLoS One. 2013;8(8):e71494.</w:t>
      </w:r>
      <w:r>
        <w:t xml:space="preserve"> </w:t>
      </w:r>
    </w:p>
    <w:p>
      <w:pPr>
        <w:pStyle w:val="Bibliography"/>
      </w:pPr>
      <w:r>
        <w:t xml:space="preserve">51. Do R, Willer CJ, Schmidt EM, Sengupta S, Gao C, Peloso GM, et al. Common variants associated with plasma triglycerides and risk for coronary artery disease. Nature Genetics [Internet]. 2013 Oct;45(11):1345–52. Available from:</w:t>
      </w:r>
      <w:r>
        <w:t xml:space="preserve"> </w:t>
      </w:r>
      <w:hyperlink r:id="rId88">
        <w:r>
          <w:rPr>
            <w:rStyle w:val="Hyperlink"/>
          </w:rPr>
          <w:t xml:space="preserve">http://www.nature.com/doifinder/10.1038/ng.2795</w:t>
        </w:r>
      </w:hyperlink>
    </w:p>
    <w:p>
      <w:pPr>
        <w:pStyle w:val="Bibliography"/>
      </w:pPr>
      <w:r>
        <w:t xml:space="preserve">52. Burgess S, Freitag DF, Khan H, Gorman DN, Thompson SG. Using multivariable Mendelian randomization to disentangle the causal effects of lipid fractions. PloS one [Internet]. 2014 Jan;9(10):e108891. Available from:</w:t>
      </w:r>
      <w:r>
        <w:t xml:space="preserve"> </w:t>
      </w:r>
      <w:hyperlink r:id="rId89">
        <w:r>
          <w:rPr>
            <w:rStyle w:val="Hyperlink"/>
          </w:rPr>
          <w:t xml:space="preserve">http://journals.plos.org/plosone/article?id=10.1371/journal.pone.0108891</w:t>
        </w:r>
      </w:hyperlink>
    </w:p>
    <w:p>
      <w:pPr>
        <w:pStyle w:val="Bibliography"/>
      </w:pPr>
      <w:r>
        <w:t xml:space="preserve">53.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90">
        <w:r>
          <w:rPr>
            <w:rStyle w:val="Hyperlink"/>
          </w:rPr>
          <w:t xml:space="preserve">http://www.pubmedcentral.nih.gov/articlerender.fcgi?artid=3304531{\&amp;}tool=pmcentrez{\&amp;}rendertype=abstract</w:t>
        </w:r>
      </w:hyperlink>
    </w:p>
    <w:p>
      <w:pPr>
        <w:pStyle w:val="Bibliography"/>
      </w:pPr>
      <w:r>
        <w:t xml:space="preserve">54.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91">
        <w:r>
          <w:rPr>
            <w:rStyle w:val="Hyperlink"/>
          </w:rPr>
          <w:t xml:space="preserve">http://www.ncbi.nlm.nih.gov/pubmed/25411050</w:t>
        </w:r>
      </w:hyperlink>
    </w:p>
    <w:p>
      <w:pPr>
        <w:pStyle w:val="Bibliography"/>
      </w:pPr>
      <w:r>
        <w:t xml:space="preserve">55.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92">
        <w:r>
          <w:rPr>
            <w:rStyle w:val="Hyperlink"/>
          </w:rPr>
          <w:t xml:space="preserve">http://www.pubmedcentral.nih.gov/articlerender.fcgi?artid=4469795{\&amp;}tool=pmcentrez{\&amp;}rendertype=abstract</w:t>
        </w:r>
      </w:hyperlink>
    </w:p>
    <w:p>
      <w:pPr>
        <w:pStyle w:val="Bibliography"/>
      </w:pPr>
      <w:r>
        <w:t xml:space="preserve">56. Richmond RC, Hemani G, Tilling K, Davey Smith G, Relton CL. Challenges and novel approaches for investigating molecular mediation. Human molecular genetics [Internet]. 2016 Oct;25(R2):R149–56. Available from:</w:t>
      </w:r>
      <w:r>
        <w:t xml:space="preserve"> </w:t>
      </w:r>
      <w:hyperlink r:id="rId93">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1a42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2a4f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55c53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75" Target="http://arxiv.org/abs/1512.05574" TargetMode="External" /><Relationship Type="http://schemas.openxmlformats.org/officeDocument/2006/relationships/hyperlink" Id="rId80" Target="http://bmcgenomics.biomedcentral.com/articles/10.1186/s12864-016-2498-4" TargetMode="External" /><Relationship Type="http://schemas.openxmlformats.org/officeDocument/2006/relationships/hyperlink" Id="rId64" Target="http://cran.r-project.org/package=cit" TargetMode="External" /><Relationship Type="http://schemas.openxmlformats.org/officeDocument/2006/relationships/hyperlink" Id="rId79" Target="http://cran.r-project.org/package=psych" TargetMode="External" /><Relationship Type="http://schemas.openxmlformats.org/officeDocument/2006/relationships/hyperlink" Id="rId53" Target="http://dx.doi.org/10.1016/j.cell.2015.08.001" TargetMode="External" /><Relationship Type="http://schemas.openxmlformats.org/officeDocument/2006/relationships/hyperlink" Id="rId63" Target="http://dx.doi.org/10.1038/ng1589 http://www.nature.com/ng/journal/v37/n7/full/ng1589.html http://www.nature.com/ng/journal/v37/n7/pdf/ng1589.pdf" TargetMode="External" /><Relationship Type="http://schemas.openxmlformats.org/officeDocument/2006/relationships/hyperlink" Id="rId86" Target="http://dx.plos.org/10.1371/journal.pmed.1001618" TargetMode="External" /><Relationship Type="http://schemas.openxmlformats.org/officeDocument/2006/relationships/hyperlink" Id="rId84" Target="http://dx.plos.org/10.1371/journal.pone.0019556" TargetMode="External" /><Relationship Type="http://schemas.openxmlformats.org/officeDocument/2006/relationships/hyperlink" Id="rId82"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9" Target="http://science.sciencemag.org/content/341/6148/856.abstract" TargetMode="External" /><Relationship Type="http://schemas.openxmlformats.org/officeDocument/2006/relationships/hyperlink" Id="rId83" Target="http://www.biomedcentral.com/1471-2105/15/312" TargetMode="External" /><Relationship Type="http://schemas.openxmlformats.org/officeDocument/2006/relationships/hyperlink" Id="rId62" Target="http://www.ije.oxfordjournals.org/cgi/doi/10.1093/ije/dyg070" TargetMode="External" /><Relationship Type="http://schemas.openxmlformats.org/officeDocument/2006/relationships/hyperlink" Id="rId54"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5" Target="http://www.nature.com/doifinder/10.1038/ng.3538" TargetMode="External" /><Relationship Type="http://schemas.openxmlformats.org/officeDocument/2006/relationships/hyperlink" Id="rId50" Target="http://www.ncbi.nlm.nih.gov/pubmed/15075143" TargetMode="External" /><Relationship Type="http://schemas.openxmlformats.org/officeDocument/2006/relationships/hyperlink" Id="rId72" Target="http://www.ncbi.nlm.nih.gov/pubmed/15308962" TargetMode="External" /><Relationship Type="http://schemas.openxmlformats.org/officeDocument/2006/relationships/hyperlink" Id="rId60" Target="http://www.ncbi.nlm.nih.gov/pubmed/22526092" TargetMode="External" /><Relationship Type="http://schemas.openxmlformats.org/officeDocument/2006/relationships/hyperlink" Id="rId61" Target="http://www.ncbi.nlm.nih.gov/pubmed/23386673" TargetMode="External" /><Relationship Type="http://schemas.openxmlformats.org/officeDocument/2006/relationships/hyperlink" Id="rId68"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70"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2" Target="http://www.pubmedcentral.nih.gov/articlerender.fcgi?artid=2387136{\&amp;}tool=pmcentrez{\&amp;}rendertype=abstract" TargetMode="External" /><Relationship Type="http://schemas.openxmlformats.org/officeDocument/2006/relationships/hyperlink" Id="rId55" Target="http://www.pubmedcentral.nih.gov/articlerender.fcgi?artid=2765368{\&amp;}tool=pmcentrez{\&amp;}rendertype=abstract" TargetMode="External" /><Relationship Type="http://schemas.openxmlformats.org/officeDocument/2006/relationships/hyperlink" Id="rId51"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8" Target="http://www.pubmedcentral.nih.gov/articlerender.fcgi?artid=3532182{\&amp;}tool=pmcentrez{\&amp;}rendertype=abstract" TargetMode="External" /><Relationship Type="http://schemas.openxmlformats.org/officeDocument/2006/relationships/hyperlink" Id="rId57" Target="http://www.pubmedcentral.nih.gov/articlerender.fcgi?artid=3592906{\&amp;}tool=pmcentrez{\&amp;}rendertype=abstract" TargetMode="External" /><Relationship Type="http://schemas.openxmlformats.org/officeDocument/2006/relationships/hyperlink" Id="rId66" Target="http://www.pubmedcentral.nih.gov/articlerender.fcgi?artid=3598632{\&amp;}tool=pmcentrez{\&amp;}rendertype=abstract" TargetMode="External" /><Relationship Type="http://schemas.openxmlformats.org/officeDocument/2006/relationships/hyperlink" Id="rId56" Target="http://www.pubmedcentral.nih.gov/articlerender.fcgi?artid=3687782{\&amp;}tool=pmcentrez{\&amp;}rendertype=abstract" TargetMode="External" /><Relationship Type="http://schemas.openxmlformats.org/officeDocument/2006/relationships/hyperlink" Id="rId71" Target="http://www.pubmedcentral.nih.gov/articlerender.fcgi?artid=3783091{\&amp;}tool=pmcentrez{\&amp;}rendertype=abstract" TargetMode="External" /><Relationship Type="http://schemas.openxmlformats.org/officeDocument/2006/relationships/hyperlink" Id="rId74" Target="http://www.pubmedcentral.nih.gov/articlerender.fcgi?artid=3855153{\&amp;}tool=pmcentrez{\&amp;}rendertype=abstract" TargetMode="External" /><Relationship Type="http://schemas.openxmlformats.org/officeDocument/2006/relationships/hyperlink" Id="rId65" Target="http://www.pubmedcentral.nih.gov/articlerender.fcgi?artid=3916313{\&amp;}tool=pmcentrez{\&amp;}rendertype=abstract" TargetMode="External" /><Relationship Type="http://schemas.openxmlformats.org/officeDocument/2006/relationships/hyperlink" Id="rId67" Target="http://www.pubmedcentral.nih.gov/articlerender.fcgi?artid=4284644{\&amp;}tool=pmcentrez{\&amp;}rendertype=abstract" TargetMode="External" /><Relationship Type="http://schemas.openxmlformats.org/officeDocument/2006/relationships/hyperlink" Id="rId69"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3" Target="https://academic.oup.com/ije/article-lookup/doi/10.1093/ije/dys141" TargetMode="External" /><Relationship Type="http://schemas.openxmlformats.org/officeDocument/2006/relationships/hyperlink" Id="rId77" Target="https://academic.oup.com/ije/article-lookup/doi/10.1093/ije/dyw314" TargetMode="External" /><Relationship Type="http://schemas.openxmlformats.org/officeDocument/2006/relationships/hyperlink" Id="rId76"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8" Target="https://www.jstatsoft.org/index.php/jss/article/view/v023i04/v23i04.pdf" TargetMode="External" /><Relationship Type="http://schemas.openxmlformats.org/officeDocument/2006/relationships/hyperlink" Id="rId81"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1512.05574" TargetMode="External" /><Relationship Type="http://schemas.openxmlformats.org/officeDocument/2006/relationships/hyperlink" Id="rId80" Target="http://bmcgenomics.biomedcentral.com/articles/10.1186/s12864-016-2498-4" TargetMode="External" /><Relationship Type="http://schemas.openxmlformats.org/officeDocument/2006/relationships/hyperlink" Id="rId64" Target="http://cran.r-project.org/package=cit" TargetMode="External" /><Relationship Type="http://schemas.openxmlformats.org/officeDocument/2006/relationships/hyperlink" Id="rId79" Target="http://cran.r-project.org/package=psych" TargetMode="External" /><Relationship Type="http://schemas.openxmlformats.org/officeDocument/2006/relationships/hyperlink" Id="rId53" Target="http://dx.doi.org/10.1016/j.cell.2015.08.001" TargetMode="External" /><Relationship Type="http://schemas.openxmlformats.org/officeDocument/2006/relationships/hyperlink" Id="rId63" Target="http://dx.doi.org/10.1038/ng1589 http://www.nature.com/ng/journal/v37/n7/full/ng1589.html http://www.nature.com/ng/journal/v37/n7/pdf/ng1589.pdf" TargetMode="External" /><Relationship Type="http://schemas.openxmlformats.org/officeDocument/2006/relationships/hyperlink" Id="rId86" Target="http://dx.plos.org/10.1371/journal.pmed.1001618" TargetMode="External" /><Relationship Type="http://schemas.openxmlformats.org/officeDocument/2006/relationships/hyperlink" Id="rId84" Target="http://dx.plos.org/10.1371/journal.pone.0019556" TargetMode="External" /><Relationship Type="http://schemas.openxmlformats.org/officeDocument/2006/relationships/hyperlink" Id="rId82"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9" Target="http://science.sciencemag.org/content/341/6148/856.abstract" TargetMode="External" /><Relationship Type="http://schemas.openxmlformats.org/officeDocument/2006/relationships/hyperlink" Id="rId83" Target="http://www.biomedcentral.com/1471-2105/15/312" TargetMode="External" /><Relationship Type="http://schemas.openxmlformats.org/officeDocument/2006/relationships/hyperlink" Id="rId62" Target="http://www.ije.oxfordjournals.org/cgi/doi/10.1093/ije/dyg070" TargetMode="External" /><Relationship Type="http://schemas.openxmlformats.org/officeDocument/2006/relationships/hyperlink" Id="rId54"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5" Target="http://www.nature.com/doifinder/10.1038/ng.3538" TargetMode="External" /><Relationship Type="http://schemas.openxmlformats.org/officeDocument/2006/relationships/hyperlink" Id="rId50" Target="http://www.ncbi.nlm.nih.gov/pubmed/15075143" TargetMode="External" /><Relationship Type="http://schemas.openxmlformats.org/officeDocument/2006/relationships/hyperlink" Id="rId72" Target="http://www.ncbi.nlm.nih.gov/pubmed/15308962" TargetMode="External" /><Relationship Type="http://schemas.openxmlformats.org/officeDocument/2006/relationships/hyperlink" Id="rId60" Target="http://www.ncbi.nlm.nih.gov/pubmed/22526092" TargetMode="External" /><Relationship Type="http://schemas.openxmlformats.org/officeDocument/2006/relationships/hyperlink" Id="rId61" Target="http://www.ncbi.nlm.nih.gov/pubmed/23386673" TargetMode="External" /><Relationship Type="http://schemas.openxmlformats.org/officeDocument/2006/relationships/hyperlink" Id="rId68"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70"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2" Target="http://www.pubmedcentral.nih.gov/articlerender.fcgi?artid=2387136{\&amp;}tool=pmcentrez{\&amp;}rendertype=abstract" TargetMode="External" /><Relationship Type="http://schemas.openxmlformats.org/officeDocument/2006/relationships/hyperlink" Id="rId55" Target="http://www.pubmedcentral.nih.gov/articlerender.fcgi?artid=2765368{\&amp;}tool=pmcentrez{\&amp;}rendertype=abstract" TargetMode="External" /><Relationship Type="http://schemas.openxmlformats.org/officeDocument/2006/relationships/hyperlink" Id="rId51"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8" Target="http://www.pubmedcentral.nih.gov/articlerender.fcgi?artid=3532182{\&amp;}tool=pmcentrez{\&amp;}rendertype=abstract" TargetMode="External" /><Relationship Type="http://schemas.openxmlformats.org/officeDocument/2006/relationships/hyperlink" Id="rId57" Target="http://www.pubmedcentral.nih.gov/articlerender.fcgi?artid=3592906{\&amp;}tool=pmcentrez{\&amp;}rendertype=abstract" TargetMode="External" /><Relationship Type="http://schemas.openxmlformats.org/officeDocument/2006/relationships/hyperlink" Id="rId66" Target="http://www.pubmedcentral.nih.gov/articlerender.fcgi?artid=3598632{\&amp;}tool=pmcentrez{\&amp;}rendertype=abstract" TargetMode="External" /><Relationship Type="http://schemas.openxmlformats.org/officeDocument/2006/relationships/hyperlink" Id="rId56" Target="http://www.pubmedcentral.nih.gov/articlerender.fcgi?artid=3687782{\&amp;}tool=pmcentrez{\&amp;}rendertype=abstract" TargetMode="External" /><Relationship Type="http://schemas.openxmlformats.org/officeDocument/2006/relationships/hyperlink" Id="rId71" Target="http://www.pubmedcentral.nih.gov/articlerender.fcgi?artid=3783091{\&amp;}tool=pmcentrez{\&amp;}rendertype=abstract" TargetMode="External" /><Relationship Type="http://schemas.openxmlformats.org/officeDocument/2006/relationships/hyperlink" Id="rId74" Target="http://www.pubmedcentral.nih.gov/articlerender.fcgi?artid=3855153{\&amp;}tool=pmcentrez{\&amp;}rendertype=abstract" TargetMode="External" /><Relationship Type="http://schemas.openxmlformats.org/officeDocument/2006/relationships/hyperlink" Id="rId65" Target="http://www.pubmedcentral.nih.gov/articlerender.fcgi?artid=3916313{\&amp;}tool=pmcentrez{\&amp;}rendertype=abstract" TargetMode="External" /><Relationship Type="http://schemas.openxmlformats.org/officeDocument/2006/relationships/hyperlink" Id="rId67" Target="http://www.pubmedcentral.nih.gov/articlerender.fcgi?artid=4284644{\&amp;}tool=pmcentrez{\&amp;}rendertype=abstract" TargetMode="External" /><Relationship Type="http://schemas.openxmlformats.org/officeDocument/2006/relationships/hyperlink" Id="rId69"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3" Target="https://academic.oup.com/ije/article-lookup/doi/10.1093/ije/dys141" TargetMode="External" /><Relationship Type="http://schemas.openxmlformats.org/officeDocument/2006/relationships/hyperlink" Id="rId77" Target="https://academic.oup.com/ije/article-lookup/doi/10.1093/ije/dyw314" TargetMode="External" /><Relationship Type="http://schemas.openxmlformats.org/officeDocument/2006/relationships/hyperlink" Id="rId76"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8" Target="https://www.jstatsoft.org/index.php/jss/article/view/v023i04/v23i04.pdf" TargetMode="External" /><Relationship Type="http://schemas.openxmlformats.org/officeDocument/2006/relationships/hyperlink" Id="rId81"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2017-03-15T15:31:04Z</dcterms:created>
  <dcterms:modified xsi:type="dcterms:W3CDTF">2017-03-15T15:31:04Z</dcterms:modified>
</cp:coreProperties>
</file>