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1.png" ContentType="image/png"/>
  <Override PartName="/word/media/rId44.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genetic</w:t>
      </w:r>
      <w:r>
        <w:t xml:space="preserve"> </w:t>
      </w:r>
      <w:r>
        <w:t xml:space="preserve">instruments</w:t>
      </w:r>
    </w:p>
    <w:p>
      <w:pPr>
        <w:pStyle w:val="Date"/>
      </w:pPr>
      <w:r>
        <w:t xml:space="preserve">11</w:t>
      </w:r>
      <w:r>
        <w:t xml:space="preserve"> </w:t>
      </w:r>
      <w:r>
        <w:t xml:space="preserve">March</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w:t>
      </w:r>
    </w:p>
    <w:p>
      <w:pPr>
        <w:pStyle w:val="Heading2"/>
      </w:pPr>
      <w:bookmarkStart w:id="23" w:name="introduction"/>
      <w:bookmarkEnd w:id="23"/>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potential pitfalls remain and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(27)</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(28)</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(29)</w:t>
      </w:r>
      <w:r>
        <w:t xml:space="preserve">, and the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(30)</w:t>
      </w:r>
      <w:r>
        <w:t xml:space="preserve">. Indeed instrumental variable (IV) analysis was in part initially introduced as a correction for measurement error in the exposure</w:t>
      </w:r>
      <w:r>
        <w:t xml:space="preserve"> </w:t>
      </w:r>
      <w:r>
        <w:t xml:space="preserve">(31)</w:t>
      </w:r>
      <w:r>
        <w:t xml:space="preserve">, whereas it has been noted that both classic mediation-based analyses</w:t>
      </w:r>
      <w:r>
        <w:t xml:space="preserve"> </w:t>
      </w:r>
      <w:r>
        <w:t xml:space="preserve">(13,14,32,33)</w:t>
      </w:r>
      <w:r>
        <w:t xml:space="preserve"> </w:t>
      </w:r>
      <w:r>
        <w:t xml:space="preserve">and mediation-based methods that use instrumental variables</w:t>
      </w:r>
      <w:r>
        <w:t xml:space="preserve"> </w:t>
      </w:r>
      <w:r>
        <w:t xml:space="preserve">(34,35)</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We then present an extension to MR that allows researchers to ascertain the causal direction of an association even when the biology of the instruments are not fully understood, and also a metric to evaluate the sensitivity of the result of this extension to measurement error. Together these extensions improve the utility of MR in cases where mediation based methods might have otherwise been used preferentially. Finally,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(36)</w:t>
      </w:r>
      <w:r>
        <w:t xml:space="preserve">.</w:t>
      </w:r>
    </w:p>
    <w:p>
      <w:pPr>
        <w:pStyle w:val="Heading2"/>
      </w:pPr>
      <w:bookmarkStart w:id="24" w:name="model"/>
      <w:bookmarkEnd w:id="24"/>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(30)</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The same model of measurement error can be applied to the outcome variable</w:t>
      </w:r>
      <w:r>
        <w:t xml:space="preserve"> </w:t>
      </w:r>
      <m:oMath>
        <m:r>
          <m:t>y</m:t>
        </m:r>
      </m:oMath>
      <w:r>
        <w:t xml:space="preserve">. In this study we assume there is no measurement error in the SNP, and that measurement error in the exposure and the outcome are uncorrelated.</w:t>
      </w:r>
    </w:p>
    <w:p>
      <w:pPr>
        <w:pStyle w:val="Heading2"/>
      </w:pPr>
      <w:bookmarkStart w:id="25" w:name="methods"/>
      <w:bookmarkEnd w:id="25"/>
      <w:r>
        <w:t xml:space="preserve">Methods</w:t>
      </w:r>
    </w:p>
    <w:p>
      <w:pPr>
        <w:pStyle w:val="Heading3"/>
      </w:pPr>
      <w:bookmarkStart w:id="26" w:name="cit-test"/>
      <w:bookmarkEnd w:id="26"/>
      <w:r>
        <w:t xml:space="preserve">CIT test</w:t>
      </w:r>
    </w:p>
    <w:p>
      <w:pPr>
        <w:pStyle w:val="FirstParagraph"/>
      </w:pPr>
      <w:r>
        <w:t xml:space="preserve">First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The methodology of the CIT is as follows.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x</m:t>
        </m:r>
        <m:r>
          <m:t>)</m:t>
        </m:r>
        <m:r>
          <m:t>=</m:t>
        </m:r>
        <m:r>
          <m:t>0</m:t>
        </m:r>
        <m:r>
          <m:t>;</m:t>
        </m:r>
        <m:sSub>
          <m:e>
            <m:r>
              <m:t>H</m:t>
            </m:r>
          </m:e>
          <m:sub>
            <m:r>
              <m:t>1</m:t>
            </m:r>
          </m:sub>
        </m:sSub>
        <m:r>
          <m:t>:</m:t>
        </m:r>
        <m:r>
          <m:t>c</m:t>
        </m:r>
        <m:r>
          <m:t>o</m:t>
        </m:r>
        <m:r>
          <m:t>v</m:t>
        </m:r>
        <m:r>
          <m:t>(</m:t>
        </m:r>
        <m:r>
          <m:t>g</m:t>
        </m:r>
        <m:r>
          <m:t>,</m:t>
        </m:r>
        <m:r>
          <m:t>x</m:t>
        </m:r>
        <m:r>
          <m:t>)</m:t>
        </m:r>
        <m:r>
          <m:t>≠</m:t>
        </m:r>
        <m:r>
          <m:t>0</m:t>
        </m:r>
      </m:oMath>
      <w:r>
        <w:t xml:space="preserve">;</w:t>
      </w:r>
      <w:r>
        <w:t xml:space="preserve"> </w:t>
      </w:r>
      <w:r>
        <w:rPr>
          <w:i/>
        </w:rPr>
        <w:t xml:space="preserve">the SNP associates with the exposure</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x</m:t>
        </m:r>
        <m:r>
          <m:t>,</m:t>
        </m:r>
        <m:r>
          <m:t>y</m:t>
        </m:r>
        <m:r>
          <m:t>)</m:t>
        </m:r>
        <m:r>
          <m:t>=</m:t>
        </m:r>
        <m:r>
          <m:t>0</m:t>
        </m:r>
        <m:r>
          <m:t>;</m:t>
        </m:r>
        <m:sSub>
          <m:e>
            <m:r>
              <m:t>H</m:t>
            </m:r>
          </m:e>
          <m:sub>
            <m:r>
              <m:t>1</m:t>
            </m:r>
          </m:sub>
        </m:sSub>
        <m:r>
          <m:t>:</m:t>
        </m:r>
        <m:r>
          <m:t>c</m:t>
        </m:r>
        <m:r>
          <m:t>o</m:t>
        </m:r>
        <m:r>
          <m:t>v</m:t>
        </m:r>
        <m:r>
          <m:t>(</m:t>
        </m:r>
        <m:r>
          <m:t>x</m:t>
        </m:r>
        <m:r>
          <m:t>,</m:t>
        </m:r>
        <m:r>
          <m:t>y</m:t>
        </m:r>
        <m:r>
          <m:t>)</m:t>
        </m:r>
        <m:r>
          <m:t>≠</m:t>
        </m:r>
        <m:r>
          <m:t>0</m:t>
        </m:r>
      </m:oMath>
      <w:r>
        <w:t xml:space="preserve">;</w:t>
      </w:r>
      <w:r>
        <w:t xml:space="preserve"> </w:t>
      </w:r>
      <w:r>
        <w:rPr>
          <w:i/>
        </w:rPr>
        <w:t xml:space="preserve">the exposure associates with the outcome</w:t>
      </w:r>
    </w:p>
    <w:p>
      <w:pPr>
        <w:pStyle w:val="Compact"/>
        <w:numPr>
          <w:numId w:val="1001"/>
          <w:ilvl w:val="0"/>
        </w:numPr>
      </w:pPr>
      <m:oMath>
        <m:sSub>
          <m:e>
            <m:r>
              <m:t>H</m:t>
            </m:r>
          </m:e>
          <m:sub>
            <m:r>
              <m:t>0</m:t>
            </m:r>
          </m:sub>
        </m:sSub>
        <m:r>
          <m:t>:</m:t>
        </m:r>
        <m:r>
          <m:t>c</m:t>
        </m:r>
        <m:r>
          <m:t>o</m:t>
        </m:r>
        <m:r>
          <m:t>v</m:t>
        </m:r>
        <m:r>
          <m:t>(</m:t>
        </m:r>
        <m:r>
          <m:t>g</m:t>
        </m:r>
        <m:r>
          <m:t>,</m:t>
        </m:r>
        <m:r>
          <m:t>y</m:t>
        </m:r>
        <m:r>
          <m:t>−</m:t>
        </m:r>
        <m:groupChr>
          <m:groupChrPr>
            <m:chr m:val="^"/>
            <m:pos m:val="top"/>
            <m:vertJc m:val="bot"/>
          </m:groupChrPr>
          <m:e>
            <m:r>
              <m:t>y</m:t>
            </m:r>
          </m:e>
        </m:groupChr>
        <m:r>
          <m:t>)</m:t>
        </m:r>
        <m:r>
          <m:t>≠</m:t>
        </m:r>
        <m:r>
          <m:t>0</m:t>
        </m:r>
        <m:r>
          <m:t>;</m:t>
        </m:r>
        <m:sSub>
          <m:e>
            <m:r>
              <m:t>H</m:t>
            </m:r>
          </m:e>
          <m:sub>
            <m:r>
              <m:t>1</m:t>
            </m:r>
          </m:sub>
        </m:sSub>
        <m:r>
          <m:t>:</m:t>
        </m:r>
        <m:r>
          <m:t>c</m:t>
        </m:r>
        <m:r>
          <m:t>o</m:t>
        </m:r>
        <m:r>
          <m:t>v</m:t>
        </m:r>
        <m:r>
          <m:t>(</m:t>
        </m:r>
        <m:r>
          <m:t>g</m:t>
        </m:r>
        <m:r>
          <m:t>,</m:t>
        </m:r>
        <m:r>
          <m:t>y</m:t>
        </m:r>
        <m:r>
          <m:t>−</m:t>
        </m:r>
        <m:groupChr>
          <m:groupChrPr>
            <m:chr m:val="^"/>
            <m:pos m:val="top"/>
            <m:vertJc m:val="bot"/>
          </m:groupChrPr>
          <m:e>
            <m:r>
              <m:t>y</m:t>
            </m:r>
          </m:e>
        </m:groupChr>
        <m:r>
          <m:t>)</m:t>
        </m:r>
        <m:r>
          <m:t>=</m:t>
        </m:r>
        <m:r>
          <m:t>0</m:t>
        </m:r>
      </m:oMath>
      <w:r>
        <w:t xml:space="preserve">;</w:t>
      </w:r>
      <w:r>
        <w:t xml:space="preserve"> </w:t>
      </w:r>
      <w:r>
        <w:rPr>
          <w:i/>
        </w:rPr>
        <w:t xml:space="preserve">the SNP is independent of the outcome when the outcome is adjusted for the exposure</w:t>
      </w:r>
    </w:p>
    <w:p>
      <w:pPr>
        <w:pStyle w:val="FirstParagraph"/>
      </w:pP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where</w:t>
      </w:r>
      <w:r>
        <w:t xml:space="preserve"> </w:t>
      </w:r>
      <m:oMath>
        <m:r>
          <m:t>x</m:t>
        </m:r>
      </m:oMath>
      <w:r>
        <w:t xml:space="preserve"> </w:t>
      </w:r>
      <w:r>
        <w:t xml:space="preserve">is assumed to mediate the association between the SNP and the outcome. The 4th condition is formulated as an equivalence testing problem that is estimated using simulations, comparing the estimate against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 confounding model is accepted (</w:t>
      </w:r>
      <m:oMath>
        <m:r>
          <m:t>x</m:t>
        </m:r>
        <m:r>
          <m:t>←</m:t>
        </m:r>
        <m:r>
          <m:t>g</m:t>
        </m:r>
        <m:r>
          <m:t>→</m:t>
        </m:r>
        <m:r>
          <m:t>y</m:t>
        </m:r>
      </m:oMath>
      <w:r>
        <w:t xml:space="preserv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(37)</w:t>
      </w:r>
      <w:r>
        <w:t xml:space="preserve">.</w:t>
      </w:r>
    </w:p>
    <w:p>
      <w:pPr>
        <w:pStyle w:val="Heading3"/>
      </w:pPr>
      <w:bookmarkStart w:id="27" w:name="mr-causal-test"/>
      <w:bookmarkEnd w:id="27"/>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(38)</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(Appendix 2),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(39)</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w:t>
      </w:r>
      <w:r>
        <w:t xml:space="preserve"> </w:t>
      </w:r>
      <w:r>
        <w:t xml:space="preserve">(28)</w:t>
      </w:r>
      <w:r>
        <w:t xml:space="preserve"> </w:t>
      </w:r>
      <w:r>
        <w:t xml:space="preserve">setting. Two-sample MR refers to the case where the SNP-exposure association and SNP-outcome association are calculated in different samples (e.g. from publicly available summary statistics).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(40)</w:t>
      </w:r>
      <w:r>
        <w:t xml:space="preserve">.</w:t>
      </w:r>
    </w:p>
    <w:p>
      <w:pPr>
        <w:pStyle w:val="Heading3"/>
      </w:pPr>
      <w:bookmarkStart w:id="28" w:name="causal-direction-sensitivity-analysis"/>
      <w:bookmarkEnd w:id="28"/>
      <w:r>
        <w:t xml:space="preserve">Causal direction sensitivity analysis</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Appendix 2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We find the ratio of the volume that agrees with the inferred direction of causality over the volume that disagrees with the inferred direction of causality. A ratio</w:t>
      </w:r>
      <w:r>
        <w:t xml:space="preserve"> </w:t>
      </w:r>
      <m:oMath>
        <m:r>
          <m:t>R</m:t>
        </m:r>
        <m:r>
          <m:t>=</m:t>
        </m:r>
        <m:r>
          <m:t>1</m:t>
        </m:r>
      </m:oMath>
      <w:r>
        <w:t xml:space="preserve"> </w:t>
      </w:r>
      <w:r>
        <w:t xml:space="preserve">indicates that the inferred causal direction is highly sensitive to measurement error, with equal weight of the measurement error parameter space supporting both directions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Full details are provided in Appendix 2.</w:t>
      </w:r>
    </w:p>
    <w:p>
      <w:pPr>
        <w:pStyle w:val="Heading3"/>
      </w:pPr>
      <w:bookmarkStart w:id="29" w:name="simulations"/>
      <w:bookmarkEnd w:id="29"/>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are parameters that represent non-differential measurement error into the exposure variable</w:t>
      </w:r>
      <w:r>
        <w:t xml:space="preserve"> </w:t>
      </w:r>
      <m:oMath>
        <m:r>
          <m:t>x</m:t>
        </m:r>
      </m:oMath>
      <w:r>
        <w:t xml:space="preserve">, and</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are parameters for non-differential measurement error in the outcome</w:t>
      </w:r>
      <w:r>
        <w:t xml:space="preserve"> </w:t>
      </w:r>
      <m:oMath>
        <m:r>
          <m:t>y</m:t>
        </m:r>
      </m:oMath>
      <w:r>
        <w:t xml:space="preserve">. Similarly in the non-causal model:</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u</m:t>
                </m:r>
              </m:e>
              <m:e>
                <m:r>
                  <m:t>=</m:t>
                </m:r>
                <m:sSub>
                  <m:e>
                    <m:r>
                      <m:t>α</m:t>
                    </m:r>
                  </m:e>
                  <m:sub>
                    <m:r>
                      <m:t>g</m:t>
                    </m:r>
                  </m:sub>
                </m:sSub>
                <m:r>
                  <m:t>+</m:t>
                </m:r>
                <m:sSub>
                  <m:e>
                    <m:r>
                      <m:t>β</m:t>
                    </m:r>
                  </m:e>
                  <m:sub>
                    <m:r>
                      <m:t>g</m:t>
                    </m:r>
                  </m:sub>
                </m:sSub>
                <m:r>
                  <m:t>g</m:t>
                </m:r>
                <m:r>
                  <m:t>+</m:t>
                </m:r>
                <m:sSub>
                  <m:e>
                    <m:r>
                      <m:t>ϵ</m:t>
                    </m:r>
                  </m:e>
                  <m:sub>
                    <m:r>
                      <m:t>g</m:t>
                    </m:r>
                  </m:sub>
                </m:sSub>
              </m:e>
            </m:mr>
            <m:mr>
              <m:e>
                <m:r>
                  <m:t>x</m:t>
                </m:r>
              </m:e>
              <m:e>
                <m:r>
                  <m:t>=</m:t>
                </m:r>
                <m:sSub>
                  <m:e>
                    <m:r>
                      <m:t>α</m:t>
                    </m:r>
                  </m:e>
                  <m:sub>
                    <m:r>
                      <m:t>u</m:t>
                    </m:r>
                  </m:sub>
                </m:sSub>
                <m:r>
                  <m:t>+</m:t>
                </m:r>
                <m:sSub>
                  <m:e>
                    <m:r>
                      <m:t>β</m:t>
                    </m:r>
                  </m:e>
                  <m:sub>
                    <m:r>
                      <m:t>u</m:t>
                    </m:r>
                  </m:sub>
                </m:sSub>
                <m:r>
                  <m:t>u</m:t>
                </m:r>
                <m:r>
                  <m:t>+</m:t>
                </m:r>
                <m:sSub>
                  <m:e>
                    <m:r>
                      <m:t>ϵ</m:t>
                    </m:r>
                  </m:e>
                  <m:sub>
                    <m:sSub>
                      <m:e>
                        <m:r>
                          <m:t>u</m:t>
                        </m:r>
                      </m:e>
                      <m:sub>
                        <m:r>
                          <m:t>x</m:t>
                        </m:r>
                      </m:sub>
                    </m:sSub>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u</m:t>
                    </m:r>
                  </m:sub>
                </m:sSub>
                <m:r>
                  <m:t>+</m:t>
                </m:r>
                <m:sSub>
                  <m:e>
                    <m:r>
                      <m:t>β</m:t>
                    </m:r>
                  </m:e>
                  <m:sub>
                    <m:r>
                      <m:t>u</m:t>
                    </m:r>
                  </m:sub>
                </m:sSub>
                <m:r>
                  <m:t>u</m:t>
                </m:r>
                <m:r>
                  <m:t>+</m:t>
                </m:r>
                <m:sSub>
                  <m:e>
                    <m:r>
                      <m:t>ϵ</m:t>
                    </m:r>
                  </m:e>
                  <m:sub>
                    <m:sSub>
                      <m:e>
                        <m:r>
                          <m:t>u</m:t>
                        </m:r>
                      </m:e>
                      <m:sub>
                        <m:r>
                          <m:t>y</m:t>
                        </m:r>
                      </m:sub>
                    </m:sSub>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g</m:t>
                </m:r>
                <m:r>
                  <m:t>,</m:t>
                </m:r>
                <m:r>
                  <m:t>u</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 </w:t>
      </w:r>
      <w:r>
        <w:t xml:space="preserve">and</w:t>
      </w:r>
      <w:r>
        <w:t xml:space="preserve"> </w:t>
      </w:r>
      <m:oMath>
        <m:r>
          <m:t>c</m:t>
        </m:r>
        <m:r>
          <m:t>o</m:t>
        </m:r>
        <m:r>
          <m:t>r</m:t>
        </m:r>
        <m:r>
          <m:t>(</m:t>
        </m:r>
        <m:r>
          <m:t>g</m:t>
        </m:r>
        <m:r>
          <m:t>,</m:t>
        </m:r>
        <m:r>
          <m:t>u</m:t>
        </m:r>
        <m:r>
          <m:t>)</m:t>
        </m:r>
      </m:oMath>
      <w:r>
        <w:t xml:space="preserve">.</w:t>
      </w:r>
    </w:p>
    <w:p>
      <w:pPr>
        <w:pStyle w:val="Heading2"/>
      </w:pPr>
      <w:bookmarkStart w:id="30" w:name="applied-example-using-two-sample-mr"/>
      <w:bookmarkEnd w:id="30"/>
      <w:r>
        <w:t xml:space="preserve">Applied example using two sample MR</w:t>
      </w:r>
    </w:p>
    <w:p>
      <w:pPr>
        <w:pStyle w:val="FirstParagraph"/>
      </w:pPr>
      <w:r>
        <w:t xml:space="preserve">Two sample MR</w:t>
      </w:r>
      <w:r>
        <w:t xml:space="preserve"> </w:t>
      </w:r>
      <w:r>
        <w:t xml:space="preserve">(28)</w:t>
      </w:r>
      <w:r>
        <w:t xml:space="preserve"> </w:t>
      </w:r>
      <w:r>
        <w:t xml:space="preserve">was performed using the summary statistics for genetic influences on gene expression and DNA methylation. To do this we obtained a list of 458 gene expression - DNA methylation associations as reported in Shakhbazov et al</w:t>
      </w:r>
      <w:r>
        <w:t xml:space="preserve"> </w:t>
      </w:r>
      <w:r>
        <w:t xml:space="preserve">(41)</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(42)</w:t>
      </w:r>
      <w:r>
        <w:t xml:space="preserve"> </w:t>
      </w:r>
      <w:r>
        <w:t xml:space="preserve">and code is made available at</w:t>
      </w:r>
      <w:r>
        <w:t xml:space="preserve"> </w:t>
      </w:r>
      <w:hyperlink r:id="rId31">
        <w:r>
          <w:rPr>
            <w:rStyle w:val="Hyperlink"/>
          </w:rPr>
          <w:t xml:space="preserve">https://github.com/explodecomputer/causal-directions</w:t>
        </w:r>
      </w:hyperlink>
      <w:r>
        <w:t xml:space="preserve"> </w:t>
      </w:r>
      <w:r>
        <w:t xml:space="preserve">and implemented in the MR-Base (</w:t>
      </w:r>
      <w:hyperlink r:id="rId32">
        <w:r>
          <w:rPr>
            <w:rStyle w:val="Hyperlink"/>
          </w:rPr>
          <w:t xml:space="preserve">http://wwww.mrbase.org</w:t>
        </w:r>
      </w:hyperlink>
      <w:r>
        <w:t xml:space="preserve">) platform</w:t>
      </w:r>
      <w:r>
        <w:t xml:space="preserve"> </w:t>
      </w:r>
      <w:r>
        <w:t xml:space="preserve">(26)</w:t>
      </w:r>
      <w:r>
        <w:t xml:space="preserve">.</w:t>
      </w:r>
    </w:p>
    <w:p>
      <w:pPr>
        <w:pStyle w:val="Heading2"/>
      </w:pPr>
      <w:bookmarkStart w:id="33" w:name="results"/>
      <w:bookmarkEnd w:id="33"/>
      <w:r>
        <w:t xml:space="preserve">Results</w:t>
      </w:r>
    </w:p>
    <w:p>
      <w:pPr>
        <w:pStyle w:val="Heading3"/>
      </w:pPr>
      <w:bookmarkStart w:id="34" w:name="mediation-based-causal-inference-under-measurement-error"/>
      <w:bookmarkEnd w:id="34"/>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(Appendix 1)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BodyText"/>
      </w:pPr>
      <w:r>
        <w:t xml:space="preserve">We also performed simulations to compare the performance of MR against CIT in detecting a causal association between simulated variables under different levels of imprecision simulated in the exposure. Figure 3 shows the true positive rates between the CIT and MR for detecting a causal association. We observe that the CIT has lower power in all cases, with performance declining as measurement imprecision increases in the exposure. When MR assumptions are satisfied, notably that it is known on which of</w:t>
      </w:r>
      <w:r>
        <w:t xml:space="preserve"> </w:t>
      </w:r>
      <m:oMath>
        <m:r>
          <m:t>x</m:t>
        </m:r>
      </m:oMath>
      <w:r>
        <w:t xml:space="preserve"> </w:t>
      </w:r>
      <w:r>
        <w:t xml:space="preserve">and</w:t>
      </w:r>
      <w:r>
        <w:t xml:space="preserve"> </w:t>
      </w:r>
      <m:oMath>
        <m:r>
          <m:t>y</m:t>
        </m:r>
      </m:oMath>
      <w:r>
        <w:t xml:space="preserve"> </w:t>
      </w:r>
      <w:r>
        <w:t xml:space="preserve">the SNP</w:t>
      </w:r>
      <w:r>
        <w:t xml:space="preserve"> </w:t>
      </w:r>
      <m:oMath>
        <m:r>
          <m:t>g</m:t>
        </m:r>
      </m:oMath>
      <w:r>
        <w:t xml:space="preserve"> </w:t>
      </w:r>
      <w:r>
        <w:t xml:space="preserve">has a primary influence, the performance of MR in detecting an association is unrelated to measurement error in the exposure. Measurement error in the outcome does reduce power, but does not induce a substantive difference in performance between CIT and MR.</w:t>
      </w:r>
    </w:p>
    <w:p>
      <w:pPr>
        <w:pStyle w:val="Heading3"/>
      </w:pPr>
      <w:bookmarkStart w:id="35" w:name="using-mr-steiger-to-infer-the-direction-of-causality"/>
      <w:bookmarkEnd w:id="35"/>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Here we introduce the MR Steiger approach to similarly orient the direction of causality but in an MR analysis when the underlying biology of the SNP is not fully understood.</w:t>
      </w:r>
    </w:p>
    <w:p>
      <w:pPr>
        <w:pStyle w:val="BodyText"/>
      </w:pPr>
      <w:r>
        <w:t xml:space="preserve">For a particular association, it is of interest to identify the range of possible measurement error values agree and disagree with the empirically inferred causal direction (Figure 4a, Appendix 2). This metric can be used to evaluate the reliability of MR Steiger.</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(Appendix 2) determines the range of parameters around which the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Steiger test is likely to be correct about the causal direction). Figure 4b shows that when there is no measurement error in</w:t>
      </w:r>
      <w:r>
        <w:t xml:space="preserve"> </w:t>
      </w:r>
      <m:oMath>
        <m:r>
          <m:t>x</m:t>
        </m:r>
      </m:oMath>
      <w:r>
        <w:t xml:space="preserve">, the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Steiger test to measurement error is relatively low.</w:t>
      </w:r>
    </w:p>
    <w:p>
      <w:pPr>
        <w:pStyle w:val="Heading3"/>
      </w:pPr>
      <w:bookmarkStart w:id="36" w:name="comparison-of-cit-and-mr-steiger-for-obtaining-the-correct-direction-of-causality"/>
      <w:bookmarkEnd w:id="36"/>
      <w:r>
        <w:t xml:space="preserve">Comparison of CIT and MR Steiger for obtaining the correct direction of causality</w:t>
      </w:r>
    </w:p>
    <w:p>
      <w:pPr>
        <w:pStyle w:val="FirstParagraph"/>
      </w:pPr>
      <w:r>
        <w:t xml:space="preserve">We used simulations to explore the performance of the MR Steiger approach in comparison to CIT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 a confounder variable</w:t>
      </w:r>
      <w:r>
        <w:t xml:space="preserve"> </w:t>
      </w:r>
      <m:oMath>
        <m:r>
          <m:t>u</m:t>
        </m:r>
      </m:oMath>
      <w:r>
        <w:t xml:space="preserve">.</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fallable to reporting a robust causal association for the wrong direction of causality. When</w:t>
      </w:r>
      <w:r>
        <w:t xml:space="preserve"> </w:t>
      </w:r>
      <m:oMath>
        <m:r>
          <m:t>d</m:t>
        </m:r>
        <m:r>
          <m:t>&gt;</m:t>
        </m:r>
        <m:r>
          <m:t>0</m:t>
        </m:r>
      </m:oMath>
      <w:r>
        <w:t xml:space="preserve"> </w:t>
      </w:r>
      <w:r>
        <w:t xml:space="preserve">we find that in most cases the MR method has greater power to obtain evidence for causality than CIT, and always obtains the correct direction of causality. The CIT, unlike the Steiger test for MR,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7" w:name="the-causal-relationship-between-gene-expression-and-dna-methylation-levels"/>
      <w:bookmarkEnd w:id="37"/>
      <w:r>
        <w:t xml:space="preserve">The causal relationship between gene expression and DNA methylation levels</w:t>
      </w:r>
    </w:p>
    <w:p>
      <w:pPr>
        <w:pStyle w:val="FirstParagraph"/>
      </w:pPr>
      <w:r>
        <w:t xml:space="preserve">We used the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w:t>
      </w:r>
    </w:p>
    <w:p>
      <w:pPr>
        <w:pStyle w:val="BodyText"/>
      </w:pPr>
      <w:r>
        <w:t xml:space="preserve">We performed two sample MR</w:t>
      </w:r>
      <w:r>
        <w:t xml:space="preserve"> </w:t>
      </w:r>
      <w:r>
        <w:t xml:space="preserve">(28)</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(41)</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(43)</w:t>
      </w:r>
      <w:r>
        <w:t xml:space="preserve">.</w:t>
      </w:r>
    </w:p>
    <w:p>
      <w:pPr>
        <w:pStyle w:val="Heading2"/>
      </w:pPr>
      <w:bookmarkStart w:id="38" w:name="discussion"/>
      <w:bookmarkEnd w:id="38"/>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(44)</w:t>
      </w:r>
      <w:r>
        <w:t xml:space="preserve">. Our analysis extends this to related methods such as CIT that are widely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(45,46)</w:t>
      </w:r>
      <w:r>
        <w:t xml:space="preserve">, though making strong conclusions for this analysis is difficult because measurement error is likely to be study specific.</w:t>
      </w:r>
    </w:p>
    <w:p>
      <w:pPr>
        <w:pStyle w:val="BodyText"/>
      </w:pPr>
      <w:r>
        <w:t xml:space="preserve">In our simulations we focused on the simple case of a single instrument in a single sample setting with a view to making a fair comparison between MR and the various mediation-based methods available. We note that it is straightforward to extend the MR Steiger approach to multiple instruments, requiring only that the total variance explained by all instruments be calculated under the assumption that they are independent. Multiple instruments can indeed help to circumvent some of the problems described here in other ways also,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(16,47,48)</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(49)</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In this work we assumed that pleiotropy (the influence of the instrument on the outcome through a mechanism other than the exposure) was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(50,51)</w:t>
      </w:r>
      <w:r>
        <w:t xml:space="preserve">.</w:t>
      </w:r>
    </w:p>
    <w:p>
      <w:pPr>
        <w:pStyle w:val="BodyText"/>
      </w:pPr>
      <w:r>
        <w:t xml:space="preserve">Mediation based network approaches, that go beyond analyses of two variables, are very well established</w:t>
      </w:r>
      <w:r>
        <w:t xml:space="preserve"> </w:t>
      </w:r>
      <w:r>
        <w:t xml:space="preserve">(35)</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(52)</w:t>
      </w:r>
      <w:r>
        <w:t xml:space="preserve">, multivariate MR</w:t>
      </w:r>
      <w:r>
        <w:t xml:space="preserve"> </w:t>
      </w:r>
      <w:r>
        <w:t xml:space="preserve">(51)</w:t>
      </w:r>
      <w:r>
        <w:t xml:space="preserve"> </w:t>
      </w:r>
      <w:r>
        <w:t xml:space="preserve">and mediation through MR</w:t>
      </w:r>
      <w:r>
        <w:t xml:space="preserve"> </w:t>
      </w:r>
      <w:r>
        <w:t xml:space="preserve">(53–55)</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9" w:name="figures"/>
      <w:bookmarkEnd w:id="39"/>
      <w:r>
        <w:t xml:space="preserve">Figures</w:t>
      </w:r>
    </w:p>
    <w:p>
      <w:pPr>
        <w:pStyle w:val="Figure"/>
      </w:pPr>
      <w:r>
        <w:drawing>
          <wp:inline>
            <wp:extent cx="5334000" cy="4377905"/>
            <wp:effectExtent b="0" l="0" r="0" t="0"/>
            <wp:docPr descr="" title="" id="1" name="Picture"/>
            <a:graphic>
              <a:graphicData uri="http://schemas.openxmlformats.org/drawingml/2006/picture">
                <pic:pic>
                  <pic:nvPicPr>
                    <pic:cNvPr descr="../images/dag-01.png" id="0" name="Picture"/>
                    <pic:cNvPicPr>
                      <a:picLocks noChangeArrowheads="1" noChangeAspect="1"/>
                    </pic:cNvPicPr>
                  </pic:nvPicPr>
                  <pic:blipFill>
                    <a:blip r:embed="rId40"/>
                    <a:stretch>
                      <a:fillRect/>
                    </a:stretch>
                  </pic:blipFill>
                  <pic:spPr bwMode="auto">
                    <a:xfrm>
                      <a:off x="0" y="0"/>
                      <a:ext cx="5334000" cy="4377905"/>
                    </a:xfrm>
                    <a:prstGeom prst="rect">
                      <a:avLst/>
                    </a:prstGeom>
                    <a:noFill/>
                    <a:ln w="9525">
                      <a:noFill/>
                      <a:headEnd/>
                      <a:tailEnd/>
                    </a:ln>
                  </pic:spPr>
                </pic:pic>
              </a:graphicData>
            </a:graphic>
          </wp:inline>
        </w:drawing>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Methylation causes gene expression. The left figure shows that the SNP influences methylation levels that in turn influence gene expression levels. The right figure shows the directed acyclic graph that represents this model. Faded symbols represent the measured values whereas solid symbols represent the true values. b) The same as in A, except the causal direction is from gene expression to DNA methylation. c) A model of confounding, where gene expression and DNA methylation are not causally related, but the SNP influences them each through separate pathways or a confounder.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easurement_error_figure-1.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ausality_exists_tpr-1.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3: Outcomes were simulated to be causally influenced by exposures with varying degrees of measurement imprecision applied to the exposure variable (x axis). True positive rates (y axis) for MR and CIT were compared for varying levels of measurement imprecision in the outcome variable (rows of boxes) and sample sizes (columns of boxes).</w:t>
      </w:r>
    </w:p>
    <w:p>
      <w:pPr>
        <w:pStyle w:val="BodyText"/>
      </w:pPr>
      <w:r>
        <w:drawing>
          <wp:inline>
            <wp:extent cx="5334000" cy="2667000"/>
            <wp:effectExtent b="0" l="0" r="0" t="0"/>
            <wp:docPr descr="" title="" id="1" name="Picture"/>
            <a:graphic>
              <a:graphicData uri="http://schemas.openxmlformats.org/drawingml/2006/picture">
                <pic:pic>
                  <pic:nvPicPr>
                    <pic:cNvPr descr="manuscript_files/figure-docx/steiger_sensitivity_plot-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Figure 4: a) We can predict the values the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red plane, those values of measurement error lead to our observed Steiger test inferring the wrong causal direction. Where the blue surface lies below the red plane, these measurement error values support the inferred causal direction of X to Y. A measure of reliability, therefore, is the ratio of the negative and positive volumes of the total space bound by the blue and red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drawing>
          <wp:inline>
            <wp:extent cx="5334000" cy="5334000"/>
            <wp:effectExtent b="0" l="0" r="0" t="0"/>
            <wp:docPr descr="" title="" id="1" name="Picture"/>
            <a:graphic>
              <a:graphicData uri="http://schemas.openxmlformats.org/drawingml/2006/picture">
                <pic:pic>
                  <pic:nvPicPr>
                    <pic:cNvPr descr="manuscript_files/figure-docx/cit_mr_comparison_figure-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MR is unable to identify this model, so any significant associations are deemed to be incorrect. Outcome 3 denotes evidence for the correct model for the CIT method.</w:t>
      </w:r>
    </w:p>
    <w:p>
      <w:pPr>
        <w:pStyle w:val="BodyText"/>
      </w:pPr>
      <w:r>
        <w:drawing>
          <wp:inline>
            <wp:extent cx="5334000" cy="4267200"/>
            <wp:effectExtent b="0" l="0" r="0" t="0"/>
            <wp:docPr descr="" title="" id="1" name="Picture"/>
            <a:graphic>
              <a:graphicData uri="http://schemas.openxmlformats.org/drawingml/2006/picture">
                <pic:pic>
                  <pic:nvPicPr>
                    <pic:cNvPr descr="manuscript_files/figure-docx/shakhplot-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6: Using 458 putative associations between DNA methylation and gene expression we used the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6" w:name="appendix-1"/>
      <w:bookmarkEnd w:id="46"/>
      <w:r>
        <w:t xml:space="preserve">Appendix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47" w:name="appendix-2"/>
      <w:bookmarkEnd w:id="47"/>
      <w:r>
        <w:t xml:space="preserve">Appendix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48" w:name="references"/>
      <w:bookmarkEnd w:id="48"/>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1991;44(11):1223–31.</w:t>
      </w:r>
      <w:r>
        <w:t xml:space="preserve"> </w:t>
      </w:r>
    </w:p>
    <w:p>
      <w:pPr>
        <w:pStyle w:val="Bibliography"/>
      </w:pPr>
      <w:r>
        <w:t xml:space="preserve">2. Davey Smith G, Ebrahim S. Data dredging, bias, or confounding. BMJ. 2002;325(7378):1437–8.</w:t>
      </w:r>
      <w:r>
        <w:t xml:space="preserve"> </w:t>
      </w:r>
    </w:p>
    <w:p>
      <w:pPr>
        <w:pStyle w:val="Bibliography"/>
      </w:pPr>
      <w:r>
        <w:t xml:space="preserve">3. Davey Smith G, Ebrahim S. Mendelian randomization: prospects, potentials, and limitations. International journal of epidemiology [Internet]. 2004 Feb;33(1):30–42. Available from:</w:t>
      </w:r>
      <w:r>
        <w:t xml:space="preserve"> </w:t>
      </w:r>
      <w:hyperlink r:id="rId49">
        <w:r>
          <w:rPr>
            <w:rStyle w:val="Hyperlink"/>
          </w:rPr>
          <w:t xml:space="preserve">http://www.ncbi.nlm.nih.gov/pubmed/15075143</w:t>
        </w:r>
      </w:hyperlink>
    </w:p>
    <w:p>
      <w:pPr>
        <w:pStyle w:val="Bibliography"/>
      </w:pPr>
      <w:r>
        <w:t xml:space="preserve">4. Millstein J, Zhang B, Zhu J, Schadt EE. Disentangling molecular relationships with a causal inference test. BMC genetics [Internet]. 2009 Jan;10:23. Available from:</w:t>
      </w:r>
      <w:r>
        <w:t xml:space="preserve"> </w:t>
      </w:r>
      <w:hyperlink r:id="rId50">
        <w:r>
          <w:rPr>
            <w:rStyle w:val="Hyperlink"/>
          </w:rPr>
          <w:t xml:space="preserve">http://www.pubmedcentral.nih.gov/articlerender.fcgi?artid=3224661{\&amp;}tool=pmcentrez{\&amp;}rendertype=abstract</w:t>
        </w:r>
      </w:hyperlink>
    </w:p>
    <w:p>
      <w:pPr>
        <w:pStyle w:val="Bibliography"/>
      </w:pPr>
      <w:r>
        <w:t xml:space="preserve">5. Aten JE, Fuller TF, Lusis AJ, Horvath S. Using genetic markers to orient the edges in quantitative trait networks: the NEO software. BMC systems biology [Internet]. 2008 Jan;2:34. Available from:</w:t>
      </w:r>
      <w:r>
        <w:t xml:space="preserve"> </w:t>
      </w:r>
      <w:hyperlink r:id="rId51">
        <w:r>
          <w:rPr>
            <w:rStyle w:val="Hyperlink"/>
          </w:rPr>
          <w:t xml:space="preserve">http://www.pubmedcentral.nih.gov/articlerender.fcgi?artid=2387136{\&amp;}tool=pmcentrez{\&amp;}rendertype=abstract</w:t>
        </w:r>
      </w:hyperlink>
    </w:p>
    <w:p>
      <w:pPr>
        <w:pStyle w:val="Bibliography"/>
      </w:pPr>
      <w:r>
        <w:t xml:space="preserve">6. Waszak SM, Delaneau O, Gschwind AR, Kilpinen H, Raghav SK, Witwicki RM, et al. Variation and genetic control of chromatin architecture in humans. Cell [Internet]. 2015;162(5):1039–50. Available from:</w:t>
      </w:r>
      <w:r>
        <w:t xml:space="preserve"> </w:t>
      </w:r>
      <w:hyperlink r:id="rId52">
        <w:r>
          <w:rPr>
            <w:rStyle w:val="Hyperlink"/>
          </w:rPr>
          <w:t xml:space="preserve">http://dx.doi.org/10.1016/j.cell.2015.08.001</w:t>
        </w:r>
      </w:hyperlink>
    </w:p>
    <w:p>
      <w:pPr>
        <w:pStyle w:val="Bibliography"/>
      </w:pPr>
      <w:r>
        <w:t xml:space="preserve">7. Houle D, Pélabon C, Wagner G, Hansen T. Measurement and meaning in biology. The Quarterly Review of Biology [Internet]. 2011;86(1):3–34. Available from:</w:t>
      </w:r>
      <w:r>
        <w:t xml:space="preserve"> </w:t>
      </w:r>
      <w:hyperlink r:id="rId53">
        <w:r>
          <w:rPr>
            <w:rStyle w:val="Hyperlink"/>
          </w:rPr>
          <w:t xml:space="preserve">http://www.jstor.org/stable/10.1086/658408</w:t>
        </w:r>
      </w:hyperlink>
    </w:p>
    <w:p>
      <w:pPr>
        <w:pStyle w:val="Bibliography"/>
      </w:pPr>
      <w:r>
        <w:t xml:space="preserve">8. Hernán M a, Cole SR. Invited Commentary: Causal diagrams and measurement bias. American journal of epidemiology [Internet]. 2009 Oct;170(8):959–62; discussion 963–4. Available from:</w:t>
      </w:r>
      <w:r>
        <w:t xml:space="preserve"> </w:t>
      </w:r>
      <w:hyperlink r:id="rId54">
        <w:r>
          <w:rPr>
            <w:rStyle w:val="Hyperlink"/>
          </w:rPr>
          <w:t xml:space="preserve">http://www.pubmedcentral.nih.gov/articlerender.fcgi?artid=2765368{\&amp;}tool=pmcentrez{\&amp;}rendertype=abstract</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[Internet]. 2013 Jun;22(6):1052–60. Available from:</w:t>
      </w:r>
      <w:r>
        <w:t xml:space="preserve"> </w:t>
      </w:r>
      <w:hyperlink r:id="rId55">
        <w:r>
          <w:rPr>
            <w:rStyle w:val="Hyperlink"/>
          </w:rPr>
          <w:t xml:space="preserve">http://www.pubmedcentral.nih.gov/articlerender.fcgi?artid=3687782{\&amp;}tool=pmcentrez{\&amp;}rendertype=abstract</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[Internet]. 2013 Feb;8(2):203–9. Available from:</w:t>
      </w:r>
      <w:r>
        <w:t xml:space="preserve"> </w:t>
      </w:r>
      <w:hyperlink r:id="rId56">
        <w:r>
          <w:rPr>
            <w:rStyle w:val="Hyperlink"/>
          </w:rPr>
          <w:t xml:space="preserve">http://www.pubmedcentral.nih.gov/articlerender.fcgi?artid=3592906{\&amp;}tool=pmcentrez{\&amp;}rendertype=abstract</w:t>
        </w:r>
      </w:hyperlink>
    </w:p>
    <w:p>
      <w:pPr>
        <w:pStyle w:val="Bibliography"/>
      </w:pPr>
      <w:r>
        <w:t xml:space="preserve">11. Houseman EA, Accomando WP, Koestler DC, Christensen BC, Marsit CJ, Nelson HH, et al. DNA methylation arrays as surrogate measures of cell mixture distribution. BMC bioinformatics [Internet]. 2012 Jan;13:86. Available from:</w:t>
      </w:r>
      <w:r>
        <w:t xml:space="preserve"> </w:t>
      </w:r>
      <w:hyperlink r:id="rId57">
        <w:r>
          <w:rPr>
            <w:rStyle w:val="Hyperlink"/>
          </w:rPr>
          <w:t xml:space="preserve">http://www.pubmedcentral.nih.gov/articlerender.fcgi?artid=3532182{\&amp;}tool=pmcentrez{\&amp;}rendertype=abstract</w:t>
        </w:r>
      </w:hyperlink>
    </w:p>
    <w:p>
      <w:pPr>
        <w:pStyle w:val="Bibliography"/>
      </w:pPr>
      <w:r>
        <w:t xml:space="preserve">12. Ahima RS, Lazar MA. Physiology. The health risk of obesity–better metrics imperative. Science (New York, NY) [Internet]. 2013 Aug;341(6148):856–8. Available from:</w:t>
      </w:r>
      <w:r>
        <w:t xml:space="preserve"> </w:t>
      </w:r>
      <w:hyperlink r:id="rId58">
        <w:r>
          <w:rPr>
            <w:rStyle w:val="Hyperlink"/>
          </w:rPr>
          <w:t xml:space="preserve">http://science.sciencemag.org/content/341/6148/856.abstract</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[Internet]. 2012 Jul;23(4):551–60. Available from:</w:t>
      </w:r>
      <w:r>
        <w:t xml:space="preserve"> </w:t>
      </w:r>
      <w:hyperlink r:id="rId59">
        <w:r>
          <w:rPr>
            <w:rStyle w:val="Hyperlink"/>
          </w:rPr>
          <w:t xml:space="preserve">http://www.ncbi.nlm.nih.gov/pubmed/22526092</w:t>
        </w:r>
      </w:hyperlink>
    </w:p>
    <w:p>
      <w:pPr>
        <w:pStyle w:val="Bibliography"/>
      </w:pPr>
      <w:r>
        <w:t xml:space="preserve">14. Blakely T, McKenzie S, Carter K. Misclassification of the mediator matters when estimating indirect effects. Journal of epidemiology and community health [Internet]. 2013 May;67(5):458–66. Available from:</w:t>
      </w:r>
      <w:r>
        <w:t xml:space="preserve"> </w:t>
      </w:r>
      <w:hyperlink r:id="rId60">
        <w:r>
          <w:rPr>
            <w:rStyle w:val="Hyperlink"/>
          </w:rPr>
          <w:t xml:space="preserve">http://www.ncbi.nlm.nih.gov/pubmed/23386673</w:t>
        </w:r>
      </w:hyperlink>
    </w:p>
    <w:p>
      <w:pPr>
        <w:pStyle w:val="Bibliography"/>
      </w:pPr>
      <w:r>
        <w:t xml:space="preserve">15. Davey Smith G, Ebrahim S. ’Mendelian randomization’: can genetic epidemiology contribute to understanding environmental determinants of disease? International Journal of Epidemiology [Internet]. 2003 Feb;32(1):1–22. Available from:</w:t>
      </w:r>
      <w:r>
        <w:t xml:space="preserve"> </w:t>
      </w:r>
      <w:hyperlink r:id="rId61">
        <w:r>
          <w:rPr>
            <w:rStyle w:val="Hyperlink"/>
          </w:rPr>
          <w:t xml:space="preserve">http://www.ije.oxfordjournals.org/cgi/doi/10.1093/ije/dyg070</w:t>
        </w:r>
      </w:hyperlink>
    </w:p>
    <w:p>
      <w:pPr>
        <w:pStyle w:val="Bibliography"/>
      </w:pPr>
      <w:r>
        <w:t xml:space="preserve">16. Davey Smith G, Hemani G. Mendelian randomization: genetic anchors for causal inference in epidemiological studies. Human molecular genetics. 2014 Jul;23(R1):R89—–R98.</w:t>
      </w:r>
      <w:r>
        <w:t xml:space="preserve"> </w:t>
      </w:r>
    </w:p>
    <w:p>
      <w:pPr>
        <w:pStyle w:val="Bibliography"/>
      </w:pPr>
      <w:r>
        <w:t xml:space="preserve">17. Schadt EE, Lamb J, Yang X, Zhu J, Edwards S, GuhaThakurta D, et al. An integrative genomics approach to infer causal associations between gene expression and disease. Nature Genetics [Internet]. 2005 Jul;37(7):710–7. Available from:</w:t>
      </w:r>
      <w:r>
        <w:t xml:space="preserve"> </w:t>
      </w:r>
      <w:hyperlink r:id="rId62">
        <w:r>
          <w:rPr>
            <w:rStyle w:val="Hyperlink"/>
          </w:rPr>
          <w:t xml:space="preserve">http://dx.doi.org/10.1038/ng1589 http://www.nature.com/ng/journal/v37/n7/full/ng1589.html http://www.nature.com/ng/journal/v37/n7/pdf/ng1589.pdf</w:t>
        </w:r>
      </w:hyperlink>
    </w:p>
    <w:p>
      <w:pPr>
        <w:pStyle w:val="Bibliography"/>
      </w:pPr>
      <w:r>
        <w:t xml:space="preserve">18. Millstein J, Chen GK, Breton CV. Cit : Hypothesis Testing Software for Mediation Analysis in Genomic Applications. Bioinformatics. 2016;AOP(10.1093/bioinformatics/btw135):1–10.</w:t>
      </w:r>
      <w:r>
        <w:t xml:space="preserve"> </w:t>
      </w:r>
    </w:p>
    <w:p>
      <w:pPr>
        <w:pStyle w:val="Bibliography"/>
      </w:pPr>
      <w:r>
        <w:t xml:space="preserve">19. Koestler DC, Chalise P, Cicek MS, Cunningham JM, Armasu S, Larson MC, et al. Integrative genomic analysis identifies epigenetic marks that mediate genetic risk for epithelial ovarian cancer. BMC medical genomics [Internet]. 2014 Jan;7(1):8. Available from:</w:t>
      </w:r>
      <w:r>
        <w:t xml:space="preserve"> </w:t>
      </w:r>
      <w:hyperlink r:id="rId63">
        <w:r>
          <w:rPr>
            <w:rStyle w:val="Hyperlink"/>
          </w:rPr>
          <w:t xml:space="preserve">http://www.pubmedcentral.nih.gov/articlerender.fcgi?artid=3916313{\&amp;}tool=pmcentrez{\&amp;}rendertype=abstract</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[Internet]. 2013 Feb;31(2):142–7. Available from:</w:t>
      </w:r>
      <w:r>
        <w:t xml:space="preserve"> </w:t>
      </w:r>
      <w:hyperlink r:id="rId64">
        <w:r>
          <w:rPr>
            <w:rStyle w:val="Hyperlink"/>
          </w:rPr>
          <w:t xml:space="preserve">http://www.pubmedcentral.nih.gov/articlerender.fcgi?artid=3598632{\&amp;}tool=pmcentrez{\&amp;}rendertype=abstract</w:t>
        </w:r>
      </w:hyperlink>
    </w:p>
    <w:p>
      <w:pPr>
        <w:pStyle w:val="Bibliography"/>
      </w:pPr>
      <w:r>
        <w:t xml:space="preserve">21. Yuan W, Xia Y, Bell CG, Yet I, Ferreira T, Ward KJ, et al. An integrated epigenomic analysis for type 2 diabetes susceptibility loci in monozygotic twins. Nature communications [Internet]. 2014 Jan;5:5719. Available from:</w:t>
      </w:r>
      <w:r>
        <w:t xml:space="preserve"> </w:t>
      </w:r>
      <w:hyperlink r:id="rId65">
        <w:r>
          <w:rPr>
            <w:rStyle w:val="Hyperlink"/>
          </w:rPr>
          <w:t xml:space="preserve">http://www.pubmedcentral.nih.gov/articlerender.fcgi?artid=4284644{\&amp;}tool=pmcentrez{\&amp;}rendertype=abstract</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[Internet]. 2014 Oct;6(257):257ra139. Available from:</w:t>
      </w:r>
      <w:r>
        <w:t xml:space="preserve"> </w:t>
      </w:r>
      <w:hyperlink r:id="rId66">
        <w:r>
          <w:rPr>
            <w:rStyle w:val="Hyperlink"/>
          </w:rPr>
          <w:t xml:space="preserve">http://www.ncbi.nlm.nih.gov/pubmed/25298321</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[Internet]. 2015 Jan;6:6304. Available from:</w:t>
      </w:r>
      <w:r>
        <w:t xml:space="preserve"> </w:t>
      </w:r>
      <w:hyperlink r:id="rId67">
        <w:r>
          <w:rPr>
            <w:rStyle w:val="Hyperlink"/>
          </w:rPr>
          <w:t xml:space="preserve">http://www.pubmedcentral.nih.gov/articlerender.fcgi?artid=4340086{\&amp;}tool=pmcentrez{\&amp;}rendertype=abstract</w:t>
        </w:r>
      </w:hyperlink>
    </w:p>
    <w:p>
      <w:pPr>
        <w:pStyle w:val="Bibliography"/>
      </w:pPr>
      <w:r>
        <w:t xml:space="preserve">24. Bowden J, Davey Smith G, Burgess S. Mendelian randomization with invalid instruments: effect estimation and bias detection through Egger regression. International Journal of Epidemiology. 2015;44(2):512–25.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[Internet]. 2016 May;40(4):304–14. Available from:</w:t>
      </w:r>
      <w:r>
        <w:t xml:space="preserve"> </w:t>
      </w:r>
      <w:hyperlink r:id="rId68">
        <w:r>
          <w:rPr>
            <w:rStyle w:val="Hyperlink"/>
          </w:rPr>
          <w:t xml:space="preserve">http://www.ncbi.nlm.nih.gov/pubmed/27061298 http://www.pubmedcentral.nih.gov/articlerender.fcgi?artid=PMC4849733 http://doi.wiley.com/10.1002/gepi.21965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Claussnitzer M, Dankel SN, Kim K-H, Quon G, Meuleman W, Haugen C, et al. FTO Obesity Variant Circuitry and Adipocyte Browning in Humans. The New England journal of medicine. 2015;373(10):895–907.</w:t>
      </w:r>
      <w:r>
        <w:t xml:space="preserve"> </w:t>
      </w:r>
    </w:p>
    <w:p>
      <w:pPr>
        <w:pStyle w:val="Bibliography"/>
      </w:pPr>
      <w:r>
        <w:t xml:space="preserve">28. Pierce BL, Burgess S. Efficient design for Mendelian randomization studies: subsample and 2-sample instrumental variable estimators. American journal of epidemiology [Internet]. 2013 Oct;178(7):1177–84. Available from:</w:t>
      </w:r>
      <w:r>
        <w:t xml:space="preserve"> </w:t>
      </w:r>
      <w:hyperlink r:id="rId69">
        <w:r>
          <w:rPr>
            <w:rStyle w:val="Hyperlink"/>
          </w:rPr>
          <w:t xml:space="preserve">http://www.pubmedcentral.nih.gov/articlerender.fcgi?artid=3783091{\&amp;}tool=pmcentrez{\&amp;}rendertype=abstract</w:t>
        </w:r>
      </w:hyperlink>
    </w:p>
    <w:p>
      <w:pPr>
        <w:pStyle w:val="Bibliography"/>
      </w:pPr>
      <w:r>
        <w:t xml:space="preserve">29. Hernán MA, Hernández-Díaz S, Robins JM. A structural approach to selection bias. Epidemiology (Cambridge, Mass) [Internet]. 2004 Sep;15(5):615–25. Available from:</w:t>
      </w:r>
      <w:r>
        <w:t xml:space="preserve"> </w:t>
      </w:r>
      <w:hyperlink r:id="rId70">
        <w:r>
          <w:rPr>
            <w:rStyle w:val="Hyperlink"/>
          </w:rPr>
          <w:t xml:space="preserve">http://www.ncbi.nlm.nih.gov/pubmed/15308962</w:t>
        </w:r>
      </w:hyperlink>
    </w:p>
    <w:p>
      <w:pPr>
        <w:pStyle w:val="Bibliography"/>
      </w:pPr>
      <w:r>
        <w:t xml:space="preserve">30. Pierce BL, VanderWeele TJ. The effect of non-differential measurement error on bias, precision and power in Mendelian randomization studies. International Journal of Epidemiology [Internet]. 2012 Oct;41(5):1383–93. Available from:</w:t>
      </w:r>
      <w:r>
        <w:t xml:space="preserve"> </w:t>
      </w:r>
      <w:hyperlink r:id="rId71">
        <w:r>
          <w:rPr>
            <w:rStyle w:val="Hyperlink"/>
          </w:rPr>
          <w:t xml:space="preserve">https://academic.oup.com/ije/article-lookup/doi/10.1093/ije/dys141</w:t>
        </w:r>
      </w:hyperlink>
    </w:p>
    <w:p>
      <w:pPr>
        <w:pStyle w:val="Bibliography"/>
      </w:pPr>
      <w:r>
        <w:t xml:space="preserve">31. Ashenfelter O, Krueger AB. Estimates of the Economic Return to Schooling from a New Sample of Twins. The American Economic Review. 1994;84(5):1157–73.</w:t>
      </w:r>
      <w:r>
        <w:t xml:space="preserve"> </w:t>
      </w:r>
    </w:p>
    <w:p>
      <w:pPr>
        <w:pStyle w:val="Bibliography"/>
      </w:pPr>
      <w:r>
        <w:t xml:space="preserve">32. Nagarajan R, Scutari M. Impact of noise on molecular network inference. PloS one [Internet]. 2013 Jan;8(12):e80735. Available from:</w:t>
      </w:r>
      <w:r>
        <w:t xml:space="preserve"> </w:t>
      </w:r>
      <w:hyperlink r:id="rId72">
        <w:r>
          <w:rPr>
            <w:rStyle w:val="Hyperlink"/>
          </w:rPr>
          <w:t xml:space="preserve">http://www.pubmedcentral.nih.gov/articlerender.fcgi?artid=3855153{\&amp;}tool=pmcentrez{\&amp;}rendertype=abstract</w:t>
        </w:r>
      </w:hyperlink>
    </w:p>
    <w:p>
      <w:pPr>
        <w:pStyle w:val="Bibliography"/>
      </w:pPr>
      <w:r>
        <w:t xml:space="preserve">33. Shpitser I, VanderWeele T, Robins J. On the validity of covariate adjustment for estimating causal effects. Proceedings of the Twenty Sixth Conference on Uncertainty in Artificial Intelligence (UAI-10). 2010;527–36.</w:t>
      </w:r>
      <w:r>
        <w:t xml:space="preserve"> </w:t>
      </w:r>
    </w:p>
    <w:p>
      <w:pPr>
        <w:pStyle w:val="Bibliography"/>
      </w:pPr>
      <w:r>
        <w:t xml:space="preserve">34. Wang L, Michoel T. Detection of regulator genes and eQTLs in gene networks. arXiv [Internet]. 2015 Dec;arXiv:1512. Available from:</w:t>
      </w:r>
      <w:r>
        <w:t xml:space="preserve"> </w:t>
      </w:r>
      <w:hyperlink r:id="rId73">
        <w:r>
          <w:rPr>
            <w:rStyle w:val="Hyperlink"/>
          </w:rPr>
          <w:t xml:space="preserve">http://arxiv.org/abs/1512.05574</w:t>
        </w:r>
      </w:hyperlink>
    </w:p>
    <w:p>
      <w:pPr>
        <w:pStyle w:val="Bibliography"/>
      </w:pPr>
      <w:r>
        <w:t xml:space="preserve">35. Lagani V, Triantafillou S, Ball G, Tegner J, Tsamardinos I. Probabilistic Computational Causal Discovery for Systems Biology. In: Uncertainty in biology: A computational modeling approach [Internet]. Springer; 2015. p. 47. Available from:</w:t>
      </w:r>
      <w:r>
        <w:t xml:space="preserve"> </w:t>
      </w:r>
      <w:hyperlink r:id="rId74">
        <w:r>
          <w:rPr>
            <w:rStyle w:val="Hyperlink"/>
          </w:rPr>
          <w:t xml:space="preserve">https://books.google.com/books?id=8SLUCgAAQBAJ{\&amp;}pgis=1</w:t>
        </w:r>
      </w:hyperlink>
    </w:p>
    <w:p>
      <w:pPr>
        <w:pStyle w:val="Bibliography"/>
      </w:pPr>
      <w:r>
        <w:t xml:space="preserve">36. Lawlor DA, Tilling K, Davey Smith G. Triangulation in aetiological epidemiology. International Journal of Epidemiology [Internet]. 2017 Jan;19(R1):dyw314. Available from:</w:t>
      </w:r>
      <w:r>
        <w:t xml:space="preserve"> </w:t>
      </w:r>
      <w:hyperlink r:id="rId75">
        <w:r>
          <w:rPr>
            <w:rStyle w:val="Hyperlink"/>
          </w:rPr>
          <w:t xml:space="preserve">https://academic.oup.com/ije/article-lookup/doi/10.1093/ije/dyw314</w:t>
        </w:r>
      </w:hyperlink>
    </w:p>
    <w:p>
      <w:pPr>
        <w:pStyle w:val="Bibliography"/>
      </w:pPr>
      <w:r>
        <w:t xml:space="preserve">37. Sterne JAC, Smith GD. Sifting the evidence—what’s wrong with significance tests? BMJ. 2001;322(7280):226–31.</w:t>
      </w:r>
      <w:r>
        <w:t xml:space="preserve"> </w:t>
      </w:r>
    </w:p>
    <w:p>
      <w:pPr>
        <w:pStyle w:val="Bibliography"/>
      </w:pPr>
      <w:r>
        <w:t xml:space="preserve">38. Henningsen A, Hamann JD. systemfit : A Package for Estimating Systems of Simultaneous Equations in R. Journal of Statistical Software [Internet]. 2007 Dec;23(4):1–40. Available from:</w:t>
      </w:r>
      <w:r>
        <w:t xml:space="preserve"> </w:t>
      </w:r>
      <w:hyperlink r:id="rId76">
        <w:r>
          <w:rPr>
            <w:rStyle w:val="Hyperlink"/>
          </w:rPr>
          <w:t xml:space="preserve">https://www.jstatsoft.org/index.php/jss/article/view/v023i04/v23i04.pdf</w:t>
        </w:r>
      </w:hyperlink>
    </w:p>
    <w:p>
      <w:pPr>
        <w:pStyle w:val="Bibliography"/>
      </w:pPr>
      <w:r>
        <w:t xml:space="preserve">39. Steiger JH. Tests for comparing elements of a correlation matrix. Psychological Bulletin. 1980;87(2):245–51.</w:t>
      </w:r>
      <w:r>
        <w:t xml:space="preserve"> </w:t>
      </w:r>
    </w:p>
    <w:p>
      <w:pPr>
        <w:pStyle w:val="Bibliography"/>
      </w:pPr>
      <w:r>
        <w:t xml:space="preserve">40. Revelle W. psych: Procedures for Psychological, Psychometric, and Personality Research [Internet]. Evanston, Illinois: Northwestern University; 2015. Available from:</w:t>
      </w:r>
      <w:r>
        <w:t xml:space="preserve"> </w:t>
      </w:r>
      <w:hyperlink r:id="rId77">
        <w:r>
          <w:rPr>
            <w:rStyle w:val="Hyperlink"/>
          </w:rPr>
          <w:t xml:space="preserve">http://cran.r-project.org/package=psych</w:t>
        </w:r>
      </w:hyperlink>
    </w:p>
    <w:p>
      <w:pPr>
        <w:pStyle w:val="Bibliography"/>
      </w:pPr>
      <w:r>
        <w:t xml:space="preserve">41. Shakhbazov K, Powell JE, Hemani G, Henders AK, Martin NG, Visscher PM, et al. Shared genetic control of expression and methylation in peripheral blood. BMC genomics [Internet]. 2016 Jan;17(1):278. Available from:</w:t>
      </w:r>
      <w:r>
        <w:t xml:space="preserve"> </w:t>
      </w:r>
      <w:hyperlink r:id="rId78">
        <w:r>
          <w:rPr>
            <w:rStyle w:val="Hyperlink"/>
          </w:rPr>
          <w:t xml:space="preserve">http://bmcgenomics.biomedcentral.com/articles/10.1186/s12864-016-2498-4</w:t>
        </w:r>
      </w:hyperlink>
    </w:p>
    <w:p>
      <w:pPr>
        <w:pStyle w:val="Bibliography"/>
      </w:pPr>
      <w:r>
        <w:t xml:space="preserve">42. R Core Team. R: A Language and Environment for Statistical Computing [Internet]. Vienna, Austria: R Foundation for Statistical Computing; 2015. Available from:</w:t>
      </w:r>
      <w:r>
        <w:t xml:space="preserve"> </w:t>
      </w:r>
      <w:hyperlink r:id="rId79">
        <w:r>
          <w:rPr>
            <w:rStyle w:val="Hyperlink"/>
          </w:rPr>
          <w:t xml:space="preserve">https://www.r-project.org/</w:t>
        </w:r>
      </w:hyperlink>
    </w:p>
    <w:p>
      <w:pPr>
        <w:pStyle w:val="Bibliography"/>
      </w:pPr>
      <w:r>
        <w:t xml:space="preserve">43. Bird A. DNA methylation patterns and epigenetic memory. Genes &amp; development [Internet]. 2002 Jan;16(1):6–21. Available from:</w:t>
      </w:r>
      <w:r>
        <w:t xml:space="preserve"> </w:t>
      </w:r>
      <w:hyperlink r:id="rId80">
        <w:r>
          <w:rPr>
            <w:rStyle w:val="Hyperlink"/>
          </w:rPr>
          <w:t xml:space="preserve">http://genesdev.cshlp.org/content/16/1/6.long</w:t>
        </w:r>
      </w:hyperlink>
    </w:p>
    <w:p>
      <w:pPr>
        <w:pStyle w:val="Bibliography"/>
      </w:pPr>
      <w:r>
        <w:t xml:space="preserve">44. Cole DA, Preacher KJ. Manifest Variable Path Analysis: Potentially Serious and Misleading Consequences Due to Uncorrected Measurement Error. Psychological Methods. 2014;19(2):300–15.</w:t>
      </w:r>
      <w:r>
        <w:t xml:space="preserve"> </w:t>
      </w:r>
    </w:p>
    <w:p>
      <w:pPr>
        <w:pStyle w:val="Bibliography"/>
      </w:pPr>
      <w:r>
        <w:t xml:space="preserve">45. Bose M, Wu C, Pankow JS, Demerath EW, Bressler J, Fornage M, et al. Evaluation of microarray-based DNA methylation measurement using technical replicates: the Atherosclerosis Risk In Communities (ARIC) Study. BMC Bioinformatics [Internet]. 2014;15(1):312. Available from:</w:t>
      </w:r>
      <w:r>
        <w:t xml:space="preserve"> </w:t>
      </w:r>
      <w:hyperlink r:id="rId81">
        <w:r>
          <w:rPr>
            <w:rStyle w:val="Hyperlink"/>
          </w:rPr>
          <w:t xml:space="preserve">http://www.biomedcentral.com/1471-2105/15/312</w:t>
        </w:r>
      </w:hyperlink>
    </w:p>
    <w:p>
      <w:pPr>
        <w:pStyle w:val="Bibliography"/>
      </w:pPr>
      <w:r>
        <w:t xml:space="preserve">46. Bryant PA, Smyth GK, Robins-Browne R, Curtis N, Novak J, Sladek R, et al. Technical Variability Is Greater than Biological Variability in a Microarray Experiment but Both Are Outweighed by Changes Induced by Stimulation. Khodursky AB, editor. PLoS ONE [Internet]. 2011 May;6(5):e19556. Available from:</w:t>
      </w:r>
      <w:r>
        <w:t xml:space="preserve"> </w:t>
      </w:r>
      <w:hyperlink r:id="rId82">
        <w:r>
          <w:rPr>
            <w:rStyle w:val="Hyperlink"/>
          </w:rPr>
          <w:t xml:space="preserve">http://dx.plos.org/10.1371/journal.pone.0019556</w:t>
        </w:r>
      </w:hyperlink>
    </w:p>
    <w:p>
      <w:pPr>
        <w:pStyle w:val="Bibliography"/>
      </w:pPr>
      <w:r>
        <w:t xml:space="preserve">47. Richmond RC, Davey Smith G, Ness AR, Hoed M den, McMahon G, Timpson NJ. Assessing Causality in the Association between Child Adiposity and Physical Activity Levels: A Mendelian Randomization Analysis. Ludwig DS, editor. PLoS Medicine [Internet]. 2014 Mar;11(3):e1001618. Available from:</w:t>
      </w:r>
      <w:r>
        <w:t xml:space="preserve"> </w:t>
      </w:r>
      <w:hyperlink r:id="rId83">
        <w:r>
          <w:rPr>
            <w:rStyle w:val="Hyperlink"/>
          </w:rPr>
          <w:t xml:space="preserve">http://dx.plos.org/10.1371/journal.pmed.1001618</w:t>
        </w:r>
      </w:hyperlink>
    </w:p>
    <w:p>
      <w:pPr>
        <w:pStyle w:val="Bibliography"/>
      </w:pPr>
      <w:r>
        <w:t xml:space="preserve">48. Mancuso N, Shi H, Goddard P, Kichaev G, Gusev A, Pasaniuc B. Integrating Gene Expression with Summary Association Statistics to Identify Genes Associated with 30 Complex Traits. The American Journal of Human Genetics [Internet]. 2017 Mar;100(3):473–87. Available from:</w:t>
      </w:r>
      <w:r>
        <w:t xml:space="preserve"> </w:t>
      </w:r>
      <w:hyperlink r:id="rId84">
        <w:r>
          <w:rPr>
            <w:rStyle w:val="Hyperlink"/>
          </w:rPr>
          <w:t xml:space="preserve">http://linkinghub.elsevier.com/retrieve/pii/S0002929717300320</w:t>
        </w:r>
      </w:hyperlink>
    </w:p>
    <w:p>
      <w:pPr>
        <w:pStyle w:val="Bibliography"/>
      </w:pPr>
      <w:r>
        <w:t xml:space="preserve">49. Lee SH, Wray NR. Novel genetic analysis for case-control genome-wide association studies: quantification of power and genomic prediction accuracy. PLoS One. 2013;8(8):e71494.</w:t>
      </w:r>
      <w:r>
        <w:t xml:space="preserve"> </w:t>
      </w:r>
    </w:p>
    <w:p>
      <w:pPr>
        <w:pStyle w:val="Bibliography"/>
      </w:pPr>
      <w:r>
        <w:t xml:space="preserve">50. Do R, Willer CJ, Schmidt EM, Sengupta S, Gao C, Peloso GM, et al. Common variants associated with plasma triglycerides and risk for coronary artery disease. Nature Genetics [Internet]. 2013 Oct;45(11):1345–52. Available from:</w:t>
      </w:r>
      <w:r>
        <w:t xml:space="preserve"> </w:t>
      </w:r>
      <w:hyperlink r:id="rId85">
        <w:r>
          <w:rPr>
            <w:rStyle w:val="Hyperlink"/>
          </w:rPr>
          <w:t xml:space="preserve">http://www.nature.com/doifinder/10.1038/ng.2795</w:t>
        </w:r>
      </w:hyperlink>
    </w:p>
    <w:p>
      <w:pPr>
        <w:pStyle w:val="Bibliography"/>
      </w:pPr>
      <w:r>
        <w:t xml:space="preserve">51. Burgess S, Freitag DF, Khan H, Gorman DN, Thompson SG. Using multivariable Mendelian randomization to disentangle the causal effects of lipid fractions. PloS one [Internet]. 2014 Jan;9(10):e108891. Available from:</w:t>
      </w:r>
      <w:r>
        <w:t xml:space="preserve"> </w:t>
      </w:r>
      <w:hyperlink r:id="rId86">
        <w:r>
          <w:rPr>
            <w:rStyle w:val="Hyperlink"/>
          </w:rPr>
          <w:t xml:space="preserve">http://journals.plos.org/plosone/article?id=10.1371/journal.pone.0108891</w:t>
        </w:r>
      </w:hyperlink>
    </w:p>
    <w:p>
      <w:pPr>
        <w:pStyle w:val="Bibliography"/>
      </w:pPr>
      <w:r>
        <w:t xml:space="preserve">52. Relton CL, Davey Smith G. Two-step epigenetic Mendelian randomization: a strategy for establishing the causal role of epigenetic processes in pathways to disease. International journal of epidemiology [Internet]. 2012 Feb;41(1):161–76. Available from:</w:t>
      </w:r>
      <w:r>
        <w:t xml:space="preserve"> </w:t>
      </w:r>
      <w:hyperlink r:id="rId87">
        <w:r>
          <w:rPr>
            <w:rStyle w:val="Hyperlink"/>
          </w:rPr>
          <w:t xml:space="preserve">http://www.pubmedcentral.nih.gov/articlerender.fcgi?artid=3304531{\&amp;}tool=pmcentrez{\&amp;}rendertype=abstract</w:t>
        </w:r>
      </w:hyperlink>
    </w:p>
    <w:p>
      <w:pPr>
        <w:pStyle w:val="Bibliography"/>
      </w:pPr>
      <w:r>
        <w:t xml:space="preserve">53. Varbo A, Benn M, Smith GD, Timpson NJ, Tybjaerg-Hansen A, Nordestgaard BG. Remnant cholesterol, low-density lipoprotein cholesterol, and blood pressure as mediators from obesity to ischemic heart disease. Circulation research [Internet]. 2015 Feb;116(4):665–73. Available from:</w:t>
      </w:r>
      <w:r>
        <w:t xml:space="preserve"> </w:t>
      </w:r>
      <w:hyperlink r:id="rId88">
        <w:r>
          <w:rPr>
            <w:rStyle w:val="Hyperlink"/>
          </w:rPr>
          <w:t xml:space="preserve">http://www.ncbi.nlm.nih.gov/pubmed/25411050</w:t>
        </w:r>
      </w:hyperlink>
    </w:p>
    <w:p>
      <w:pPr>
        <w:pStyle w:val="Bibliography"/>
      </w:pPr>
      <w:r>
        <w:t xml:space="preserve">54. Burgess S, Daniel RM, Butterworth AS, Thompson SG. Network Mendelian randomization: using genetic variants as instrumental variables to investigate mediation in causal pathways. International journal of epidemiology [Internet]. 2015 Apr;44(2):484–95. Available from:</w:t>
      </w:r>
      <w:r>
        <w:t xml:space="preserve"> </w:t>
      </w:r>
      <w:hyperlink r:id="rId89">
        <w:r>
          <w:rPr>
            <w:rStyle w:val="Hyperlink"/>
          </w:rPr>
          <w:t xml:space="preserve">http://www.pubmedcentral.nih.gov/articlerender.fcgi?artid=4469795{\&amp;}tool=pmcentrez{\&amp;}rendertype=abstract</w:t>
        </w:r>
      </w:hyperlink>
    </w:p>
    <w:p>
      <w:pPr>
        <w:pStyle w:val="Bibliography"/>
      </w:pPr>
      <w:r>
        <w:t xml:space="preserve">55. Richmond RC, Hemani G, Tilling K, Davey Smith G, Relton CL. Challenges and novel approaches for investigating molecular mediation. Human molecular genetics [Internet]. 2016 Oct;25(R2):R149–56. Available from:</w:t>
      </w:r>
      <w:r>
        <w:t xml:space="preserve"> </w:t>
      </w:r>
      <w:hyperlink r:id="rId90">
        <w:r>
          <w:rPr>
            <w:rStyle w:val="Hyperlink"/>
          </w:rPr>
          <w:t xml:space="preserve">http://www.ncbi.nlm.nih.gov/pubmed/27439390 http://www.pubmedcentral.nih.gov/articlerender.fcgi?artid=PMC5036871</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1a0a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5670a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600ba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3" Target="http://arxiv.org/abs/1512.05574" TargetMode="External" /><Relationship Type="http://schemas.openxmlformats.org/officeDocument/2006/relationships/hyperlink" Id="rId78" Target="http://bmcgenomics.biomedcentral.com/articles/10.1186/s12864-016-2498-4" TargetMode="External" /><Relationship Type="http://schemas.openxmlformats.org/officeDocument/2006/relationships/hyperlink" Id="rId77" Target="http://cran.r-project.org/package=psych" TargetMode="External" /><Relationship Type="http://schemas.openxmlformats.org/officeDocument/2006/relationships/hyperlink" Id="rId52" Target="http://dx.doi.org/10.1016/j.cell.2015.08.001" TargetMode="External" /><Relationship Type="http://schemas.openxmlformats.org/officeDocument/2006/relationships/hyperlink" Id="rId62" Target="http://dx.doi.org/10.1038/ng1589 http://www.nature.com/ng/journal/v37/n7/full/ng1589.html http://www.nature.com/ng/journal/v37/n7/pdf/ng1589.pdf" TargetMode="External" /><Relationship Type="http://schemas.openxmlformats.org/officeDocument/2006/relationships/hyperlink" Id="rId83" Target="http://dx.plos.org/10.1371/journal.pmed.1001618" TargetMode="External" /><Relationship Type="http://schemas.openxmlformats.org/officeDocument/2006/relationships/hyperlink" Id="rId82" Target="http://dx.plos.org/10.1371/journal.pone.0019556" TargetMode="External" /><Relationship Type="http://schemas.openxmlformats.org/officeDocument/2006/relationships/hyperlink" Id="rId80" Target="http://genesdev.cshlp.org/content/16/1/6.long" TargetMode="External" /><Relationship Type="http://schemas.openxmlformats.org/officeDocument/2006/relationships/hyperlink" Id="rId86" Target="http://journals.plos.org/plosone/article?id=10.1371/journal.pone.0108891" TargetMode="External" /><Relationship Type="http://schemas.openxmlformats.org/officeDocument/2006/relationships/hyperlink" Id="rId84" Target="http://linkinghub.elsevier.com/retrieve/pii/S0002929717300320" TargetMode="External" /><Relationship Type="http://schemas.openxmlformats.org/officeDocument/2006/relationships/hyperlink" Id="rId58" Target="http://science.sciencemag.org/content/341/6148/856.abstract" TargetMode="External" /><Relationship Type="http://schemas.openxmlformats.org/officeDocument/2006/relationships/hyperlink" Id="rId81" Target="http://www.biomedcentral.com/1471-2105/15/312" TargetMode="External" /><Relationship Type="http://schemas.openxmlformats.org/officeDocument/2006/relationships/hyperlink" Id="rId61" Target="http://www.ije.oxfordjournals.org/cgi/doi/10.1093/ije/dyg070" TargetMode="External" /><Relationship Type="http://schemas.openxmlformats.org/officeDocument/2006/relationships/hyperlink" Id="rId53" Target="http://www.jstor.org/stable/10.1086/658408" TargetMode="External" /><Relationship Type="http://schemas.openxmlformats.org/officeDocument/2006/relationships/hyperlink" Id="rId85" Target="http://www.nature.com/doifinder/10.1038/ng.2795" TargetMode="External" /><Relationship Type="http://schemas.openxmlformats.org/officeDocument/2006/relationships/hyperlink" Id="rId49" Target="http://www.ncbi.nlm.nih.gov/pubmed/15075143" TargetMode="External" /><Relationship Type="http://schemas.openxmlformats.org/officeDocument/2006/relationships/hyperlink" Id="rId70" Target="http://www.ncbi.nlm.nih.gov/pubmed/15308962" TargetMode="External" /><Relationship Type="http://schemas.openxmlformats.org/officeDocument/2006/relationships/hyperlink" Id="rId59" Target="http://www.ncbi.nlm.nih.gov/pubmed/22526092" TargetMode="External" /><Relationship Type="http://schemas.openxmlformats.org/officeDocument/2006/relationships/hyperlink" Id="rId60" Target="http://www.ncbi.nlm.nih.gov/pubmed/23386673" TargetMode="External" /><Relationship Type="http://schemas.openxmlformats.org/officeDocument/2006/relationships/hyperlink" Id="rId66" Target="http://www.ncbi.nlm.nih.gov/pubmed/25298321" TargetMode="External" /><Relationship Type="http://schemas.openxmlformats.org/officeDocument/2006/relationships/hyperlink" Id="rId88" Target="http://www.ncbi.nlm.nih.gov/pubmed/25411050" TargetMode="External" /><Relationship Type="http://schemas.openxmlformats.org/officeDocument/2006/relationships/hyperlink" Id="rId68" Target="http://www.ncbi.nlm.nih.gov/pubmed/27061298 http://www.pubmedcentral.nih.gov/articlerender.fcgi?artid=PMC4849733 http://doi.wiley.com/10.1002/gepi.21965" TargetMode="External" /><Relationship Type="http://schemas.openxmlformats.org/officeDocument/2006/relationships/hyperlink" Id="rId90" Target="http://www.ncbi.nlm.nih.gov/pubmed/27439390 http://www.pubmedcentral.nih.gov/articlerender.fcgi?artid=PMC5036871" TargetMode="External" /><Relationship Type="http://schemas.openxmlformats.org/officeDocument/2006/relationships/hyperlink" Id="rId51" Target="http://www.pubmedcentral.nih.gov/articlerender.fcgi?artid=2387136{\&amp;}tool=pmcentrez{\&amp;}rendertype=abstract" TargetMode="External" /><Relationship Type="http://schemas.openxmlformats.org/officeDocument/2006/relationships/hyperlink" Id="rId54" Target="http://www.pubmedcentral.nih.gov/articlerender.fcgi?artid=2765368{\&amp;}tool=pmcentrez{\&amp;}rendertype=abstract" TargetMode="External" /><Relationship Type="http://schemas.openxmlformats.org/officeDocument/2006/relationships/hyperlink" Id="rId50" Target="http://www.pubmedcentral.nih.gov/articlerender.fcgi?artid=3224661{\&amp;}tool=pmcentrez{\&amp;}rendertype=abstract" TargetMode="External" /><Relationship Type="http://schemas.openxmlformats.org/officeDocument/2006/relationships/hyperlink" Id="rId87" Target="http://www.pubmedcentral.nih.gov/articlerender.fcgi?artid=3304531{\&amp;}tool=pmcentrez{\&amp;}rendertype=abstract" TargetMode="External" /><Relationship Type="http://schemas.openxmlformats.org/officeDocument/2006/relationships/hyperlink" Id="rId57" Target="http://www.pubmedcentral.nih.gov/articlerender.fcgi?artid=3532182{\&amp;}tool=pmcentrez{\&amp;}rendertype=abstract" TargetMode="External" /><Relationship Type="http://schemas.openxmlformats.org/officeDocument/2006/relationships/hyperlink" Id="rId56" Target="http://www.pubmedcentral.nih.gov/articlerender.fcgi?artid=3592906{\&amp;}tool=pmcentrez{\&amp;}rendertype=abstract" TargetMode="External" /><Relationship Type="http://schemas.openxmlformats.org/officeDocument/2006/relationships/hyperlink" Id="rId64" Target="http://www.pubmedcentral.nih.gov/articlerender.fcgi?artid=3598632{\&amp;}tool=pmcentrez{\&amp;}rendertype=abstract" TargetMode="External" /><Relationship Type="http://schemas.openxmlformats.org/officeDocument/2006/relationships/hyperlink" Id="rId55" Target="http://www.pubmedcentral.nih.gov/articlerender.fcgi?artid=3687782{\&amp;}tool=pmcentrez{\&amp;}rendertype=abstract" TargetMode="External" /><Relationship Type="http://schemas.openxmlformats.org/officeDocument/2006/relationships/hyperlink" Id="rId69" Target="http://www.pubmedcentral.nih.gov/articlerender.fcgi?artid=3783091{\&amp;}tool=pmcentrez{\&amp;}rendertype=abstract" TargetMode="External" /><Relationship Type="http://schemas.openxmlformats.org/officeDocument/2006/relationships/hyperlink" Id="rId72" Target="http://www.pubmedcentral.nih.gov/articlerender.fcgi?artid=3855153{\&amp;}tool=pmcentrez{\&amp;}rendertype=abstract" TargetMode="External" /><Relationship Type="http://schemas.openxmlformats.org/officeDocument/2006/relationships/hyperlink" Id="rId63" Target="http://www.pubmedcentral.nih.gov/articlerender.fcgi?artid=3916313{\&amp;}tool=pmcentrez{\&amp;}rendertype=abstract" TargetMode="External" /><Relationship Type="http://schemas.openxmlformats.org/officeDocument/2006/relationships/hyperlink" Id="rId65" Target="http://www.pubmedcentral.nih.gov/articlerender.fcgi?artid=4284644{\&amp;}tool=pmcentrez{\&amp;}rendertype=abstract" TargetMode="External" /><Relationship Type="http://schemas.openxmlformats.org/officeDocument/2006/relationships/hyperlink" Id="rId67" Target="http://www.pubmedcentral.nih.gov/articlerender.fcgi?artid=4340086{\&amp;}tool=pmcentrez{\&amp;}rendertype=abstract" TargetMode="External" /><Relationship Type="http://schemas.openxmlformats.org/officeDocument/2006/relationships/hyperlink" Id="rId89" Target="http://www.pubmedcentral.nih.gov/articlerender.fcgi?artid=4469795{\&amp;}tool=pmcentrez{\&amp;}rendertype=abstract" TargetMode="External" /><Relationship Type="http://schemas.openxmlformats.org/officeDocument/2006/relationships/hyperlink" Id="rId32" Target="http://wwww.mrbase.org" TargetMode="External" /><Relationship Type="http://schemas.openxmlformats.org/officeDocument/2006/relationships/hyperlink" Id="rId71" Target="https://academic.oup.com/ije/article-lookup/doi/10.1093/ije/dys141" TargetMode="External" /><Relationship Type="http://schemas.openxmlformats.org/officeDocument/2006/relationships/hyperlink" Id="rId75" Target="https://academic.oup.com/ije/article-lookup/doi/10.1093/ije/dyw314" TargetMode="External" /><Relationship Type="http://schemas.openxmlformats.org/officeDocument/2006/relationships/hyperlink" Id="rId74" Target="https://books.google.com/books?id=8SLUCgAAQBAJ{\&amp;}pgis=1" TargetMode="External" /><Relationship Type="http://schemas.openxmlformats.org/officeDocument/2006/relationships/hyperlink" Id="rId31" Target="https://github.com/explodecomputer/causal-directions" TargetMode="External" /><Relationship Type="http://schemas.openxmlformats.org/officeDocument/2006/relationships/hyperlink" Id="rId76" Target="https://www.jstatsoft.org/index.php/jss/article/view/v023i04/v23i04.pdf" TargetMode="External" /><Relationship Type="http://schemas.openxmlformats.org/officeDocument/2006/relationships/hyperlink" Id="rId79"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genetic instruments</dc:title>
  <dc:creator/>
  <dcterms:created xsi:type="dcterms:W3CDTF">2017-03-11T00:53:20Z</dcterms:created>
  <dcterms:modified xsi:type="dcterms:W3CDTF">2017-03-11T00:53:20Z</dcterms:modified>
</cp:coreProperties>
</file>