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227A3" w14:textId="77777777" w:rsidR="00A86D32" w:rsidRDefault="0048619F">
      <w:pPr>
        <w:pStyle w:val="Title"/>
      </w:pPr>
      <w:r>
        <w:t>Inferring the existence and direction of causal associations in the face of measurement error</w:t>
      </w:r>
    </w:p>
    <w:p w14:paraId="37F7859C" w14:textId="77777777" w:rsidR="00A86D32" w:rsidRDefault="0048619F">
      <w:pPr>
        <w:pStyle w:val="Date"/>
      </w:pPr>
      <w:r>
        <w:t>01 February 2017</w:t>
      </w:r>
    </w:p>
    <w:p w14:paraId="2DCD9301" w14:textId="77777777" w:rsidR="00A86D32" w:rsidRDefault="0048619F">
      <w:pPr>
        <w:pStyle w:val="FirstParagraph"/>
      </w:pPr>
      <w:r>
        <w:t>Gibran Hemani*, Kate Tilling and George Davey Smith</w:t>
      </w:r>
    </w:p>
    <w:p w14:paraId="428D6554" w14:textId="77777777" w:rsidR="00A86D32" w:rsidRDefault="0048619F">
      <w:pPr>
        <w:pStyle w:val="BodyText"/>
      </w:pPr>
      <w:r>
        <w:t>MRC Integrative Epidemiology Unit (IEU) at the University of Bristol, School of Social and Community Medicine, Bristol, UK</w:t>
      </w:r>
    </w:p>
    <w:p w14:paraId="45752ACC" w14:textId="77777777" w:rsidR="00A86D32" w:rsidRDefault="0048619F">
      <w:pPr>
        <w:pStyle w:val="BodyText"/>
      </w:pPr>
      <w:r>
        <w:t xml:space="preserve">* Correspondence to: </w:t>
      </w:r>
      <w:hyperlink r:id="rId9">
        <w:r>
          <w:rPr>
            <w:rStyle w:val="Hyperlink"/>
          </w:rPr>
          <w:t>g.hemani@bristol.ac.uk</w:t>
        </w:r>
      </w:hyperlink>
    </w:p>
    <w:p w14:paraId="3AF7A170" w14:textId="77777777" w:rsidR="00A86D32" w:rsidRDefault="0048619F">
      <w:pPr>
        <w:pStyle w:val="Heading3"/>
      </w:pPr>
      <w:bookmarkStart w:id="0" w:name="abstract"/>
      <w:bookmarkEnd w:id="0"/>
      <w:r>
        <w:t>Abstract</w:t>
      </w:r>
    </w:p>
    <w:p w14:paraId="48F90A8C" w14:textId="6571694D" w:rsidR="00A86D32" w:rsidRDefault="0048619F">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w:t>
      </w:r>
      <w:proofErr w:type="spellStart"/>
      <w:r>
        <w:t>randomisation</w:t>
      </w:r>
      <w:proofErr w:type="spellEnd"/>
      <w:r>
        <w:t xml:space="preserve">, a method that uses genetic associations in an instrumentation </w:t>
      </w:r>
      <w:proofErr w:type="gramStart"/>
      <w:r>
        <w:t>framework, that</w:t>
      </w:r>
      <w:proofErr w:type="gramEnd"/>
      <w:r>
        <w:t xml:space="preserve">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w:t>
      </w:r>
      <w:commentRangeStart w:id="1"/>
      <w:r>
        <w:t>its sensitivity to measurement error can be evaluated</w:t>
      </w:r>
      <w:commentRangeEnd w:id="1"/>
      <w:r w:rsidR="00025377">
        <w:rPr>
          <w:rStyle w:val="CommentReference"/>
        </w:rPr>
        <w:commentReference w:id="1"/>
      </w:r>
      <w:r>
        <w:t xml:space="preserve">.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w:t>
      </w:r>
      <w:proofErr w:type="spellStart"/>
      <w:r>
        <w:t>emphasise</w:t>
      </w:r>
      <w:proofErr w:type="spellEnd"/>
      <w:r>
        <w:t xml:space="preserve"> that, where possible, implementing MR alongside other approaches such as CIT is important to triangulate reliable conclusions about causality.</w:t>
      </w:r>
    </w:p>
    <w:p w14:paraId="151673EE" w14:textId="77777777" w:rsidR="00A86D32" w:rsidRDefault="0048619F">
      <w:pPr>
        <w:pStyle w:val="Heading2"/>
      </w:pPr>
      <w:bookmarkStart w:id="2" w:name="introduction"/>
      <w:bookmarkEnd w:id="2"/>
      <w:r>
        <w:t>Introduction</w:t>
      </w:r>
    </w:p>
    <w:p w14:paraId="196A277D" w14:textId="1777B451" w:rsidR="00A86D32" w:rsidRDefault="0048619F">
      <w:pPr>
        <w:pStyle w:val="FirstParagraph"/>
      </w:pPr>
      <w:r>
        <w:t>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1–3</w:t>
      </w:r>
      <w:r>
        <w:t>.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3–6</w:t>
      </w:r>
      <w:r>
        <w:t>. However, potential pitfalls remain and one that is often neglected is the influence of non-differential measurement error on the reliability of causal inference.</w:t>
      </w:r>
    </w:p>
    <w:p w14:paraId="18799877" w14:textId="747C365C" w:rsidR="00A86D32" w:rsidRDefault="0048619F">
      <w:pPr>
        <w:pStyle w:val="BodyText"/>
      </w:pPr>
      <w:r>
        <w:lastRenderedPageBreak/>
        <w:t>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7,8</w:t>
      </w:r>
      <w:r>
        <w:t>.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9</w:t>
      </w:r>
      <w:proofErr w:type="gramStart"/>
      <w:r>
        <w:rPr>
          <w:vertAlign w:val="superscript"/>
        </w:rPr>
        <w:t>,10</w:t>
      </w:r>
      <w:proofErr w:type="gramEnd"/>
      <w:r>
        <w:t>.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11</w:t>
      </w:r>
      <w:r>
        <w:t>.</w:t>
      </w:r>
    </w:p>
    <w:p w14:paraId="640E1B2E" w14:textId="460E9CAE" w:rsidR="00A86D32" w:rsidRDefault="0048619F">
      <w:pPr>
        <w:pStyle w:val="BodyText"/>
      </w:pPr>
      <w:r>
        <w:t>Measurement error will of course arise in other types of data too</w:t>
      </w:r>
      <w:r w:rsidR="00025377">
        <w:t>. F</w:t>
      </w:r>
      <w:r>
        <w:t>or example when measuring BMI one is typically interested in using this as a proxy for adiposity, but it is clear that the correlation between BMI and underlying adiposity is not perfect</w:t>
      </w:r>
      <w:r>
        <w:rPr>
          <w:vertAlign w:val="superscript"/>
        </w:rPr>
        <w:t>12</w:t>
      </w:r>
      <w:r>
        <w:t>.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8</w:t>
      </w:r>
      <w:r>
        <w:t>, and its impact has been explored in the epidemiological literature extensively</w:t>
      </w:r>
      <w:r>
        <w:rPr>
          <w:vertAlign w:val="superscript"/>
        </w:rPr>
        <w:t>13</w:t>
      </w:r>
      <w:proofErr w:type="gramStart"/>
      <w:r>
        <w:rPr>
          <w:vertAlign w:val="superscript"/>
        </w:rPr>
        <w:t>,14</w:t>
      </w:r>
      <w:proofErr w:type="gramEnd"/>
      <w:r>
        <w:t>. Given the near-ubiquitous presence of measurement error in phenomic data it is vital to understand its impact on the tools we use for causal inference.</w:t>
      </w:r>
    </w:p>
    <w:p w14:paraId="0C35A12F" w14:textId="77777777" w:rsidR="00A86D32" w:rsidRDefault="0048619F">
      <w:pPr>
        <w:pStyle w:val="BodyText"/>
      </w:pPr>
      <w:r>
        <w:t>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15,16</w:t>
      </w:r>
      <w:r>
        <w:t>. Two statistical approaches to exploiting the properties of genetic instruments are widely used: mediation-based approaches and Mendelian randomisation (MR).</w:t>
      </w:r>
    </w:p>
    <w:p w14:paraId="00754A04" w14:textId="77777777" w:rsidR="00A86D32" w:rsidRDefault="0048619F">
      <w:pPr>
        <w:pStyle w:val="BodyText"/>
      </w:pPr>
      <w:r>
        <w:t xml:space="preserve">Mediation-based approaches employ genetic instruments (typically single nucleotide polymorphisms, SNPs) to orient the causal direction between the exposure and the outcome. If a SNP is associated with an exposure, and the </w:t>
      </w:r>
      <w:r>
        <w:lastRenderedPageBreak/>
        <w:t>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17</w:t>
      </w:r>
      <w:r>
        <w:t>, the regression-based causal inference test (</w:t>
      </w:r>
      <w:proofErr w:type="gramStart"/>
      <w:r>
        <w:t>CIT)</w:t>
      </w:r>
      <w:r>
        <w:rPr>
          <w:vertAlign w:val="superscript"/>
        </w:rPr>
        <w:t>4,18</w:t>
      </w:r>
      <w:proofErr w:type="gramEnd"/>
      <w:r>
        <w:t>, a structural equation modelling (SEM) implementation in the NEO software</w:t>
      </w:r>
      <w:r>
        <w:rPr>
          <w:vertAlign w:val="superscript"/>
        </w:rPr>
        <w:t>5</w:t>
      </w:r>
      <w:r>
        <w:t>, and various other methods including Bayesian approaches</w:t>
      </w:r>
      <w:r>
        <w:rPr>
          <w:vertAlign w:val="superscript"/>
        </w:rPr>
        <w:t>6</w:t>
      </w:r>
      <w:r>
        <w:t>. They have been employed by a number of recent publications that make causal inferences in large scale ‘omics datasets</w:t>
      </w:r>
      <w:r>
        <w:rPr>
          <w:vertAlign w:val="superscript"/>
        </w:rPr>
        <w:t>6</w:t>
      </w:r>
      <w:proofErr w:type="gramStart"/>
      <w:r>
        <w:rPr>
          <w:vertAlign w:val="superscript"/>
        </w:rPr>
        <w:t>,19</w:t>
      </w:r>
      <w:proofErr w:type="gramEnd"/>
      <w:r>
        <w:rPr>
          <w:vertAlign w:val="superscript"/>
        </w:rPr>
        <w:t>–23</w:t>
      </w:r>
      <w:r>
        <w:t>.</w:t>
      </w:r>
    </w:p>
    <w:p w14:paraId="2EA528F0" w14:textId="14477897" w:rsidR="00A86D32" w:rsidRDefault="0048619F">
      <w:pPr>
        <w:pStyle w:val="BodyText"/>
      </w:pPr>
      <w:r>
        <w:t>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24</w:t>
      </w:r>
      <w:proofErr w:type="gramStart"/>
      <w:r>
        <w:rPr>
          <w:vertAlign w:val="superscript"/>
        </w:rPr>
        <w:t>,25</w:t>
      </w:r>
      <w:proofErr w:type="gramEnd"/>
      <w:r>
        <w:t xml:space="preserve"> and a number of sensitivity tests are now available to improve reliability</w:t>
      </w:r>
      <w:r>
        <w:rPr>
          <w:vertAlign w:val="superscript"/>
        </w:rPr>
        <w:t>26</w:t>
      </w:r>
      <w:r>
        <w:t>.</w:t>
      </w:r>
    </w:p>
    <w:p w14:paraId="11203C7C" w14:textId="14E9F40D" w:rsidR="00A86D32" w:rsidRDefault="0048619F">
      <w:pPr>
        <w:pStyle w:val="BodyText"/>
      </w:pPr>
      <w:r>
        <w:t>By utilising genetic instruments in different ways, mediation-based analysis and MR models have properties that confer some advantages and some disadvantages for reliable causal inference. An important advantage of mediation-based analysis is that in order to infer the causal direction the true underlying biology of the genetic instrument doesn't necessarily need to be known as long as it associates with the putative exposure.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14:paraId="1CBD0FFE" w14:textId="152CBC71" w:rsidR="00A86D32" w:rsidRDefault="0048619F">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w:t>
      </w:r>
      <w:r>
        <w:lastRenderedPageBreak/>
        <w:t>by design, hypothesis free and agnostic of genomic function, and it often takes years of follow up studies to understand the biological nature of a putative GWAS hit</w:t>
      </w:r>
      <w:r>
        <w:rPr>
          <w:vertAlign w:val="superscript"/>
        </w:rPr>
        <w:t>27</w:t>
      </w:r>
      <w:r>
        <w:t xml:space="preserve">. If multiple instruments are available for </w:t>
      </w:r>
      <w:proofErr w:type="gramStart"/>
      <w:r>
        <w:t>an</w:t>
      </w:r>
      <w:proofErr w:type="gramEnd"/>
      <w:r>
        <w:t xml:space="preserve"> hypothesised exposure, which is increasingly typical for complex traits that are </w:t>
      </w:r>
      <w:proofErr w:type="spellStart"/>
      <w:r>
        <w:t>analysed</w:t>
      </w:r>
      <w:proofErr w:type="spellEnd"/>
      <w:r>
        <w:t xml:space="preserve"> in large GWAS consortia, then techniques can be applied to mitigate these issues</w:t>
      </w:r>
      <w:r>
        <w:rPr>
          <w:vertAlign w:val="superscript"/>
        </w:rPr>
        <w:t>16</w:t>
      </w:r>
      <w:r>
        <w:t>.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14:paraId="1C1B422E" w14:textId="1AF828FF" w:rsidR="00A86D32" w:rsidRDefault="0048619F">
      <w:pPr>
        <w:pStyle w:val="BodyText"/>
      </w:pPr>
      <w:commentRangeStart w:id="3"/>
      <w:r>
        <w:t>MR does however have some important advantages over the mediation-based approaches</w:t>
      </w:r>
      <w:commentRangeEnd w:id="3"/>
      <w:r w:rsidR="000D5216">
        <w:rPr>
          <w:rStyle w:val="CommentReference"/>
        </w:rPr>
        <w:commentReference w:id="3"/>
      </w:r>
      <w:r>
        <w: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28</w:t>
      </w:r>
      <w:r>
        <w:t>. This has the crucial advantage of improving statistical power by allowing analysis in much larger sample sizes, and dramatically expands the breadth of possible phenotypic relationships that can be evaluated</w:t>
      </w:r>
      <w:r>
        <w:rPr>
          <w:vertAlign w:val="superscript"/>
        </w:rPr>
        <w:t>26</w:t>
      </w:r>
      <w:r>
        <w:t xml:space="preserve">. Additionally, when MR assumptions are satisfied the method is </w:t>
      </w:r>
      <w:commentRangeStart w:id="4"/>
      <w:r>
        <w:t xml:space="preserve">substantially more robust to </w:t>
      </w:r>
      <w:commentRangeEnd w:id="4"/>
      <w:r w:rsidR="000D5216">
        <w:rPr>
          <w:rStyle w:val="CommentReference"/>
        </w:rPr>
        <w:commentReference w:id="4"/>
      </w:r>
      <w:r>
        <w:t>there being measurement error in the exposure variable. Indeed instrumental variable (IV) analysis was in part initially introduced as a correction for measurement error in the exposure</w:t>
      </w:r>
      <w:r>
        <w:rPr>
          <w:vertAlign w:val="superscript"/>
        </w:rPr>
        <w:t>29</w:t>
      </w:r>
      <w:r>
        <w:t>, whereas it has been noted that both classic mediation-based analyses</w:t>
      </w:r>
      <w:r>
        <w:rPr>
          <w:vertAlign w:val="superscript"/>
        </w:rPr>
        <w:t>13,14,30,31</w:t>
      </w:r>
      <w:r>
        <w:t xml:space="preserve"> and mediation-based methods that use instrumental variables</w:t>
      </w:r>
      <w:r>
        <w:rPr>
          <w:vertAlign w:val="superscript"/>
        </w:rPr>
        <w:t>32,33</w:t>
      </w:r>
      <w:r>
        <w:t xml:space="preserve"> are prone to be unreliable in its presence.</w:t>
      </w:r>
    </w:p>
    <w:p w14:paraId="5CC691B3" w14:textId="0316F0D3" w:rsidR="00A86D32" w:rsidRDefault="0048619F">
      <w:pPr>
        <w:pStyle w:val="BodyText"/>
      </w:pPr>
      <w:r>
        <w:t>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of this extension to measurement error. This improves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34</w:t>
      </w:r>
      <w:r>
        <w:t>.</w:t>
      </w:r>
    </w:p>
    <w:p w14:paraId="48D05DF3" w14:textId="77777777" w:rsidR="00A86D32" w:rsidRDefault="0048619F">
      <w:pPr>
        <w:pStyle w:val="Heading2"/>
      </w:pPr>
      <w:bookmarkStart w:id="5" w:name="methods"/>
      <w:bookmarkEnd w:id="5"/>
      <w:commentRangeStart w:id="6"/>
      <w:r>
        <w:t>Methods</w:t>
      </w:r>
      <w:commentRangeEnd w:id="6"/>
      <w:r w:rsidR="00DE742C">
        <w:rPr>
          <w:rStyle w:val="CommentReference"/>
          <w:rFonts w:asciiTheme="minorHAnsi" w:eastAsiaTheme="minorHAnsi" w:hAnsiTheme="minorHAnsi" w:cstheme="minorBidi"/>
          <w:b w:val="0"/>
          <w:bCs w:val="0"/>
          <w:color w:val="auto"/>
        </w:rPr>
        <w:commentReference w:id="6"/>
      </w:r>
    </w:p>
    <w:p w14:paraId="7CB1143B" w14:textId="3BC21A02" w:rsidR="00A86D32" w:rsidRDefault="0048619F">
      <w:pPr>
        <w:pStyle w:val="FirstParagraph"/>
      </w:pPr>
      <w:commentRangeStart w:id="7"/>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w:t>
      </w:r>
      <w:commentRangeEnd w:id="7"/>
      <w:r w:rsidR="00BC7F8A">
        <w:rPr>
          <w:rStyle w:val="CommentReference"/>
        </w:rPr>
        <w:lastRenderedPageBreak/>
        <w:commentReference w:id="7"/>
      </w:r>
      <w:r>
        <w:t>directly acting upon. All analysis was performed using the R programming language</w:t>
      </w:r>
      <w:r>
        <w:rPr>
          <w:vertAlign w:val="superscript"/>
        </w:rPr>
        <w:t>35</w:t>
      </w:r>
      <w:r>
        <w:t xml:space="preserve"> and code is made available at </w:t>
      </w:r>
      <w:hyperlink>
        <w:r>
          <w:rPr>
            <w:rStyle w:val="Hyperlink"/>
          </w:rPr>
          <w:t>github url to go here</w:t>
        </w:r>
      </w:hyperlink>
      <w:r>
        <w:t xml:space="preserve"> and implemented in the MR-Base (</w:t>
      </w:r>
      <w:hyperlink r:id="rId11">
        <w:r>
          <w:rPr>
            <w:rStyle w:val="Hyperlink"/>
          </w:rPr>
          <w:t>http://wwww.mrbase.org</w:t>
        </w:r>
      </w:hyperlink>
      <w:r>
        <w:t>) platform</w:t>
      </w:r>
      <w:r>
        <w:rPr>
          <w:vertAlign w:val="superscript"/>
        </w:rPr>
        <w:t>26</w:t>
      </w:r>
      <w:r>
        <w:t>.</w:t>
      </w:r>
    </w:p>
    <w:p w14:paraId="30621D49" w14:textId="77777777" w:rsidR="00A86D32" w:rsidRDefault="0048619F">
      <w:pPr>
        <w:pStyle w:val="Heading3"/>
      </w:pPr>
      <w:bookmarkStart w:id="8" w:name="cit-test"/>
      <w:bookmarkEnd w:id="8"/>
      <w:r>
        <w:t>CIT test</w:t>
      </w:r>
    </w:p>
    <w:p w14:paraId="3F0A4B1E" w14:textId="22BC99BD" w:rsidR="00A86D32" w:rsidRDefault="0048619F">
      <w:pPr>
        <w:pStyle w:val="FirstParagraph"/>
      </w:pPr>
      <w:r>
        <w:t>The CIT method</w:t>
      </w:r>
      <w:r>
        <w:rPr>
          <w:vertAlign w:val="superscript"/>
        </w:rPr>
        <w:t>4</w:t>
      </w:r>
      <w:r>
        <w:t xml:space="preserve"> is implemented in the R package </w:t>
      </w:r>
      <w:r>
        <w:rPr>
          <w:i/>
        </w:rPr>
        <w:t>R/cit</w:t>
      </w:r>
      <w:r>
        <w:rPr>
          <w:vertAlign w:val="superscript"/>
        </w:rPr>
        <w:t>18</w:t>
      </w:r>
      <w:r>
        <w:t xml:space="preserve">. The methodology of the CIT is as follows. Assume an exposure </w:t>
      </w:r>
      <m:oMath>
        <m:r>
          <w:rPr>
            <w:rFonts w:ascii="Cambria Math" w:hAnsi="Cambria Math"/>
          </w:rPr>
          <m:t>x</m:t>
        </m:r>
      </m:oMath>
      <w:r>
        <w:t xml:space="preserve"> is instrumented by a SNP </w:t>
      </w:r>
      <m:oMath>
        <m:r>
          <w:rPr>
            <w:rFonts w:ascii="Cambria Math" w:hAnsi="Cambria Math"/>
          </w:rPr>
          <m:t>g</m:t>
        </m:r>
      </m:oMath>
      <w:r>
        <w:t xml:space="preserve">, and the exposure </w:t>
      </w:r>
      <m:oMath>
        <m:r>
          <w:rPr>
            <w:rFonts w:ascii="Cambria Math" w:hAnsi="Cambria Math"/>
          </w:rPr>
          <m:t>x</m:t>
        </m:r>
      </m:oMath>
      <w:r>
        <w:t xml:space="preserve"> </w:t>
      </w:r>
      <w:r w:rsidR="00A27BD6">
        <w:t>causes</w:t>
      </w:r>
      <w:r>
        <w:t xml:space="preserve"> an outcome </w:t>
      </w:r>
      <m:oMath>
        <m:r>
          <w:rPr>
            <w:rFonts w:ascii="Cambria Math" w:hAnsi="Cambria Math"/>
          </w:rPr>
          <m:t>y</m:t>
        </m:r>
      </m:oMath>
      <w:r>
        <w:t>. Thus,</w:t>
      </w:r>
    </w:p>
    <w:commentRangeStart w:id="9"/>
    <w:commentRangeStart w:id="10"/>
    <w:p w14:paraId="08F09053"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
          <w:commentRangeEnd w:id="9"/>
          <w:commentRangeEnd w:id="10"/>
          <m:r>
            <m:rPr>
              <m:sty m:val="p"/>
            </m:rPr>
            <w:rPr>
              <w:rStyle w:val="CommentReference"/>
            </w:rPr>
            <w:commentReference w:id="9"/>
          </m:r>
          <m:r>
            <m:rPr>
              <m:sty m:val="p"/>
            </m:rPr>
            <w:rPr>
              <w:rStyle w:val="CommentReference"/>
            </w:rPr>
            <w:commentReference w:id="10"/>
          </m:r>
        </m:oMath>
      </m:oMathPara>
    </w:p>
    <w:p w14:paraId="0FDD6C23" w14:textId="77777777" w:rsidR="00A86D32" w:rsidRDefault="0048619F">
      <w:pPr>
        <w:pStyle w:val="FirstParagraph"/>
      </w:pPr>
      <w:r>
        <w:t>The following tests are then performed:</w:t>
      </w:r>
    </w:p>
    <w:p w14:paraId="3C8A4618" w14:textId="77777777" w:rsidR="00A86D32" w:rsidRDefault="003151AA"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:cov(g,x)=0;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:cov(g,x)≠0</m:t>
        </m:r>
      </m:oMath>
      <w:r w:rsidR="0048619F">
        <w:t xml:space="preserve">; </w:t>
      </w:r>
      <w:r w:rsidR="0048619F">
        <w:rPr>
          <w:i/>
        </w:rPr>
        <w:t>the SNP associates with the exposure</w:t>
      </w:r>
    </w:p>
    <w:p w14:paraId="1FAFD638" w14:textId="77777777" w:rsidR="00A86D32" w:rsidRDefault="003151AA"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:cov(g,y)≠0</m:t>
        </m:r>
      </m:oMath>
      <w:r w:rsidR="0048619F">
        <w:t xml:space="preserve">; </w:t>
      </w:r>
      <w:r w:rsidR="0048619F">
        <w:rPr>
          <w:i/>
        </w:rPr>
        <w:t>the SNP associates with the outcome</w:t>
      </w:r>
    </w:p>
    <w:p w14:paraId="37B9F178" w14:textId="77777777" w:rsidR="00A86D32" w:rsidRDefault="003151AA"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:cov(x,y)=0;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:cov(x,y)≠0</m:t>
        </m:r>
      </m:oMath>
      <w:r w:rsidR="0048619F">
        <w:t xml:space="preserve">; </w:t>
      </w:r>
      <w:r w:rsidR="0048619F">
        <w:rPr>
          <w:i/>
        </w:rPr>
        <w:t>the exposure associates with the outcome</w:t>
      </w:r>
    </w:p>
    <w:p w14:paraId="73715B3D" w14:textId="77777777" w:rsidR="00A86D32" w:rsidRDefault="003151AA" w:rsidP="001A6BC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rsidR="0048619F">
        <w:t xml:space="preserve">; </w:t>
      </w:r>
      <w:proofErr w:type="gramStart"/>
      <w:r w:rsidR="0048619F">
        <w:rPr>
          <w:i/>
        </w:rPr>
        <w:t>the</w:t>
      </w:r>
      <w:proofErr w:type="gramEnd"/>
      <w:r w:rsidR="0048619F">
        <w:rPr>
          <w:i/>
        </w:rPr>
        <w:t xml:space="preserve"> SNP is independent of the outcome when the outcome is adjusted for the exposure</w:t>
      </w:r>
    </w:p>
    <w:p w14:paraId="5EC61A69" w14:textId="3862ADCB" w:rsidR="00A86D32" w:rsidRDefault="0048619F">
      <w:pPr>
        <w:pStyle w:val="FirstParagraph"/>
      </w:pPr>
      <w:proofErr w:type="gramStart"/>
      <w:r>
        <w:t>where</w:t>
      </w:r>
      <w:proofErr w:type="gramEnd"/>
      <w:r>
        <w:t xml:space="preserve"> </w:t>
      </w:r>
      <m:oMath>
        <m:r>
          <w:rPr>
            <w:rFonts w:ascii="Cambria Math" w:hAnsi="Cambria Math"/>
          </w:rPr>
          <m:t>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x</m:t>
        </m:r>
      </m:oMath>
      <w:r>
        <w:t xml:space="preserve"> is the residual of </w:t>
      </w:r>
      <m:oMath>
        <m:r>
          <w:rPr>
            <w:rFonts w:ascii="Cambria Math" w:hAnsi="Cambria Math"/>
          </w:rPr>
          <m:t>y</m:t>
        </m:r>
      </m:oMath>
      <w:r>
        <w:t xml:space="preserve"> after adjusting for </w:t>
      </w:r>
      <m:oMath>
        <m:r>
          <w:rPr>
            <w:rFonts w:ascii="Cambria Math" w:hAnsi="Cambria Math"/>
          </w:rPr>
          <m:t>x</m:t>
        </m:r>
      </m:oMath>
      <w:r>
        <w:t xml:space="preserve">, where </w:t>
      </w:r>
      <m:oMath>
        <m:r>
          <w:rPr>
            <w:rFonts w:ascii="Cambria Math" w:hAnsi="Cambria Math"/>
          </w:rPr>
          <m:t>x</m:t>
        </m:r>
      </m:oMath>
      <w:r>
        <w:t xml:space="preserve"> is assumed to mediate the association between the SNP and the outcome. If all four tests reject the null hypothesis then it is inferred that </w:t>
      </w:r>
      <m:oMath>
        <m:r>
          <w:rPr>
            <w:rFonts w:ascii="Cambria Math" w:hAnsi="Cambria Math"/>
          </w:rPr>
          <m:t>x</m:t>
        </m:r>
      </m:oMath>
      <w:r>
        <w:t xml:space="preserve"> </w:t>
      </w:r>
      <w:r w:rsidR="00BC7F8A">
        <w:t>causes</w:t>
      </w:r>
      <w:r>
        <w:t xml:space="preserve"> </w:t>
      </w:r>
      <m:oMath>
        <m:r>
          <w:rPr>
            <w:rFonts w:ascii="Cambria Math" w:hAnsi="Cambria Math"/>
          </w:rPr>
          <m:t>y</m:t>
        </m:r>
      </m:oMath>
      <w:r>
        <w:t xml:space="preserve">. The CIT measures the strength of causality by generating an omnibus p-value, </w:t>
      </w:r>
      <m:oMath>
        <m:sSub>
          <m:sSubPr>
            <m:ctrlPr>
              <w:rPr>
                <w:rFonts w:ascii="Cambria Math" w:hAnsi="Cambria Math"/>
              </w:rPr>
            </m:ctrlPr>
          </m:sSubPr>
          <m:e>
            <m:r>
              <w:rPr>
                <w:rFonts w:ascii="Cambria Math" w:hAnsi="Cambria Math"/>
              </w:rPr>
              <m:t>p</m:t>
            </m:r>
          </m:e>
          <m:sub>
            <m:r>
              <w:rPr>
                <w:rFonts w:ascii="Cambria Math" w:hAnsi="Cambria Math"/>
              </w:rPr>
              <m:t>CIT</m:t>
            </m:r>
          </m:sub>
        </m:sSub>
      </m:oMath>
      <w:r>
        <w:t>, which is simply the largest (least extreme) p-value of the four tests, the intuition being that causal inference is only as strong as the weakest link in the chain of tests.</w:t>
      </w:r>
    </w:p>
    <w:p w14:paraId="70F013AB" w14:textId="18633122" w:rsidR="00A86D32" w:rsidRDefault="0048619F">
      <w:pPr>
        <w:pStyle w:val="BodyText"/>
      </w:pPr>
      <w:r>
        <w:t xml:space="preserve">In these analyses the </w:t>
      </w:r>
      <w:r>
        <w:rPr>
          <w:i/>
        </w:rPr>
        <w:t>cit.cp</w:t>
      </w:r>
      <w:r>
        <w:t xml:space="preserve"> function was used to obtain an omnibus p-value. To infer the direction of causality using the CIT method, an omnibus p-value generated by CIT, </w:t>
      </w:r>
      <m:oMath>
        <m:sSub>
          <m:sSubPr>
            <m:ctrlPr>
              <w:rPr>
                <w:rFonts w:ascii="Cambria Math" w:hAnsi="Cambria Math"/>
              </w:rPr>
            </m:ctrlPr>
          </m:sSubPr>
          <m:e>
            <m:r>
              <w:rPr>
                <w:rFonts w:ascii="Cambria Math" w:hAnsi="Cambria Math"/>
              </w:rPr>
              <m:t>p</m:t>
            </m:r>
          </m:e>
          <m:sub>
            <m:r>
              <w:rPr>
                <w:rFonts w:ascii="Cambria Math" w:hAnsi="Cambria Math"/>
              </w:rPr>
              <m:t>CIT</m:t>
            </m:r>
          </m:sub>
        </m:sSub>
      </m:oMath>
      <w:proofErr w:type="gramStart"/>
      <w:r>
        <w:t>,</w:t>
      </w:r>
      <w:proofErr w:type="gramEnd"/>
      <w:r>
        <w:t xml:space="preserve"> was estimated </w:t>
      </w:r>
      <w:commentRangeStart w:id="11"/>
      <w:r>
        <w:t xml:space="preserve">for the direction of </w:t>
      </w:r>
      <m:oMath>
        <m:r>
          <w:rPr>
            <w:rFonts w:ascii="Cambria Math" w:hAnsi="Cambria Math"/>
          </w:rPr>
          <m:t>x</m:t>
        </m:r>
      </m:oMath>
      <w:r>
        <w:t xml:space="preserve"> causing </w:t>
      </w:r>
      <m:oMath>
        <m:r>
          <w:rPr>
            <w:rFonts w:ascii="Cambria Math" w:hAnsi="Cambria Math"/>
          </w:rPr>
          <m:t>y</m:t>
        </m:r>
      </m:oMath>
      <w:r>
        <w:t xml:space="preserve">, and for the direction of </w:t>
      </w:r>
      <m:oMath>
        <m:r>
          <w:rPr>
            <w:rFonts w:ascii="Cambria Math" w:hAnsi="Cambria Math"/>
          </w:rPr>
          <m:t>y</m:t>
        </m:r>
      </m:oMath>
      <w:r>
        <w:t xml:space="preserve"> causing </w:t>
      </w:r>
      <m:oMath>
        <m:r>
          <w:rPr>
            <w:rFonts w:ascii="Cambria Math" w:hAnsi="Cambria Math"/>
          </w:rPr>
          <m:t>x</m:t>
        </m:r>
      </m:oMath>
      <w:r>
        <w:t xml:space="preserve">. For some significance threshold </w:t>
      </w:r>
      <m:oMath>
        <m:r>
          <w:rPr>
            <w:rFonts w:ascii="Cambria Math" w:hAnsi="Cambria Math"/>
          </w:rPr>
          <m:t>α</m:t>
        </m:r>
      </m:oMath>
      <w:r>
        <w:t>, the existence of causality and its direction was inferred based on the following scenarios:</w:t>
      </w:r>
    </w:p>
    <w:p w14:paraId="452F8C0B" w14:textId="6813C6A2" w:rsidR="00A86D32" w:rsidRDefault="0048619F" w:rsidP="001A6BC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&gt;α</m:t>
        </m:r>
      </m:oMath>
      <w:r>
        <w:t xml:space="preserve"> then the </w:t>
      </w:r>
      <m:oMath>
        <m:r>
          <w:rPr>
            <w:rFonts w:ascii="Cambria Math" w:hAnsi="Cambria Math"/>
          </w:rPr>
          <m:t>x→y</m:t>
        </m:r>
      </m:oMath>
      <w:r>
        <w:t xml:space="preserve"> model is accepted</w:t>
      </w:r>
    </w:p>
    <w:p w14:paraId="4C1C64D3" w14:textId="164CDB2A" w:rsidR="00A86D32" w:rsidRDefault="0048619F" w:rsidP="001A6BC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&gt;α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m:t>
            </m:r>
            <m:r>
              <w:rPr>
                <w:rFonts w:ascii="Cambria Math" w:hAnsi="Cambria Math"/>
              </w:rPr>
              <m:t>IT,y→x</m:t>
            </m:r>
          </m:sub>
        </m:sSub>
        <m:r>
          <w:rPr>
            <w:rFonts w:ascii="Cambria Math" w:hAnsi="Cambria Math"/>
          </w:rPr>
          <m:t>&lt;α</m:t>
        </m:r>
      </m:oMath>
      <w:r>
        <w:t xml:space="preserve"> then the </w:t>
      </w:r>
      <m:oMath>
        <m:r>
          <w:rPr>
            <w:rFonts w:ascii="Cambria Math" w:hAnsi="Cambria Math"/>
          </w:rPr>
          <m:t>y→x</m:t>
        </m:r>
      </m:oMath>
      <w:r>
        <w:t xml:space="preserve"> model is accepted</w:t>
      </w:r>
      <w:commentRangeEnd w:id="11"/>
      <w:r w:rsidR="00873C79">
        <w:rPr>
          <w:rStyle w:val="CommentReference"/>
        </w:rPr>
        <w:commentReference w:id="11"/>
      </w:r>
    </w:p>
    <w:p w14:paraId="6B9148C6" w14:textId="72B8AA93" w:rsidR="00A86D32" w:rsidRDefault="0048619F" w:rsidP="001A6BC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&gt;α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&gt;α</m:t>
        </m:r>
      </m:oMath>
      <w:r>
        <w:t xml:space="preserve"> </w:t>
      </w:r>
      <w:commentRangeStart w:id="12"/>
      <w:r>
        <w:t>then no inference is made</w:t>
      </w:r>
      <w:commentRangeEnd w:id="12"/>
      <w:r w:rsidR="00BC7F8A">
        <w:rPr>
          <w:rStyle w:val="CommentReference"/>
        </w:rPr>
        <w:commentReference w:id="12"/>
      </w:r>
    </w:p>
    <w:p w14:paraId="3FA1CF30" w14:textId="77777777" w:rsidR="00A86D32" w:rsidRDefault="0048619F">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&lt;α</m:t>
        </m:r>
      </m:oMath>
      <w:r>
        <w:t xml:space="preserve"> then the confounding model is accepted (</w:t>
      </w:r>
      <m:oMath>
        <m:r>
          <w:rPr>
            <w:rFonts w:ascii="Cambria Math" w:hAnsi="Cambria Math"/>
          </w:rPr>
          <m:t>x←g→y</m:t>
        </m:r>
      </m:oMath>
      <w:r>
        <w:t>).</w:t>
      </w:r>
    </w:p>
    <w:p w14:paraId="3D9636A2" w14:textId="2B7E16D8" w:rsidR="00A86D32" w:rsidRDefault="0048619F">
      <w:pPr>
        <w:pStyle w:val="FirstParagraph"/>
      </w:pPr>
      <w:r>
        <w:t xml:space="preserve">For the purposes of compiling simulation results we use an arbitrary </w:t>
      </w:r>
      <m:oMath>
        <m:r>
          <w:rPr>
            <w:rFonts w:ascii="Cambria Math" w:hAnsi="Cambria Math"/>
          </w:rPr>
          <m:t>α=0.05</m:t>
        </m:r>
      </m:oMath>
      <w:r>
        <w:t xml:space="preserve"> value, though we stress that for real analyses it is not good practice to rely on p-values for making causal inference, nor is it reliable to depend on arbitrary significance thresholds</w:t>
      </w:r>
      <w:r>
        <w:rPr>
          <w:vertAlign w:val="superscript"/>
        </w:rPr>
        <w:t>36</w:t>
      </w:r>
      <w:r>
        <w:t>.</w:t>
      </w:r>
    </w:p>
    <w:p w14:paraId="46BAC8A8" w14:textId="77777777" w:rsidR="00A86D32" w:rsidRDefault="0048619F">
      <w:pPr>
        <w:pStyle w:val="Heading3"/>
      </w:pPr>
      <w:bookmarkStart w:id="13" w:name="mr-causal-test"/>
      <w:bookmarkEnd w:id="13"/>
      <w:r>
        <w:lastRenderedPageBreak/>
        <w:t>MR causal test</w:t>
      </w:r>
    </w:p>
    <w:p w14:paraId="06B0ACC7" w14:textId="77777777" w:rsidR="00A86D32" w:rsidRDefault="0048619F">
      <w:pPr>
        <w:pStyle w:val="FirstParagraph"/>
      </w:pPr>
      <w:r>
        <w:t>Two stage least squares (2SLS) is a commonly used technique for performing MR when the exposure, outcome and instrument data are all available in the same sample. Assuming the following model</w:t>
      </w:r>
    </w:p>
    <w:p w14:paraId="42E0F64E"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MR</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MR</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MR</m:t>
              </m:r>
            </m:sub>
          </m:sSub>
        </m:oMath>
      </m:oMathPara>
    </w:p>
    <w:p w14:paraId="4B55E806" w14:textId="54952315" w:rsidR="00A86D32" w:rsidRDefault="0048619F">
      <w:pPr>
        <w:pStyle w:val="FirstParagraph"/>
      </w:pPr>
      <w:commentRangeStart w:id="14"/>
      <w:proofErr w:type="gramStart"/>
      <w:r>
        <w:t>where</w:t>
      </w:r>
      <w:proofErr w:type="gramEnd"/>
      <w:r>
        <w:t xml:space="preserve">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g</m:t>
        </m:r>
      </m:oMath>
      <w:r>
        <w:t xml:space="preserve">, </w:t>
      </w:r>
      <w:commentRangeEnd w:id="14"/>
      <w:r w:rsidR="00BC7F8A">
        <w:rPr>
          <w:rStyle w:val="CommentReference"/>
        </w:rPr>
        <w:commentReference w:id="14"/>
      </w:r>
      <w:r>
        <w:t xml:space="preserve">a causal relationship is inferred if the null hypothesis that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xml:space="preserve"> is rejected. A p-value for this test,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was obtained using the R package </w:t>
      </w:r>
      <m:oMath>
        <m:r>
          <w:rPr>
            <w:rFonts w:ascii="Cambria Math" w:hAnsi="Cambria Math"/>
          </w:rPr>
          <m:t>R/systemfit</m:t>
        </m:r>
      </m:oMath>
      <w:r>
        <w:rPr>
          <w:vertAlign w:val="superscript"/>
        </w:rPr>
        <w:t>37</w:t>
      </w:r>
      <w:r>
        <w:t>.</w:t>
      </w:r>
    </w:p>
    <w:p w14:paraId="39B31847" w14:textId="60BB9752" w:rsidR="00A86D32" w:rsidRDefault="0048619F">
      <w:pPr>
        <w:pStyle w:val="BodyText"/>
      </w:pPr>
      <w:r>
        <w:t xml:space="preserve">The method that we will now describe is able to distinguish between two models, </w:t>
      </w:r>
      <m:oMath>
        <m:r>
          <w:rPr>
            <w:rFonts w:ascii="Cambria Math" w:hAnsi="Cambria Math"/>
          </w:rPr>
          <m:t>x→y</m:t>
        </m:r>
      </m:oMath>
      <w:r>
        <w:t xml:space="preserve"> or </w:t>
      </w:r>
      <m:oMath>
        <m:r>
          <w:rPr>
            <w:rFonts w:ascii="Cambria Math" w:hAnsi="Cambria Math"/>
          </w:rPr>
          <m:t>y→x</m:t>
        </m:r>
      </m:oMath>
      <w:r>
        <w:t xml:space="preserve">. Unlike the CIT framework, this approach cannot infer if the true model is </w:t>
      </w:r>
      <m:oMath>
        <m:r>
          <w:rPr>
            <w:rFonts w:ascii="Cambria Math" w:hAnsi="Cambria Math"/>
          </w:rPr>
          <m:t>x←g→y</m:t>
        </m:r>
      </m:oMath>
      <w:r>
        <w:t>. We also assume all genetic effects are additive.</w:t>
      </w:r>
    </w:p>
    <w:p w14:paraId="26B73D6D" w14:textId="4D144BEE" w:rsidR="00A86D32" w:rsidRDefault="0048619F">
      <w:pPr>
        <w:pStyle w:val="BodyText"/>
      </w:pPr>
      <w:r>
        <w:t xml:space="preserve">To infer the direction of causality it is desirable to know which of the variables, </w:t>
      </w:r>
      <m:oMath>
        <m:r>
          <w:rPr>
            <w:rFonts w:ascii="Cambria Math" w:hAnsi="Cambria Math"/>
          </w:rPr>
          <m:t>x</m:t>
        </m:r>
      </m:oMath>
      <w:r>
        <w:t xml:space="preserve"> or </w:t>
      </w:r>
      <m:oMath>
        <m:r>
          <w:rPr>
            <w:rFonts w:ascii="Cambria Math" w:hAnsi="Cambria Math"/>
          </w:rPr>
          <m:t>y</m:t>
        </m:r>
      </m:oMath>
      <w:r>
        <w:t xml:space="preserve">, is being directly influenced by the instrument </w:t>
      </w:r>
      <m:oMath>
        <m:r>
          <w:rPr>
            <w:rFonts w:ascii="Cambria Math" w:hAnsi="Cambria Math"/>
          </w:rPr>
          <m:t>g</m:t>
        </m:r>
      </m:oMath>
      <w:r>
        <w:t xml:space="preserve">. This can be achieved by assessing which of the two variables has the biggest absolute correlation with </w:t>
      </w:r>
      <m:oMath>
        <m:r>
          <w:rPr>
            <w:rFonts w:ascii="Cambria Math" w:hAnsi="Cambria Math"/>
          </w:rPr>
          <m:t>g</m:t>
        </m:r>
      </m:oMath>
      <w:r>
        <w:t xml:space="preserve"> (Appendix 2), formalised by testing for a difference in the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using Steiger's Z-test for correlated correlations within a population</w:t>
      </w:r>
      <w:r>
        <w:rPr>
          <w:vertAlign w:val="superscript"/>
        </w:rPr>
        <w:t>38</w:t>
      </w:r>
      <w:r>
        <w:t>. It is calculated as</w:t>
      </w:r>
    </w:p>
    <w:p w14:paraId="5EBC4C12" w14:textId="77777777" w:rsidR="00A86D32" w:rsidRDefault="0048619F">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N-3</m:t>
                  </m:r>
                </m:e>
              </m:rad>
            </m:num>
            <m:den>
              <m:rad>
                <m:radPr>
                  <m:degHide m:val="1"/>
                  <m:ctrlPr>
                    <w:rPr>
                      <w:rFonts w:ascii="Cambria Math" w:hAnsi="Cambria Math"/>
                    </w:rPr>
                  </m:ctrlPr>
                </m:radPr>
                <m:deg/>
                <m:e>
                  <m:r>
                    <w:rPr>
                      <w:rFonts w:ascii="Cambria Math" w:hAnsi="Cambria Math"/>
                    </w:rPr>
                    <m:t>2(1-</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)h</m:t>
                  </m:r>
                </m:e>
              </m:rad>
            </m:den>
          </m:f>
        </m:oMath>
      </m:oMathPara>
    </w:p>
    <w:p w14:paraId="78BF47B2" w14:textId="77777777" w:rsidR="00A86D32" w:rsidRDefault="0048619F">
      <w:pPr>
        <w:pStyle w:val="FirstParagraph"/>
      </w:pPr>
      <w:r>
        <w:t xml:space="preserve">where Fisher's z-transformation is used to obtain </w:t>
      </w:r>
      <m:oMath>
        <m:sSub>
          <m:sSubPr>
            <m:ctrlPr>
              <w:rPr>
                <w:rFonts w:ascii="Cambria Math" w:hAnsi="Cambria Math"/>
              </w:rPr>
            </m:ctrlPr>
          </m:sSubPr>
          <m:e>
            <m:r>
              <w:rPr>
                <w:rFonts w:ascii="Cambria Math" w:hAnsi="Cambria Math"/>
              </w:rPr>
              <m:t>Z</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den>
            </m:f>
          </m:e>
        </m:d>
      </m:oMath>
      <w:r>
        <w:t>,</w:t>
      </w:r>
    </w:p>
    <w:p w14:paraId="5D2E6CDA" w14:textId="77777777" w:rsidR="00A86D32" w:rsidRDefault="0048619F">
      <w:pPr>
        <w:pStyle w:val="BodyText"/>
      </w:pPr>
      <m:oMathPara>
        <m:oMathParaPr>
          <m:jc m:val="center"/>
        </m:oMathParaPr>
        <m:oMath>
          <m:r>
            <w:rPr>
              <w:rFonts w:ascii="Cambria Math" w:hAnsi="Cambria Math"/>
            </w:rPr>
            <m:t>h=</m:t>
          </m:r>
          <m:f>
            <m:fPr>
              <m:ctrlPr>
                <w:rPr>
                  <w:rFonts w:ascii="Cambria Math" w:hAnsi="Cambria Math"/>
                </w:rPr>
              </m:ctrlPr>
            </m:fPr>
            <m:num>
              <m:r>
                <w:rPr>
                  <w:rFonts w:ascii="Cambria Math" w:hAnsi="Cambria Math"/>
                </w:rPr>
                <m:t>1-(fr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num>
            <m:den>
              <m:r>
                <w:rPr>
                  <w:rFonts w:ascii="Cambria Math" w:hAnsi="Cambria Math"/>
                </w:rPr>
                <m:t>1-r</m:t>
              </m:r>
              <m:sSup>
                <m:sSupPr>
                  <m:ctrlPr>
                    <w:rPr>
                      <w:rFonts w:ascii="Cambria Math" w:hAnsi="Cambria Math"/>
                    </w:rPr>
                  </m:ctrlPr>
                </m:sSupPr>
                <m:e>
                  <m:r>
                    <w:rPr>
                      <w:rFonts w:ascii="Cambria Math" w:hAnsi="Cambria Math"/>
                    </w:rPr>
                    <m:t>m</m:t>
                  </m:r>
                </m:e>
                <m:sup>
                  <m:r>
                    <w:rPr>
                      <w:rFonts w:ascii="Cambria Math" w:hAnsi="Cambria Math"/>
                    </w:rPr>
                    <m:t>2</m:t>
                  </m:r>
                </m:sup>
              </m:sSup>
            </m:den>
          </m:f>
        </m:oMath>
      </m:oMathPara>
    </w:p>
    <w:p w14:paraId="5912C454" w14:textId="77777777" w:rsidR="00A86D32" w:rsidRDefault="0048619F">
      <w:pPr>
        <w:pStyle w:val="FirstParagraph"/>
      </w:pPr>
      <w:r>
        <w:t>where</w:t>
      </w:r>
    </w:p>
    <w:p w14:paraId="4002C240" w14:textId="77777777" w:rsidR="00A86D32" w:rsidRDefault="0048619F">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xy</m:t>
                  </m:r>
                </m:sub>
              </m:sSub>
            </m:num>
            <m:den>
              <m:r>
                <w:rPr>
                  <w:rFonts w:ascii="Cambria Math" w:hAnsi="Cambria Math"/>
                </w:rPr>
                <m:t>2(1-r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14:paraId="44E2F521" w14:textId="77777777" w:rsidR="00A86D32" w:rsidRDefault="0048619F">
      <w:pPr>
        <w:pStyle w:val="FirstParagraph"/>
      </w:pPr>
      <w:r>
        <w:t>and</w:t>
      </w:r>
    </w:p>
    <w:p w14:paraId="51E2D1B2" w14:textId="77777777" w:rsidR="00A86D32" w:rsidRDefault="0048619F">
      <w:pPr>
        <w:pStyle w:val="BodyText"/>
      </w:pPr>
      <m:oMathPara>
        <m:oMathParaPr>
          <m:jc m:val="center"/>
        </m:oMathParaPr>
        <m:oMath>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gy</m:t>
              </m:r>
            </m:sub>
            <m:sup>
              <m:r>
                <w:rPr>
                  <w:rFonts w:ascii="Cambria Math" w:hAnsi="Cambria Math"/>
                </w:rPr>
                <m:t>2</m:t>
              </m:r>
            </m:sup>
          </m:sSubSup>
          <m:r>
            <w:rPr>
              <w:rFonts w:ascii="Cambria Math" w:hAnsi="Cambria Math"/>
            </w:rPr>
            <m:t>).</m:t>
          </m:r>
        </m:oMath>
      </m:oMathPara>
    </w:p>
    <w:p w14:paraId="05938A49" w14:textId="77777777" w:rsidR="00A86D32" w:rsidRDefault="0048619F">
      <w:pPr>
        <w:pStyle w:val="FirstParagraph"/>
      </w:pPr>
      <w:r>
        <w:t xml:space="preserve">The </w:t>
      </w:r>
      <m:oMath>
        <m:r>
          <w:rPr>
            <w:rFonts w:ascii="Cambria Math" w:hAnsi="Cambria Math"/>
          </w:rPr>
          <m:t>Z</m:t>
        </m:r>
      </m:oMath>
      <w:r>
        <w:t xml:space="preserve"> value is interpreted such that</w:t>
      </w:r>
    </w:p>
    <w:p w14:paraId="082CC639" w14:textId="77777777" w:rsidR="00A86D32" w:rsidRDefault="0048619F">
      <w:pPr>
        <w:pStyle w:val="BodyText"/>
      </w:pPr>
      <m:oMathPara>
        <m:oMathParaPr>
          <m:jc m:val="center"/>
        </m:oMathParaPr>
        <m:oMath>
          <m:r>
            <w:rPr>
              <w:rFonts w:ascii="Cambria Math" w:hAnsi="Cambria Math"/>
            </w:rPr>
            <m:t>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&gt;0,</m:t>
                    </m:r>
                  </m:e>
                  <m:e>
                    <m:r>
                      <w:rPr>
                        <w:rFonts w:ascii="Cambria Math" w:hAnsi="Cambria Math"/>
                      </w:rPr>
                      <m:t>x→y</m:t>
                    </m:r>
                  </m:e>
                </m:mr>
                <m:mr>
                  <m:e>
                    <m:r>
                      <w:rPr>
                        <w:rFonts w:ascii="Cambria Math" w:hAnsi="Cambria Math"/>
                      </w:rPr>
                      <m:t>&lt;0,</m:t>
                    </m:r>
                  </m:e>
                  <m:e>
                    <m:r>
                      <w:rPr>
                        <w:rFonts w:ascii="Cambria Math" w:hAnsi="Cambria Math"/>
                      </w:rPr>
                      <m:t>y→x</m:t>
                    </m:r>
                  </m:e>
                </m:mr>
                <m:mr>
                  <m:e>
                    <m:r>
                      <w:rPr>
                        <w:rFonts w:ascii="Cambria Math" w:hAnsi="Cambria Math"/>
                      </w:rPr>
                      <m:t>=0,</m:t>
                    </m:r>
                  </m:e>
                  <m:e>
                    <m:r>
                      <w:rPr>
                        <w:rFonts w:ascii="Cambria Math" w:hAnsi="Cambria Math"/>
                      </w:rPr>
                      <m:t>x⊥⊥y</m:t>
                    </m:r>
                  </m:e>
                </m:mr>
              </m:m>
            </m:e>
          </m:d>
        </m:oMath>
      </m:oMathPara>
    </w:p>
    <w:p w14:paraId="38BD38EC" w14:textId="77777777" w:rsidR="00A86D32" w:rsidRDefault="0048619F">
      <w:pPr>
        <w:pStyle w:val="FirstParagraph"/>
      </w:pPr>
      <w:proofErr w:type="gramStart"/>
      <w:r>
        <w:lastRenderedPageBreak/>
        <w:t>and</w:t>
      </w:r>
      <w:proofErr w:type="gramEnd"/>
      <w:r>
        <w:t xml:space="preserve"> a p-value is generated from the </w:t>
      </w:r>
      <m:oMath>
        <m:r>
          <w:rPr>
            <w:rFonts w:ascii="Cambria Math" w:hAnsi="Cambria Math"/>
          </w:rPr>
          <m:t>Z</m:t>
        </m:r>
      </m:oMath>
      <w:r>
        <w:t xml:space="preserve"> value to indicate the probability of obtaining the observed difference in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under the null hypothesis that both correlations are identical. The existence of causality and its direction is inferred based on the following scenarios:</w:t>
      </w:r>
    </w:p>
    <w:p w14:paraId="4E3D82C3" w14:textId="77777777" w:rsidR="00A86D32" w:rsidRDefault="0048619F" w:rsidP="001A6BC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Z&gt;0</m:t>
        </m:r>
      </m:oMath>
      <w:r>
        <w:t xml:space="preserve"> then a causal association for the correct model is accepted</w:t>
      </w:r>
    </w:p>
    <w:p w14:paraId="28CE4231" w14:textId="77777777" w:rsidR="00A86D32" w:rsidRDefault="0048619F" w:rsidP="001A6BC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Z&lt;0</m:t>
        </m:r>
      </m:oMath>
      <w:r>
        <w:t xml:space="preserve"> then a causal association for the incorrect model is accepted</w:t>
      </w:r>
    </w:p>
    <w:p w14:paraId="0BCE12FE" w14:textId="77777777" w:rsidR="00A86D32" w:rsidRDefault="0048619F" w:rsidP="001A6BCB">
      <w:pPr>
        <w:pStyle w:val="Compact"/>
        <w:numPr>
          <w:ilvl w:val="0"/>
          <w:numId w:val="5"/>
        </w:numPr>
      </w:pPr>
      <w:commentRangeStart w:id="15"/>
      <w:r>
        <w:t>Otherwise no inference is made</w:t>
      </w:r>
      <w:commentRangeEnd w:id="15"/>
      <w:r w:rsidR="00A27BD6">
        <w:rPr>
          <w:rStyle w:val="CommentReference"/>
        </w:rPr>
        <w:commentReference w:id="15"/>
      </w:r>
    </w:p>
    <w:p w14:paraId="7BBB4ECB" w14:textId="77777777" w:rsidR="00A86D32" w:rsidRDefault="0048619F">
      <w:pPr>
        <w:pStyle w:val="FirstParagraph"/>
      </w:pPr>
      <w:r>
        <w:t xml:space="preserve">For the purposes of compiling simulation results, we use an arbitrary </w:t>
      </w:r>
      <m:oMath>
        <m:r>
          <w:rPr>
            <w:rFonts w:ascii="Cambria Math" w:hAnsi="Cambria Math"/>
          </w:rPr>
          <m:t>α=0.05</m:t>
        </m:r>
      </m:oMath>
      <w:r>
        <w:t xml:space="preserve"> value.</w:t>
      </w:r>
    </w:p>
    <w:p w14:paraId="5BCACE9C" w14:textId="260E2218" w:rsidR="00A86D32" w:rsidRDefault="0048619F">
      <w:pPr>
        <w:pStyle w:val="BodyText"/>
      </w:pPr>
      <w:r>
        <w:t>Note that the same correlation test approach can be applied to a two-sample MR</w:t>
      </w:r>
      <w:r>
        <w:rPr>
          <w:vertAlign w:val="superscript"/>
        </w:rPr>
        <w:t>28</w:t>
      </w:r>
      <w:r>
        <w:t xml:space="preserve"> setting. Two-sample MR refers to the case where the SNP-exposure association and SNP-outcome association are calculated in different samples (e.g. from publicly available summary statistics). Here the Steiger test of two independent correlations can be applied where.</w:t>
      </w:r>
    </w:p>
    <w:p w14:paraId="0E652319" w14:textId="77777777" w:rsidR="00A86D32" w:rsidRDefault="0048619F">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num>
            <m:den>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-3)+1/(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-3)</m:t>
                  </m:r>
                </m:e>
              </m:rad>
            </m:den>
          </m:f>
        </m:oMath>
      </m:oMathPara>
    </w:p>
    <w:p w14:paraId="59002330" w14:textId="0AD94E10" w:rsidR="00A86D32" w:rsidRDefault="0048619F">
      <w:pPr>
        <w:pStyle w:val="FirstParagraph"/>
      </w:pPr>
      <w:r>
        <w:t xml:space="preserve">An advantage of using the Steiger test in the two sample context is that it can compare correlations in independent samples where sample sizes are different. Steiger test statistics were calculated using the </w:t>
      </w:r>
      <w:r>
        <w:rPr>
          <w:i/>
        </w:rPr>
        <w:t>r.test</w:t>
      </w:r>
      <w:r>
        <w:t xml:space="preserve"> function in the R package </w:t>
      </w:r>
      <w:r>
        <w:rPr>
          <w:i/>
        </w:rPr>
        <w:t>R/psych</w:t>
      </w:r>
      <w:r>
        <w:rPr>
          <w:vertAlign w:val="superscript"/>
        </w:rPr>
        <w:t>39</w:t>
      </w:r>
      <w:r>
        <w:t>.</w:t>
      </w:r>
    </w:p>
    <w:p w14:paraId="7552CF9C" w14:textId="77777777" w:rsidR="00A86D32" w:rsidRDefault="0048619F">
      <w:pPr>
        <w:pStyle w:val="Heading3"/>
      </w:pPr>
      <w:bookmarkStart w:id="16" w:name="steiger-sensitivity-analysis"/>
      <w:bookmarkEnd w:id="16"/>
      <w:r>
        <w:t>Steiger sensitivity analysis</w:t>
      </w:r>
    </w:p>
    <w:p w14:paraId="04F39873" w14:textId="4A52FD34" w:rsidR="00A86D32" w:rsidRDefault="0048619F">
      <w:pPr>
        <w:pStyle w:val="FirstParagraph"/>
      </w:pPr>
      <w:proofErr w:type="gramStart"/>
      <w:r>
        <w:t xml:space="preserve">The Steiger test for inferring if </w:t>
      </w:r>
      <m:oMath>
        <m:r>
          <w:rPr>
            <w:rFonts w:ascii="Cambria Math" w:hAnsi="Cambria Math"/>
          </w:rPr>
          <m:t>x→y</m:t>
        </m:r>
      </m:oMath>
      <w:r>
        <w:t xml:space="preserve"> is based on evaluating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w:t>
      </w:r>
      <w:proofErr w:type="gramEnd"/>
      <w:r>
        <w:t xml:space="preserve"> </w:t>
      </w:r>
      <w:commentRangeStart w:id="17"/>
      <w:r>
        <w:t xml:space="preserve">However,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are underestimated if </w:t>
      </w:r>
      <m:oMath>
        <m:r>
          <w:rPr>
            <w:rFonts w:ascii="Cambria Math" w:hAnsi="Cambria Math"/>
          </w:rPr>
          <m:t>x</m:t>
        </m:r>
      </m:oMath>
      <w:r>
        <w:t xml:space="preserve"> and </w:t>
      </w:r>
      <m:oMath>
        <m:r>
          <w:rPr>
            <w:rFonts w:ascii="Cambria Math" w:hAnsi="Cambria Math"/>
          </w:rPr>
          <m:t>y</m:t>
        </m:r>
      </m:oMath>
      <w:r>
        <w:t xml:space="preserve"> are measured imprecisely. </w:t>
      </w:r>
      <w:proofErr w:type="gramStart"/>
      <w:r>
        <w:t xml:space="preserve">If, for example, </w:t>
      </w:r>
      <m:oMath>
        <m:r>
          <w:rPr>
            <w:rFonts w:ascii="Cambria Math" w:hAnsi="Cambria Math"/>
          </w:rPr>
          <m:t>x</m:t>
        </m:r>
      </m:oMath>
      <w:r>
        <w:t xml:space="preserve"> has lower measurement precision than </w:t>
      </w:r>
      <m:oMath>
        <m:r>
          <w:rPr>
            <w:rFonts w:ascii="Cambria Math" w:hAnsi="Cambria Math"/>
          </w:rPr>
          <m:t>y</m:t>
        </m:r>
      </m:oMath>
      <w:r>
        <w:t xml:space="preserve"> then we might empirically obtain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w:t>
      </w:r>
      <w:proofErr w:type="gramEnd"/>
      <w:r>
        <w:t xml:space="preserve"> </w:t>
      </w:r>
      <w:commentRangeEnd w:id="17"/>
      <w:r w:rsidR="00D217A9">
        <w:rPr>
          <w:rStyle w:val="CommentReference"/>
        </w:rPr>
        <w:commentReference w:id="17"/>
      </w:r>
      <w:commentRangeStart w:id="18"/>
      <w:r>
        <w:t xml:space="preserve">As we show in the appendix, the maximum </w:t>
      </w:r>
      <w:commentRangeStart w:id="19"/>
      <w:r>
        <w:t xml:space="preserve">measurement error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w:t>
      </w:r>
      <w:commentRangeEnd w:id="19"/>
      <w:r w:rsidR="00A27BD6">
        <w:rPr>
          <w:rStyle w:val="CommentReference"/>
        </w:rPr>
        <w:commentReference w:id="19"/>
      </w:r>
      <w:r>
        <w:t xml:space="preserve">and the minimum is 0 (same applies to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w:t>
      </w:r>
      <w:commentRangeEnd w:id="18"/>
      <w:r w:rsidR="0021209B">
        <w:rPr>
          <w:rStyle w:val="CommentReference"/>
        </w:rPr>
        <w:commentReference w:id="18"/>
      </w:r>
      <w:r>
        <w:t xml:space="preserve">It is possible to simulate what the inferred causal direction would be for all values within these bounds. </w:t>
      </w:r>
      <w:commentRangeStart w:id="20"/>
      <w:commentRangeStart w:id="21"/>
      <w:r>
        <w:t xml:space="preserve">To evaluate how </w:t>
      </w:r>
      <w:commentRangeStart w:id="22"/>
      <w:r>
        <w:t xml:space="preserve">reliable, </w:t>
      </w:r>
      <m:oMath>
        <m:r>
          <w:rPr>
            <w:rFonts w:ascii="Cambria Math" w:hAnsi="Cambria Math"/>
          </w:rPr>
          <m:t>R</m:t>
        </m:r>
      </m:oMath>
      <w:r>
        <w:t xml:space="preserve">, the Steiger test is to potential measurement imprecision in </w:t>
      </w:r>
      <m:oMath>
        <m:r>
          <w:rPr>
            <w:rFonts w:ascii="Cambria Math" w:hAnsi="Cambria Math"/>
          </w:rPr>
          <m:t>x</m:t>
        </m:r>
      </m:oMath>
      <w:r>
        <w:t xml:space="preserve"> and </w:t>
      </w:r>
      <m:oMath>
        <m:r>
          <w:rPr>
            <w:rFonts w:ascii="Cambria Math" w:hAnsi="Cambria Math"/>
          </w:rPr>
          <m:t>y</m:t>
        </m:r>
      </m:oMath>
      <w:r>
        <w:t xml:space="preserve"> we integrate over the simulated </w:t>
      </w:r>
      <m:oMath>
        <m:r>
          <w:rPr>
            <w:rFonts w:ascii="Cambria Math" w:hAnsi="Cambria Math"/>
          </w:rPr>
          <m:t>R</m:t>
        </m:r>
      </m:oMath>
      <w:r>
        <w:t xml:space="preserve"> values for </w:t>
      </w:r>
      <w:commentRangeEnd w:id="22"/>
      <w:r w:rsidR="0021209B">
        <w:rPr>
          <w:rStyle w:val="CommentReference"/>
        </w:rPr>
        <w:commentReference w:id="22"/>
      </w:r>
      <w:r>
        <w:t xml:space="preserve">the possible measurement error values which are compatible with the direction of causality obtained empirically from the </w:t>
      </w:r>
      <w:proofErr w:type="spellStart"/>
      <w:r>
        <w:t>Steiger</w:t>
      </w:r>
      <w:proofErr w:type="spellEnd"/>
      <w:r>
        <w:t xml:space="preserve"> test</w:t>
      </w:r>
      <w:commentRangeEnd w:id="20"/>
      <w:r w:rsidR="0021209B">
        <w:rPr>
          <w:rStyle w:val="CommentReference"/>
        </w:rPr>
        <w:commentReference w:id="20"/>
      </w:r>
      <w:r>
        <w:t>.</w:t>
      </w:r>
      <w:commentRangeEnd w:id="21"/>
      <w:r w:rsidR="007360BF">
        <w:rPr>
          <w:rStyle w:val="CommentReference"/>
        </w:rPr>
        <w:commentReference w:id="21"/>
      </w:r>
      <w:r>
        <w:t xml:space="preserve"> We also do the same for the measurement error </w:t>
      </w:r>
      <w:proofErr w:type="gramStart"/>
      <w:r>
        <w:t>values which</w:t>
      </w:r>
      <w:proofErr w:type="gramEnd"/>
      <w:r>
        <w:t xml:space="preserve"> are not compatible. The ratio of these quantities is an indication of how much of the measurement error space supports the inferred causal direction. A ratio </w:t>
      </w:r>
      <m:oMath>
        <m:r>
          <w:rPr>
            <w:rFonts w:ascii="Cambria Math" w:hAnsi="Cambria Math"/>
          </w:rPr>
          <m:t>R=1</m:t>
        </m:r>
      </m:oMath>
      <w:r>
        <w:t xml:space="preserve"> indicates that the Steiger test is highly sensitive to measurement error, with equal weight of the measurement error parameter space supporting both directions of causality. Full details are provided in Appendix 2 and Figure 3a.</w:t>
      </w:r>
    </w:p>
    <w:p w14:paraId="102C2229" w14:textId="77777777" w:rsidR="00A86D32" w:rsidRDefault="0048619F">
      <w:pPr>
        <w:pStyle w:val="Heading3"/>
      </w:pPr>
      <w:bookmarkStart w:id="23" w:name="simulations"/>
      <w:bookmarkEnd w:id="23"/>
      <w:r>
        <w:lastRenderedPageBreak/>
        <w:t>Simulations</w:t>
      </w:r>
    </w:p>
    <w:p w14:paraId="08274315" w14:textId="673F5617" w:rsidR="00A86D32" w:rsidRDefault="0048619F">
      <w:pPr>
        <w:pStyle w:val="FirstParagraph"/>
      </w:pPr>
      <w:r>
        <w:t xml:space="preserve">Simulations were conducted by creating variables of sample size </w:t>
      </w:r>
      <m:oMath>
        <m:r>
          <w:rPr>
            <w:rFonts w:ascii="Cambria Math" w:hAnsi="Cambria Math"/>
          </w:rPr>
          <m:t>n</m:t>
        </m:r>
      </m:oMath>
      <w:r>
        <w:t xml:space="preserve"> for the exposure </w:t>
      </w:r>
      <m:oMath>
        <m:r>
          <w:rPr>
            <w:rFonts w:ascii="Cambria Math" w:hAnsi="Cambria Math"/>
          </w:rPr>
          <m:t>x</m:t>
        </m:r>
      </m:oMath>
      <w:r>
        <w:t xml:space="preserve">, the measured values of the exposure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the outcome </w:t>
      </w:r>
      <m:oMath>
        <m:r>
          <w:rPr>
            <w:rFonts w:ascii="Cambria Math" w:hAnsi="Cambria Math"/>
          </w:rPr>
          <m:t>y</m:t>
        </m:r>
      </m:oMath>
      <w:r>
        <w:t xml:space="preserve">, the measured values of the outcome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and the instrument </w:t>
      </w:r>
      <m:oMath>
        <m:r>
          <w:rPr>
            <w:rFonts w:ascii="Cambria Math" w:hAnsi="Cambria Math"/>
          </w:rPr>
          <m:t>g</m:t>
        </m:r>
      </m:oMath>
      <w:r>
        <w:t xml:space="preserve">. One of two models are simulated, the "causal model" where </w:t>
      </w:r>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an instrument for </w:t>
      </w:r>
      <m:oMath>
        <m:r>
          <w:rPr>
            <w:rFonts w:ascii="Cambria Math" w:hAnsi="Cambria Math"/>
          </w:rPr>
          <m:t>x</m:t>
        </m:r>
      </m:oMath>
      <w:r>
        <w:t xml:space="preserve">; or the "non-causal model" where </w:t>
      </w:r>
      <m:oMath>
        <m:r>
          <w:rPr>
            <w:rFonts w:ascii="Cambria Math" w:hAnsi="Cambria Math"/>
          </w:rPr>
          <m:t>g</m:t>
        </m:r>
      </m:oMath>
      <w:r>
        <w:t xml:space="preserve"> influences a confounder </w:t>
      </w:r>
      <m:oMath>
        <m:r>
          <w:rPr>
            <w:rFonts w:ascii="Cambria Math" w:hAnsi="Cambria Math"/>
          </w:rPr>
          <m:t>u</m:t>
        </m:r>
      </m:oMath>
      <w:r>
        <w:t xml:space="preserve"> which in turn causes both </w:t>
      </w:r>
      <m:oMath>
        <m:r>
          <w:rPr>
            <w:rFonts w:ascii="Cambria Math" w:hAnsi="Cambria Math"/>
          </w:rPr>
          <m:t>x</m:t>
        </m:r>
      </m:oMath>
      <w:r>
        <w:t xml:space="preserve"> and </w:t>
      </w:r>
      <m:oMath>
        <m:r>
          <w:rPr>
            <w:rFonts w:ascii="Cambria Math" w:hAnsi="Cambria Math"/>
          </w:rPr>
          <m:t>y</m:t>
        </m:r>
      </m:oMath>
      <w:r>
        <w:t xml:space="preserve">. Here </w:t>
      </w:r>
      <m:oMath>
        <m:r>
          <w:rPr>
            <w:rFonts w:ascii="Cambria Math" w:hAnsi="Cambria Math"/>
          </w:rPr>
          <m:t>x</m:t>
        </m:r>
      </m:oMath>
      <w:r>
        <w:t xml:space="preserve"> and </w:t>
      </w:r>
      <m:oMath>
        <m:r>
          <w:rPr>
            <w:rFonts w:ascii="Cambria Math" w:hAnsi="Cambria Math"/>
          </w:rPr>
          <m:t>y</m:t>
        </m:r>
      </m:oMath>
      <w:r>
        <w:t xml:space="preserve"> are correlated but not causally related. Each variable in the causal model was simulated such that:</w:t>
      </w:r>
    </w:p>
    <w:p w14:paraId="65453B58"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2C027A15" w14:textId="77777777" w:rsidR="00A86D32" w:rsidRDefault="0048619F">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are parameters that represent non-differential measurement error into the exposure variable </w:t>
      </w:r>
      <m:oMath>
        <m:r>
          <w:rPr>
            <w:rFonts w:ascii="Cambria Math" w:hAnsi="Cambria Math"/>
          </w:rPr>
          <m:t>x</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are parameters for non-differential measurement error in the outcome </w:t>
      </w:r>
      <m:oMath>
        <m:r>
          <w:rPr>
            <w:rFonts w:ascii="Cambria Math" w:hAnsi="Cambria Math"/>
          </w:rPr>
          <m:t>y</m:t>
        </m:r>
      </m:oMath>
      <w:r>
        <w:t>. Similarly in the non-causal model:</w:t>
      </w:r>
    </w:p>
    <w:p w14:paraId="76124CAB"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u</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u</m:t>
                    </m:r>
                  </m:sub>
                </m:sSub>
                <m:r>
                  <w:rPr>
                    <w:rFonts w:ascii="Cambria Math" w:hAnsi="Cambria Math"/>
                  </w:rPr>
                  <m:t>u+</m:t>
                </m:r>
                <m:sSub>
                  <m:sSubPr>
                    <m:ctrlPr>
                      <w:rPr>
                        <w:rFonts w:ascii="Cambria Math" w:hAnsi="Cambria Math"/>
                      </w:rPr>
                    </m:ctrlPr>
                  </m:sSubPr>
                  <m:e>
                    <m:r>
                      <w:rPr>
                        <w:rFonts w:ascii="Cambria Math" w:hAnsi="Cambria Math"/>
                      </w:rPr>
                      <m:t>ϵ</m:t>
                    </m:r>
                  </m:e>
                  <m:sub>
                    <m:sSub>
                      <m:sSubPr>
                        <m:ctrlPr>
                          <w:rPr>
                            <w:rFonts w:ascii="Cambria Math" w:hAnsi="Cambria Math"/>
                          </w:rPr>
                        </m:ctrlPr>
                      </m:sSubPr>
                      <m:e>
                        <m:r>
                          <w:rPr>
                            <w:rFonts w:ascii="Cambria Math" w:hAnsi="Cambria Math"/>
                          </w:rPr>
                          <m:t>u</m:t>
                        </m:r>
                      </m:e>
                      <m:sub>
                        <m:r>
                          <w:rPr>
                            <w:rFonts w:ascii="Cambria Math" w:hAnsi="Cambria Math"/>
                          </w:rPr>
                          <m:t>x</m:t>
                        </m:r>
                      </m:sub>
                    </m:sSub>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u</m:t>
                    </m:r>
                  </m:sub>
                </m:sSub>
                <m:r>
                  <w:rPr>
                    <w:rFonts w:ascii="Cambria Math" w:hAnsi="Cambria Math"/>
                  </w:rPr>
                  <m:t>u+</m:t>
                </m:r>
                <m:sSub>
                  <m:sSubPr>
                    <m:ctrlPr>
                      <w:rPr>
                        <w:rFonts w:ascii="Cambria Math" w:hAnsi="Cambria Math"/>
                      </w:rPr>
                    </m:ctrlPr>
                  </m:sSubPr>
                  <m:e>
                    <m:r>
                      <w:rPr>
                        <w:rFonts w:ascii="Cambria Math" w:hAnsi="Cambria Math"/>
                      </w:rPr>
                      <m:t>ϵ</m:t>
                    </m:r>
                  </m:e>
                  <m:sub>
                    <m:sSub>
                      <m:sSubPr>
                        <m:ctrlPr>
                          <w:rPr>
                            <w:rFonts w:ascii="Cambria Math" w:hAnsi="Cambria Math"/>
                          </w:rPr>
                        </m:ctrlPr>
                      </m:sSubPr>
                      <m:e>
                        <m:r>
                          <w:rPr>
                            <w:rFonts w:ascii="Cambria Math" w:hAnsi="Cambria Math"/>
                          </w:rPr>
                          <m:t>u</m:t>
                        </m:r>
                      </m:e>
                      <m:sub>
                        <m:r>
                          <w:rPr>
                            <w:rFonts w:ascii="Cambria Math" w:hAnsi="Cambria Math"/>
                          </w:rPr>
                          <m:t>y</m:t>
                        </m:r>
                      </m:sub>
                    </m:sSub>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3714428B" w14:textId="77777777" w:rsidR="00A86D32" w:rsidRDefault="0048619F" w:rsidP="001A6BCB">
      <w:pPr>
        <w:pStyle w:val="FirstParagraph"/>
      </w:pPr>
      <w:r>
        <w:t xml:space="preserve">All </w:t>
      </w:r>
      <m:oMath>
        <m:r>
          <w:rPr>
            <w:rFonts w:ascii="Cambria Math" w:hAnsi="Cambria Math"/>
          </w:rPr>
          <m:t>α</m:t>
        </m:r>
      </m:oMath>
      <w:r>
        <w:t xml:space="preserve"> values were set to 0, and </w:t>
      </w:r>
      <m:oMath>
        <m:r>
          <w:rPr>
            <w:rFonts w:ascii="Cambria Math" w:hAnsi="Cambria Math"/>
          </w:rPr>
          <m:t>β</m:t>
        </m:r>
      </m:oMath>
      <w:r>
        <w:t xml:space="preserve"> values set to 1. Normally distribted values of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were generated such that</w:t>
      </w:r>
    </w:p>
    <w:p w14:paraId="1F49A33E" w14:textId="03D6AF5D"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cor(g,x</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=0.1</m:t>
                </m:r>
              </m:e>
            </m:mr>
            <m:mr>
              <m:e>
                <m:r>
                  <w:rPr>
                    <w:rFonts w:ascii="Cambria Math" w:hAnsi="Cambria Math"/>
                  </w:rPr>
                  <m:t>cor(g,u</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=0.1</m:t>
                </m:r>
              </m:e>
            </m:mr>
            <m:mr>
              <m:e>
                <m:r>
                  <w:rPr>
                    <w:rFonts w:ascii="Cambria Math" w:hAnsi="Cambria Math"/>
                  </w:rPr>
                  <m:t>cor(x,y</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={0.2,0.4,0.6,0.8}</m:t>
                </m:r>
              </m:e>
            </m:mr>
            <m:mr>
              <m:e>
                <m:sSubSup>
                  <m:sSubSupPr>
                    <m:ctrlPr>
                      <w:rPr>
                        <w:rFonts w:ascii="Cambria Math" w:hAnsi="Cambria Math"/>
                      </w:rPr>
                    </m:ctrlPr>
                  </m:sSubSupPr>
                  <m:e>
                    <m:r>
                      <w:rPr>
                        <w:rFonts w:ascii="Cambria Math" w:hAnsi="Cambria Math"/>
                      </w:rPr>
                      <m:t>σ</m:t>
                    </m:r>
                  </m:e>
                  <m:sub>
                    <m:r>
                      <w:rPr>
                        <w:rFonts w:ascii="Cambria Math" w:hAnsi="Cambria Math"/>
                      </w:rPr>
                      <m:t>mx</m:t>
                    </m:r>
                  </m:sub>
                  <m:sup>
                    <m:r>
                      <w:rPr>
                        <w:rFonts w:ascii="Cambria Math" w:hAnsi="Cambria Math"/>
                      </w:rPr>
                      <m:t>2</m:t>
                    </m:r>
                  </m:sup>
                </m:sSubSup>
              </m:e>
              <m:e>
                <m:r>
                  <w:rPr>
                    <w:rFonts w:ascii="Cambria Math" w:hAnsi="Cambria Math"/>
                  </w:rPr>
                  <m:t>={0,0.2,0.4,0.6,0.8,1}</m:t>
                </m:r>
              </m:e>
            </m:mr>
            <m:mr>
              <m:e>
                <m:sSubSup>
                  <m:sSubSupPr>
                    <m:ctrlPr>
                      <w:rPr>
                        <w:rFonts w:ascii="Cambria Math" w:hAnsi="Cambria Math"/>
                      </w:rPr>
                    </m:ctrlPr>
                  </m:sSubSupPr>
                  <m:e>
                    <m:r>
                      <w:rPr>
                        <w:rFonts w:ascii="Cambria Math" w:hAnsi="Cambria Math"/>
                      </w:rPr>
                      <m:t>σ</m:t>
                    </m:r>
                  </m:e>
                  <m:sub>
                    <m:r>
                      <w:rPr>
                        <w:rFonts w:ascii="Cambria Math" w:hAnsi="Cambria Math"/>
                      </w:rPr>
                      <m:t>my</m:t>
                    </m:r>
                  </m:sub>
                  <m:sup>
                    <m:r>
                      <w:rPr>
                        <w:rFonts w:ascii="Cambria Math" w:hAnsi="Cambria Math"/>
                      </w:rPr>
                      <m:t>2</m:t>
                    </m:r>
                  </m:sup>
                </m:sSubSup>
              </m:e>
              <m:e>
                <m:r>
                  <w:rPr>
                    <w:rFonts w:ascii="Cambria Math" w:hAnsi="Cambria Math"/>
                  </w:rPr>
                  <m:t>={0,0.2,0.4,0.6,0.8,1}</m:t>
                </m:r>
              </m:e>
            </m:mr>
            <m:mr>
              <m:e>
                <m:r>
                  <w:rPr>
                    <w:rFonts w:ascii="Cambria Math" w:hAnsi="Cambria Math"/>
                  </w:rPr>
                  <m:t>n</m:t>
                </m:r>
              </m:e>
              <m:e>
                <m:r>
                  <w:rPr>
                    <w:rFonts w:ascii="Cambria Math" w:hAnsi="Cambria Math"/>
                  </w:rPr>
                  <m:t>={100,1000,10000}</m:t>
                </m:r>
              </m:e>
            </m:mr>
          </m:m>
        </m:oMath>
      </m:oMathPara>
    </w:p>
    <w:p w14:paraId="670845B5" w14:textId="77777777" w:rsidR="00A86D32" w:rsidRDefault="0048619F">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 </w:t>
      </w:r>
      <w:proofErr w:type="gramStart"/>
      <m:oMath>
        <m:r>
          <w:rPr>
            <w:rFonts w:ascii="Cambria Math" w:hAnsi="Cambria Math"/>
          </w:rPr>
          <m:t>cor(</m:t>
        </m:r>
        <w:proofErr w:type="gramEnd"/>
        <m:r>
          <w:rPr>
            <w:rFonts w:ascii="Cambria Math" w:hAnsi="Cambria Math"/>
          </w:rPr>
          <m:t>g,x)</m:t>
        </m:r>
      </m:oMath>
      <w:r>
        <w:t xml:space="preserve"> and </w:t>
      </w:r>
      <m:oMath>
        <m:r>
          <w:rPr>
            <w:rFonts w:ascii="Cambria Math" w:hAnsi="Cambria Math"/>
          </w:rPr>
          <m:t>cor(g,u)</m:t>
        </m:r>
      </m:oMath>
      <w:r>
        <w:t>.</w:t>
      </w:r>
    </w:p>
    <w:p w14:paraId="436715D5" w14:textId="77777777" w:rsidR="00A86D32" w:rsidRDefault="0048619F">
      <w:pPr>
        <w:pStyle w:val="Heading2"/>
      </w:pPr>
      <w:bookmarkStart w:id="24" w:name="two-sample-mr"/>
      <w:bookmarkEnd w:id="24"/>
      <w:r>
        <w:lastRenderedPageBreak/>
        <w:t>Two sample MR</w:t>
      </w:r>
    </w:p>
    <w:p w14:paraId="64BD677D" w14:textId="6893BB1B" w:rsidR="00A86D32" w:rsidRDefault="0048619F">
      <w:pPr>
        <w:pStyle w:val="FirstParagraph"/>
      </w:pPr>
      <w:r>
        <w:t xml:space="preserve">Two </w:t>
      </w:r>
      <w:proofErr w:type="gramStart"/>
      <w:r>
        <w:t>sample</w:t>
      </w:r>
      <w:proofErr w:type="gramEnd"/>
      <w:r>
        <w:t xml:space="preserve"> MR</w:t>
      </w:r>
      <w:r>
        <w:rPr>
          <w:vertAlign w:val="superscript"/>
        </w:rPr>
        <w:t>28</w:t>
      </w:r>
      <w:r>
        <w:t xml:space="preserve"> was performed using the summary statistics presented in</w:t>
      </w:r>
      <w:r>
        <w:rPr>
          <w:vertAlign w:val="superscript"/>
        </w:rPr>
        <w:t>40</w:t>
      </w:r>
      <w:r>
        <w:t xml:space="preserve"> for each of 4122 associations between DNA methylation and gene expression levels. To do this we obtained a list of 458 gene expression - DNA methylation associations as reported in Shakhbazov </w:t>
      </w:r>
      <w:proofErr w:type="gramStart"/>
      <w:r>
        <w:t>et</w:t>
      </w:r>
      <w:proofErr w:type="gramEnd"/>
      <w:r>
        <w:t xml:space="preserve"> al</w:t>
      </w:r>
      <w:r>
        <w:rPr>
          <w:vertAlign w:val="superscript"/>
        </w:rPr>
        <w:t>40</w:t>
      </w:r>
      <w:r>
        <w:t>.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14:paraId="513821D1" w14:textId="77777777" w:rsidR="00A86D32" w:rsidRDefault="0048619F">
      <w:pPr>
        <w:pStyle w:val="Heading2"/>
      </w:pPr>
      <w:bookmarkStart w:id="25" w:name="results"/>
      <w:bookmarkEnd w:id="25"/>
      <w:r>
        <w:t>Results</w:t>
      </w:r>
    </w:p>
    <w:p w14:paraId="71762EFB" w14:textId="77777777" w:rsidR="00A86D32" w:rsidRDefault="0048619F">
      <w:pPr>
        <w:pStyle w:val="Heading3"/>
      </w:pPr>
      <w:bookmarkStart w:id="26" w:name="the-influence-of-measurement-error-on-me"/>
      <w:bookmarkEnd w:id="26"/>
      <w:commentRangeStart w:id="27"/>
      <w:r>
        <w:t>The influence of measurement error on mediation</w:t>
      </w:r>
    </w:p>
    <w:p w14:paraId="5DF54E24" w14:textId="77777777" w:rsidR="00A86D32" w:rsidRDefault="0048619F">
      <w:pPr>
        <w:pStyle w:val="FirstParagraph"/>
      </w:pPr>
      <w:r>
        <w:t xml:space="preserve">Measurement error of an exposure can be modeled as some transformation of the true value that leads to the observed value, </w:t>
      </w:r>
      <m:oMath>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=f(x)</m:t>
        </m:r>
      </m:oMath>
      <w:r>
        <w:t xml:space="preserve">. For example, we can define </w:t>
      </w:r>
      <w:proofErr w:type="gramStart"/>
      <m:oMath>
        <m:r>
          <w:rPr>
            <w:rFonts w:ascii="Cambria Math" w:hAnsi="Cambria Math"/>
          </w:rPr>
          <m:t>f(</m:t>
        </m:r>
        <w:proofErr w:type="gramEnd"/>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influence the error in the measurement of </w:t>
      </w:r>
      <m:oMath>
        <m:r>
          <w:rPr>
            <w:rFonts w:ascii="Cambria Math" w:hAnsi="Cambria Math"/>
          </w:rPr>
          <m:t>x</m:t>
        </m:r>
      </m:oMath>
      <w:r>
        <w:t xml:space="preserve"> by altering its scale, and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represents the imprecision (or noise) in the measurement of </w:t>
      </w:r>
      <m:oMath>
        <m:r>
          <w:rPr>
            <w:rFonts w:ascii="Cambria Math" w:hAnsi="Cambria Math"/>
          </w:rPr>
          <m:t>x</m:t>
        </m:r>
      </m:oMath>
      <w:r>
        <w:t xml:space="preserve">. Here the true value of the exposure is partially explained by the genetic instrument, </w:t>
      </w:r>
      <m:oMath>
        <m:r>
          <w:rPr>
            <w:rFonts w:ascii="Cambria Math" w:hAnsi="Cambria Math"/>
          </w:rPr>
          <m:t>g</m:t>
        </m:r>
      </m:oMath>
      <w:r>
        <w:t>, such that</w:t>
      </w:r>
    </w:p>
    <w:p w14:paraId="26C397C4" w14:textId="77777777" w:rsidR="00A86D32" w:rsidRDefault="0048619F">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oMath>
      </m:oMathPara>
    </w:p>
    <w:p w14:paraId="38A20821" w14:textId="77777777" w:rsidR="00A86D32" w:rsidRDefault="0048619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is the effect of the SNP on the exposure, and </w:t>
      </w:r>
      <m:oMath>
        <m:sSub>
          <m:sSubPr>
            <m:ctrlPr>
              <w:rPr>
                <w:rFonts w:ascii="Cambria Math" w:hAnsi="Cambria Math"/>
              </w:rPr>
            </m:ctrlPr>
          </m:sSubPr>
          <m:e>
            <m:r>
              <w:rPr>
                <w:rFonts w:ascii="Cambria Math" w:hAnsi="Cambria Math"/>
              </w:rPr>
              <m:t>ϵ</m:t>
            </m:r>
          </m:e>
          <m:sub>
            <m:r>
              <w:rPr>
                <w:rFonts w:ascii="Cambria Math" w:hAnsi="Cambria Math"/>
              </w:rPr>
              <m:t>g</m:t>
            </m:r>
          </m:sub>
        </m:sSub>
      </m:oMath>
      <w:r>
        <w:t xml:space="preserve"> is the normally distributed residual value of </w:t>
      </w:r>
      <m:oMath>
        <m:r>
          <w:rPr>
            <w:rFonts w:ascii="Cambria Math" w:hAnsi="Cambria Math"/>
          </w:rPr>
          <m:t>x</m:t>
        </m:r>
      </m:oMath>
      <w:r>
        <w:t>; and the outcome is partially explained by the exposure</w:t>
      </w:r>
    </w:p>
    <w:p w14:paraId="3B1EB03B"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oMath>
      </m:oMathPara>
    </w:p>
    <w:p w14:paraId="235BA3E6" w14:textId="77777777" w:rsidR="00A86D32" w:rsidRDefault="0048619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x</m:t>
            </m:r>
          </m:sub>
        </m:sSub>
      </m:oMath>
      <w:r>
        <w:t xml:space="preserve"> is the true effect of the exposure on the outcome. In the causal inference test (CIT), an omnibus p-value is generated from four hypothesis tests</w:t>
      </w:r>
      <w:commentRangeStart w:id="28"/>
      <w:r>
        <w:t xml:space="preserve">: 1) </w:t>
      </w:r>
      <m:oMath>
        <m:r>
          <w:rPr>
            <w:rFonts w:ascii="Cambria Math" w:hAnsi="Cambria Math"/>
          </w:rPr>
          <m:t>g</m:t>
        </m:r>
      </m:oMath>
      <w:r>
        <w:t xml:space="preserve"> is associated with </w:t>
      </w:r>
      <m:oMath>
        <m:r>
          <w:rPr>
            <w:rFonts w:ascii="Cambria Math" w:hAnsi="Cambria Math"/>
          </w:rPr>
          <m:t>x</m:t>
        </m:r>
        <w:commentRangeEnd w:id="28"/>
        <m:r>
          <m:rPr>
            <m:sty m:val="p"/>
          </m:rPr>
          <w:rPr>
            <w:rStyle w:val="CommentReference"/>
          </w:rPr>
          <w:commentReference w:id="28"/>
        </m:r>
      </m:oMath>
      <w:r>
        <w:t xml:space="preserve">; 2) </w:t>
      </w:r>
      <m:oMath>
        <m:r>
          <w:rPr>
            <w:rFonts w:ascii="Cambria Math" w:hAnsi="Cambria Math"/>
          </w:rPr>
          <m:t>g</m:t>
        </m:r>
      </m:oMath>
      <w:r>
        <w:t xml:space="preserve"> is associated with </w:t>
      </w:r>
      <m:oMath>
        <m:r>
          <w:rPr>
            <w:rFonts w:ascii="Cambria Math" w:hAnsi="Cambria Math"/>
          </w:rPr>
          <m:t>y</m:t>
        </m:r>
      </m:oMath>
      <w:r>
        <w:t xml:space="preserve">; 3) </w:t>
      </w:r>
      <m:oMath>
        <m:r>
          <w:rPr>
            <w:rFonts w:ascii="Cambria Math" w:hAnsi="Cambria Math"/>
          </w:rPr>
          <m:t>x</m:t>
        </m:r>
      </m:oMath>
      <w:r>
        <w:t xml:space="preserve"> is associated with </w:t>
      </w:r>
      <m:oMath>
        <m:r>
          <w:rPr>
            <w:rFonts w:ascii="Cambria Math" w:hAnsi="Cambria Math"/>
          </w:rPr>
          <m:t>y</m:t>
        </m:r>
      </m:oMath>
      <w:r>
        <w:t xml:space="preserve">; and 4) </w:t>
      </w:r>
      <m:oMath>
        <m:r>
          <w:rPr>
            <w:rFonts w:ascii="Cambria Math" w:hAnsi="Cambria Math"/>
          </w:rPr>
          <m:t>g</m:t>
        </m:r>
      </m:oMath>
      <w:r>
        <w:t xml:space="preserve"> is independent of </w:t>
      </w:r>
      <m:oMath>
        <m:r>
          <w:rPr>
            <w:rFonts w:ascii="Cambria Math" w:hAnsi="Cambria Math"/>
          </w:rPr>
          <m:t>y|x</m:t>
        </m:r>
      </m:oMath>
      <w:r>
        <w:t xml:space="preserve">. The 4th condition employs mediation for causal inference, and can be expressed as </w:t>
      </w:r>
      <m:oMath>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t xml:space="preserve">, where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x</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When measurement error in scale and imprecision is introduced, such that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value of </w:t>
      </w:r>
      <m:oMath>
        <m:r>
          <w:rPr>
            <w:rFonts w:ascii="Cambria Math" w:hAnsi="Cambria Math"/>
          </w:rPr>
          <m:t>y</m:t>
        </m:r>
      </m:oMath>
      <w:r>
        <w:t>, it can be shown using basic covariance properties (Appendix 1) that</w:t>
      </w:r>
    </w:p>
    <w:p w14:paraId="0DAB6794" w14:textId="067DED8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e>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var(g)-D</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var(g)</m:t>
                </m:r>
              </m:e>
            </m:mr>
          </m:m>
        </m:oMath>
      </m:oMathPara>
    </w:p>
    <w:p w14:paraId="03B15503" w14:textId="77777777" w:rsidR="00A86D32" w:rsidRDefault="0048619F">
      <w:pPr>
        <w:pStyle w:val="FirstParagraph"/>
      </w:pPr>
      <w:r>
        <w:t>where</w:t>
      </w:r>
    </w:p>
    <w:p w14:paraId="45170910" w14:textId="77777777" w:rsidR="00A86D32" w:rsidRDefault="0048619F">
      <w:pPr>
        <w:pStyle w:val="BodyText"/>
      </w:pPr>
      <m:oMathPara>
        <m:oMathParaPr>
          <m:jc m:val="center"/>
        </m:oMathParaPr>
        <m:oMath>
          <m:r>
            <w:rPr>
              <w:rFonts w:ascii="Cambria Math" w:hAnsi="Cambria Math"/>
            </w:rPr>
            <w:lastRenderedPageBreak/>
            <m:t>D=</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oMath>
      </m:oMathPara>
    </w:p>
    <w:p w14:paraId="1FC394C3" w14:textId="280E0B0B" w:rsidR="00A86D32" w:rsidRDefault="0048619F">
      <w:pPr>
        <w:pStyle w:val="FirstParagraph"/>
      </w:pPr>
      <w:r>
        <w:t xml:space="preserve">Thus an observational study will find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o</m:t>
                </m:r>
              </m:sub>
            </m:sSub>
          </m:e>
        </m:groupChr>
        <m:r>
          <w:rPr>
            <w:rFonts w:ascii="Cambria Math" w:hAnsi="Cambria Math"/>
          </w:rPr>
          <m:t>)=0</m:t>
        </m:r>
      </m:oMath>
      <w:r>
        <w:t xml:space="preserve"> when the true model is causal only when </w:t>
      </w:r>
      <m:oMath>
        <m:r>
          <w:rPr>
            <w:rFonts w:ascii="Cambria Math" w:hAnsi="Cambria Math"/>
          </w:rPr>
          <m:t>D=1</m:t>
        </m:r>
      </m:oMath>
      <w:r>
        <w:t xml:space="preserve">. Therefore, if there is any measurement error that incurs imprecision (i.e. </w:t>
      </w:r>
      <w:proofErr w:type="gramStart"/>
      <m:oMath>
        <m:r>
          <w:rPr>
            <w:rFonts w:ascii="Cambria Math" w:hAnsi="Cambria Math"/>
          </w:rPr>
          <m:t>var(</m:t>
        </m:r>
        <w:proofErr w:type="gramEnd"/>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)≠0</m:t>
        </m:r>
      </m:oMath>
      <w:r>
        <w:t xml:space="preserve">) then there will remain an association between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|x</m:t>
        </m:r>
      </m:oMath>
      <w:r>
        <w:t xml:space="preserve">, which is in violation of the the 4th condition of the CIT. Note that scale transformation of </w:t>
      </w:r>
      <m:oMath>
        <m:r>
          <w:rPr>
            <w:rFonts w:ascii="Cambria Math" w:hAnsi="Cambria Math"/>
          </w:rPr>
          <m:t>x</m:t>
        </m:r>
      </m:oMath>
      <w:r>
        <w:t xml:space="preserve"> or </w:t>
      </w:r>
      <m:oMath>
        <m:r>
          <w:rPr>
            <w:rFonts w:ascii="Cambria Math" w:hAnsi="Cambria Math"/>
          </w:rPr>
          <m:t>y</m:t>
        </m:r>
      </m:oMath>
      <w:r>
        <w:t xml:space="preserve"> without any incurred imprecision is insufficient to lead to a violation of the test statistic assumptions, and henceforth mention of measurement error will relate to imprecision unless otherwise stated.</w:t>
      </w:r>
      <w:commentRangeEnd w:id="27"/>
      <w:r w:rsidR="007360BF">
        <w:rPr>
          <w:rStyle w:val="CommentReference"/>
        </w:rPr>
        <w:commentReference w:id="27"/>
      </w:r>
    </w:p>
    <w:p w14:paraId="2D2ED089" w14:textId="77777777" w:rsidR="00A86D32" w:rsidRDefault="0048619F">
      <w:pPr>
        <w:pStyle w:val="BodyText"/>
      </w:pPr>
      <w:r>
        <w:t>We performed simulations to verify that this problem does arise using the CIT method. Figure 2 shows that when there is no measurement error in the exposure or outcome variables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14:paraId="7802ED7C" w14:textId="77777777" w:rsidR="00A86D32" w:rsidRDefault="0048619F">
      <w:pPr>
        <w:pStyle w:val="Heading3"/>
      </w:pPr>
      <w:bookmarkStart w:id="29" w:name="using-mr-to-infer-the-existence-of-causa"/>
      <w:bookmarkEnd w:id="29"/>
      <w:r>
        <w:t>Using MR to infer the existence of causality</w:t>
      </w:r>
    </w:p>
    <w:p w14:paraId="235DA675" w14:textId="77777777" w:rsidR="00A86D32" w:rsidRDefault="0048619F">
      <w:pPr>
        <w:pStyle w:val="FirstParagraph"/>
      </w:pPr>
      <w:commentRangeStart w:id="30"/>
      <w:r>
        <w:t xml:space="preserve">When selecting an instrument </w:t>
      </w:r>
      <m:oMath>
        <m:r>
          <w:rPr>
            <w:rFonts w:ascii="Cambria Math" w:hAnsi="Cambria Math"/>
          </w:rPr>
          <m:t>g</m:t>
        </m:r>
      </m:oMath>
      <w:r>
        <w:t xml:space="preserve"> that has a direct influence on </w:t>
      </w:r>
      <m:oMath>
        <m:r>
          <w:rPr>
            <w:rFonts w:ascii="Cambria Math" w:hAnsi="Cambria Math"/>
          </w:rPr>
          <m:t>x</m:t>
        </m:r>
      </m:oMath>
      <w:r>
        <w:t xml:space="preserve"> where </w:t>
      </w:r>
      <m:oMath>
        <m:r>
          <w:rPr>
            <w:rFonts w:ascii="Cambria Math" w:hAnsi="Cambria Math"/>
          </w:rPr>
          <m:t>x</m:t>
        </m:r>
      </m:oMath>
      <w:r>
        <w:t xml:space="preserve"> is causally related to </w:t>
      </w:r>
      <m:oMath>
        <m:r>
          <w:rPr>
            <w:rFonts w:ascii="Cambria Math" w:hAnsi="Cambria Math"/>
          </w:rPr>
          <m:t>y</m:t>
        </m:r>
      </m:oMath>
      <w:r>
        <w:t xml:space="preserve">, one can reason that the influence of </w:t>
      </w:r>
      <m:oMath>
        <m:r>
          <w:rPr>
            <w:rFonts w:ascii="Cambria Math" w:hAnsi="Cambria Math"/>
          </w:rPr>
          <m:t>g</m:t>
        </m:r>
      </m:oMath>
      <w:r>
        <w:t xml:space="preserve"> on </w:t>
      </w:r>
      <m:oMath>
        <m:r>
          <w:rPr>
            <w:rFonts w:ascii="Cambria Math" w:hAnsi="Cambria Math"/>
          </w:rPr>
          <m:t>y</m:t>
        </m:r>
      </m:oMath>
      <w:r>
        <w:t xml:space="preserve"> is the proportion of the effect of </w:t>
      </w:r>
      <m:oMath>
        <m:r>
          <w:rPr>
            <w:rFonts w:ascii="Cambria Math" w:hAnsi="Cambria Math"/>
          </w:rPr>
          <m:t>x</m:t>
        </m:r>
      </m:oMath>
      <w:r>
        <w:t xml:space="preserve"> on </w:t>
      </w:r>
      <m:oMath>
        <m:r>
          <w:rPr>
            <w:rFonts w:ascii="Cambria Math" w:hAnsi="Cambria Math"/>
          </w:rPr>
          <m:t>y</m:t>
        </m:r>
      </m:oMath>
      <w:r>
        <w:t xml:space="preserve"> that is explained by the effect of </w:t>
      </w:r>
      <m:oMath>
        <m:r>
          <w:rPr>
            <w:rFonts w:ascii="Cambria Math" w:hAnsi="Cambria Math"/>
          </w:rPr>
          <m:t>g</m:t>
        </m:r>
      </m:oMath>
      <w:r>
        <w:t xml:space="preserve"> on </w:t>
      </w:r>
      <m:oMath>
        <m:r>
          <w:rPr>
            <w:rFonts w:ascii="Cambria Math" w:hAnsi="Cambria Math"/>
          </w:rPr>
          <m:t>x</m:t>
        </m:r>
      </m:oMath>
      <w:r>
        <w:t xml:space="preserve">. Hence the effect estimate </w:t>
      </w:r>
      <m:oMath>
        <m:sSub>
          <m:sSubPr>
            <m:ctrlPr>
              <w:rPr>
                <w:rFonts w:ascii="Cambria Math" w:hAnsi="Cambria Math"/>
              </w:rPr>
            </m:ctrlPr>
          </m:sSubPr>
          <m:e>
            <m:r>
              <w:rPr>
                <w:rFonts w:ascii="Cambria Math" w:hAnsi="Cambria Math"/>
              </w:rPr>
              <m:t>β</m:t>
            </m:r>
          </m:e>
          <m:sub>
            <m:r>
              <w:rPr>
                <w:rFonts w:ascii="Cambria Math" w:hAnsi="Cambria Math"/>
              </w:rPr>
              <m:t>MR</m:t>
            </m:r>
          </m:sub>
        </m:sSub>
      </m:oMath>
      <w:r>
        <w:t xml:space="preserve"> of </w:t>
      </w:r>
      <m:oMath>
        <m:r>
          <w:rPr>
            <w:rFonts w:ascii="Cambria Math" w:hAnsi="Cambria Math"/>
          </w:rPr>
          <m:t>x</m:t>
        </m:r>
      </m:oMath>
      <w:r>
        <w:t xml:space="preserve"> on </w:t>
      </w:r>
      <m:oMath>
        <m:r>
          <w:rPr>
            <w:rFonts w:ascii="Cambria Math" w:hAnsi="Cambria Math"/>
          </w:rPr>
          <m:t>y</m:t>
        </m:r>
      </m:oMath>
      <w:r>
        <w:t xml:space="preserve"> is estimated as</w:t>
      </w:r>
    </w:p>
    <w:p w14:paraId="5AC7AC72"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β</m:t>
                        </m:r>
                      </m:e>
                      <m:sub>
                        <m:r>
                          <w:rPr>
                            <w:rFonts w:ascii="Cambria Math" w:hAnsi="Cambria Math"/>
                          </w:rPr>
                          <m:t>g</m:t>
                        </m:r>
                      </m:sub>
                    </m:sSub>
                  </m:den>
                </m:f>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,g)</m:t>
                    </m:r>
                  </m:num>
                  <m:den>
                    <m:r>
                      <w:rPr>
                        <w:rFonts w:ascii="Cambria Math" w:hAnsi="Cambria Math"/>
                      </w:rPr>
                      <m:t>cov(</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,g)</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cov(x,g)</m:t>
                    </m:r>
                  </m:num>
                  <m:den>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cov(x,g)</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num>
                  <m:den>
                    <m:sSub>
                      <m:sSubPr>
                        <m:ctrlPr>
                          <w:rPr>
                            <w:rFonts w:ascii="Cambria Math" w:hAnsi="Cambria Math"/>
                          </w:rPr>
                        </m:ctrlPr>
                      </m:sSubPr>
                      <m:e>
                        <m:r>
                          <w:rPr>
                            <w:rFonts w:ascii="Cambria Math" w:hAnsi="Cambria Math"/>
                          </w:rPr>
                          <m:t>β</m:t>
                        </m:r>
                      </m:e>
                      <m:sub>
                        <m:r>
                          <w:rPr>
                            <w:rFonts w:ascii="Cambria Math" w:hAnsi="Cambria Math"/>
                          </w:rPr>
                          <m:t>mx</m:t>
                        </m:r>
                      </m:sub>
                    </m:sSub>
                  </m:den>
                </m:f>
                <m:sSub>
                  <m:sSubPr>
                    <m:ctrlPr>
                      <w:rPr>
                        <w:rFonts w:ascii="Cambria Math" w:hAnsi="Cambria Math"/>
                      </w:rPr>
                    </m:ctrlPr>
                  </m:sSubPr>
                  <m:e>
                    <m:r>
                      <w:rPr>
                        <w:rFonts w:ascii="Cambria Math" w:hAnsi="Cambria Math"/>
                      </w:rPr>
                      <m:t>β</m:t>
                    </m:r>
                  </m:e>
                  <m:sub>
                    <m:r>
                      <w:rPr>
                        <w:rFonts w:ascii="Cambria Math" w:hAnsi="Cambria Math"/>
                      </w:rPr>
                      <m:t>x</m:t>
                    </m:r>
                  </m:sub>
                </m:sSub>
              </m:e>
            </m:mr>
          </m:m>
        </m:oMath>
      </m:oMathPara>
    </w:p>
    <w:p w14:paraId="392F785E" w14:textId="77777777" w:rsidR="00A86D32" w:rsidRDefault="0048619F">
      <w:pPr>
        <w:pStyle w:val="FirstParagraph"/>
      </w:pPr>
      <w:r>
        <w:t xml:space="preserve">Thus we obtain an estimate of the effect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on </w:t>
      </w:r>
      <m:oMath>
        <m:r>
          <w:rPr>
            <w:rFonts w:ascii="Cambria Math" w:hAnsi="Cambria Math"/>
          </w:rPr>
          <m:t>y</m:t>
        </m:r>
      </m:oMath>
      <w:r>
        <w:t xml:space="preserve"> that is scaled by the measurement error in </w:t>
      </w:r>
      <m:oMath>
        <m:r>
          <w:rPr>
            <w:rFonts w:ascii="Cambria Math" w:hAnsi="Cambria Math"/>
          </w:rPr>
          <m:t>x</m:t>
        </m:r>
      </m:oMath>
      <w:r>
        <w:t xml:space="preserve"> and </w:t>
      </w:r>
      <m:oMath>
        <m:r>
          <w:rPr>
            <w:rFonts w:ascii="Cambria Math" w:hAnsi="Cambria Math"/>
          </w:rP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is not inflated when the null hypothesis is true.</w:t>
      </w:r>
      <w:commentRangeEnd w:id="30"/>
      <w:r w:rsidR="007360BF">
        <w:rPr>
          <w:rStyle w:val="CommentReference"/>
        </w:rPr>
        <w:commentReference w:id="30"/>
      </w:r>
    </w:p>
    <w:p w14:paraId="6D2977A7" w14:textId="5B767F9F" w:rsidR="00A86D32" w:rsidRDefault="0048619F">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 </w:t>
      </w:r>
      <m:oMath>
        <m:r>
          <w:rPr>
            <w:rFonts w:ascii="Cambria Math" w:hAnsi="Cambria Math"/>
          </w:rPr>
          <m:t>x</m:t>
        </m:r>
      </m:oMath>
      <w:r>
        <w:t xml:space="preserve"> and </w:t>
      </w:r>
      <m:oMath>
        <m:r>
          <w:rPr>
            <w:rFonts w:ascii="Cambria Math" w:hAnsi="Cambria Math"/>
          </w:rPr>
          <m:t>y</m:t>
        </m:r>
      </m:oMath>
      <w:r>
        <w:t xml:space="preserve"> the SNP </w:t>
      </w:r>
      <m:oMath>
        <m:r>
          <w:rPr>
            <w:rFonts w:ascii="Cambria Math" w:hAnsi="Cambria Math"/>
          </w:rPr>
          <m:t>g</m:t>
        </m:r>
      </m:oMath>
      <w:r>
        <w:t xml:space="preserve"> has a primary influence, the </w:t>
      </w:r>
      <w:r>
        <w:lastRenderedPageBreak/>
        <w:t>performance of MR in detecting an association is unrelated to measurement error in the exposure. Measurement error in the outcome does reduce power, but does not induce a substantive difference in performance between CIT and MR.</w:t>
      </w:r>
    </w:p>
    <w:p w14:paraId="6AE022C6" w14:textId="77777777" w:rsidR="00A86D32" w:rsidRDefault="0048619F">
      <w:pPr>
        <w:pStyle w:val="Heading3"/>
      </w:pPr>
      <w:bookmarkStart w:id="31" w:name="using-mr-to-infer-the-direction-of-causa"/>
      <w:bookmarkEnd w:id="31"/>
      <w:r>
        <w:t>Using MR to infer the direction of causality</w:t>
      </w:r>
    </w:p>
    <w:p w14:paraId="33A2EF5B" w14:textId="77777777" w:rsidR="00A86D32" w:rsidRDefault="0048619F">
      <w:pPr>
        <w:pStyle w:val="FirstParagraph"/>
      </w:pPr>
      <w:r>
        <w:t xml:space="preserve">If we do not know whether the SNP </w:t>
      </w:r>
      <m:oMath>
        <m:r>
          <w:rPr>
            <w:rFonts w:ascii="Cambria Math" w:hAnsi="Cambria Math"/>
          </w:rPr>
          <m:t>g</m:t>
        </m:r>
      </m:oMath>
      <w:r>
        <w:t xml:space="preserve"> has a direct influence on </w:t>
      </w:r>
      <m:oMath>
        <m:r>
          <w:rPr>
            <w:rFonts w:ascii="Cambria Math" w:hAnsi="Cambria Math"/>
          </w:rPr>
          <m:t>x</m:t>
        </m:r>
      </m:oMath>
      <w:r>
        <w:t xml:space="preserve"> or </w:t>
      </w:r>
      <m:oMath>
        <m:r>
          <w:rPr>
            <w:rFonts w:ascii="Cambria Math" w:hAnsi="Cambria Math"/>
          </w:rPr>
          <m:t>y</m:t>
        </m:r>
      </m:oMath>
      <w:r>
        <w:t xml:space="preserve"> then further efforts are required. If </w:t>
      </w:r>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 valid instrument for </w:t>
      </w:r>
      <m:oMath>
        <m:r>
          <w:rPr>
            <w:rFonts w:ascii="Cambria Math" w:hAnsi="Cambria Math"/>
          </w:rPr>
          <m:t>x</m:t>
        </m:r>
      </m:oMath>
      <w:r>
        <w:t xml:space="preserve"> then we expect that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to be greater than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because the association of </w:t>
      </w:r>
      <m:oMath>
        <m:r>
          <w:rPr>
            <w:rFonts w:ascii="Cambria Math" w:hAnsi="Cambria Math"/>
          </w:rPr>
          <m:t>g</m:t>
        </m:r>
      </m:oMath>
      <w:r>
        <w:t xml:space="preserve"> with </w:t>
      </w:r>
      <m:oMath>
        <m:r>
          <w:rPr>
            <w:rFonts w:ascii="Cambria Math" w:hAnsi="Cambria Math"/>
          </w:rPr>
          <m:t>y</m:t>
        </m:r>
      </m:oMath>
      <w:r>
        <w:t xml:space="preserve"> is the proportion of the true causal association between </w:t>
      </w:r>
      <m:oMath>
        <m:r>
          <w:rPr>
            <w:rFonts w:ascii="Cambria Math" w:hAnsi="Cambria Math"/>
          </w:rPr>
          <m:t>x</m:t>
        </m:r>
      </m:oMath>
      <w:r>
        <w:t xml:space="preserve"> and </w:t>
      </w:r>
      <m:oMath>
        <m:r>
          <w:rPr>
            <w:rFonts w:ascii="Cambria Math" w:hAnsi="Cambria Math"/>
          </w:rPr>
          <m:t>y</m:t>
        </m:r>
      </m:oMath>
      <w:r>
        <w:t xml:space="preserve"> scaled by the association between </w:t>
      </w:r>
      <m:oMath>
        <m:r>
          <w:rPr>
            <w:rFonts w:ascii="Cambria Math" w:hAnsi="Cambria Math"/>
          </w:rPr>
          <m:t>g</m:t>
        </m:r>
      </m:oMath>
      <w:r>
        <w:t xml:space="preserve"> and </w:t>
      </w:r>
      <m:oMath>
        <m:r>
          <w:rPr>
            <w:rFonts w:ascii="Cambria Math" w:hAnsi="Cambria Math"/>
          </w:rPr>
          <m:t>x</m:t>
        </m:r>
      </m:oMath>
      <w:r>
        <w:t xml:space="preserve">. We can use the Steiger test of correlated correlations to formally test the difference in magnitude of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where the variable with the largest correlation on </w:t>
      </w:r>
      <m:oMath>
        <m:r>
          <w:rPr>
            <w:rFonts w:ascii="Cambria Math" w:hAnsi="Cambria Math"/>
          </w:rPr>
          <m:t>g</m:t>
        </m:r>
      </m:oMath>
      <w:r>
        <w:t xml:space="preserve"> is deemed to be the variable which is imposing the causal effect.</w:t>
      </w:r>
    </w:p>
    <w:p w14:paraId="0CC53F6B" w14:textId="77777777" w:rsidR="00A86D32" w:rsidRDefault="0048619F">
      <w:pPr>
        <w:pStyle w:val="BodyText"/>
      </w:pPr>
      <w:r>
        <w:t xml:space="preserve">This is a simple method to orient the direction of causality in an MR analysis when the underlying biology of the SNP is not fully understood. But it can be shown that in the presence of measurement imprecision,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(Appendix 2), where </w:t>
      </w:r>
      <m:oMath>
        <m:r>
          <w:rPr>
            <w:rFonts w:ascii="Cambria Math" w:hAnsi="Cambria Math"/>
          </w:rPr>
          <m:t>d</m:t>
        </m:r>
      </m:oMath>
      <w:r>
        <w:t xml:space="preserve"> is a metric of the degree to which the Steiger test is liable to provide the wrong estimate (</w:t>
      </w:r>
      <w:r>
        <w:rPr>
          <w:i/>
        </w:rPr>
        <w:t>i.e.</w:t>
      </w:r>
      <w:r>
        <w:t xml:space="preserve"> if </w:t>
      </w:r>
      <m:oMath>
        <m:r>
          <w:rPr>
            <w:rFonts w:ascii="Cambria Math" w:hAnsi="Cambria Math"/>
          </w:rPr>
          <m:t>d&gt;0</m:t>
        </m:r>
      </m:oMath>
      <w:r>
        <w:t xml:space="preserve"> then the Steiger test is likely to be correct about the causal direction). Thus it is important to note that under certain conditions when measurement imprecision is present the Steiger test could make erroneous inference about the causal direction because the value of </w:t>
      </w:r>
      <m:oMath>
        <m:r>
          <w:rPr>
            <w:rFonts w:ascii="Cambria Math" w:hAnsi="Cambria Math"/>
          </w:rPr>
          <m:t>d</m:t>
        </m:r>
      </m:oMath>
      <w:r>
        <w:t xml:space="preserve"> is not restricted to being greater than 0. However Figure 7 shows that when there is no measurement error in </w:t>
      </w:r>
      <m:oMath>
        <m:r>
          <w:rPr>
            <w:rFonts w:ascii="Cambria Math" w:hAnsi="Cambria Math"/>
          </w:rPr>
          <m:t>x</m:t>
        </m:r>
      </m:oMath>
      <w:r>
        <w:t xml:space="preserve">, the Steiger test is unlikely to infer the wrong direction of causality even if there is measurement error in </w:t>
      </w:r>
      <m:oMath>
        <m:r>
          <w:rPr>
            <w:rFonts w:ascii="Cambria Math" w:hAnsi="Cambria Math"/>
          </w:rPr>
          <m:t>y</m:t>
        </m:r>
      </m:oMath>
      <w:r>
        <w:t xml:space="preserve">. It also shows that in most cases where </w:t>
      </w:r>
      <m:oMath>
        <m:r>
          <w:rPr>
            <w:rFonts w:ascii="Cambria Math" w:hAnsi="Cambria Math"/>
          </w:rPr>
          <m:t>x</m:t>
        </m:r>
      </m:oMath>
      <w:r>
        <w:t xml:space="preserve"> is measured with error, especially when the causal effect between </w:t>
      </w:r>
      <m:oMath>
        <m:r>
          <w:rPr>
            <w:rFonts w:ascii="Cambria Math" w:hAnsi="Cambria Math"/>
          </w:rPr>
          <m:t>x</m:t>
        </m:r>
      </m:oMath>
      <w:r>
        <w:t xml:space="preserve"> and </w:t>
      </w:r>
      <m:oMath>
        <m:r>
          <w:rPr>
            <w:rFonts w:ascii="Cambria Math" w:hAnsi="Cambria Math"/>
          </w:rPr>
          <m:t>y</m:t>
        </m:r>
      </m:oMath>
      <w:r>
        <w:t xml:space="preserve"> is not very large, the sensitivity of the Steiger test to measurement error is relatively low.</w:t>
      </w:r>
    </w:p>
    <w:p w14:paraId="061E98AF" w14:textId="77777777" w:rsidR="00A86D32" w:rsidRDefault="0048619F">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 </w:t>
      </w:r>
      <m:oMath>
        <m:r>
          <w:rPr>
            <w:rFonts w:ascii="Cambria Math" w:hAnsi="Cambria Math"/>
          </w:rPr>
          <m:t>x</m:t>
        </m:r>
      </m:oMath>
      <w:r>
        <w:t xml:space="preserve"> and </w:t>
      </w:r>
      <m:oMath>
        <m:r>
          <w:rPr>
            <w:rFonts w:ascii="Cambria Math" w:hAnsi="Cambria Math"/>
          </w:rPr>
          <m:t>y</m:t>
        </m:r>
      </m:oMath>
      <w:r>
        <w:t xml:space="preserve">; and one for a "non-causal model" where </w:t>
      </w:r>
      <m:oMath>
        <m:r>
          <w:rPr>
            <w:rFonts w:ascii="Cambria Math" w:hAnsi="Cambria Math"/>
          </w:rPr>
          <m:t>x</m:t>
        </m:r>
      </m:oMath>
      <w:r>
        <w:t xml:space="preserve"> and </w:t>
      </w:r>
      <m:oMath>
        <m:r>
          <w:rPr>
            <w:rFonts w:ascii="Cambria Math" w:hAnsi="Cambria Math"/>
          </w:rPr>
          <m:t>y</m:t>
        </m:r>
      </m:oMath>
      <w:r>
        <w:t xml:space="preserve"> were not causally related, but had a confounded association induced by the SNP </w:t>
      </w:r>
      <m:oMath>
        <m:r>
          <w:rPr>
            <w:rFonts w:ascii="Cambria Math" w:hAnsi="Cambria Math"/>
          </w:rPr>
          <m:t>g</m:t>
        </m:r>
      </m:oMath>
      <w:r>
        <w:t xml:space="preserve"> influencing a confounder variable </w:t>
      </w:r>
      <m:oMath>
        <m:r>
          <w:rPr>
            <w:rFonts w:ascii="Cambria Math" w:hAnsi="Cambria Math"/>
          </w:rPr>
          <m:t>u</m:t>
        </m:r>
      </m:oMath>
      <w:r>
        <w:t>.</w:t>
      </w:r>
    </w:p>
    <w:p w14:paraId="5ED41683" w14:textId="78361B7D" w:rsidR="00A86D32" w:rsidRDefault="0048619F">
      <w:pPr>
        <w:pStyle w:val="BodyText"/>
      </w:pPr>
      <w:r>
        <w:t xml:space="preserve">Figure 5a shows that, for the "causal model", when </w:t>
      </w:r>
      <m:oMath>
        <m:r>
          <w:rPr>
            <w:rFonts w:ascii="Cambria Math" w:hAnsi="Cambria Math"/>
          </w:rPr>
          <m:t>d&lt;0</m:t>
        </m:r>
      </m:oMath>
      <w:r>
        <w:t xml:space="preserve"> 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 </w:t>
      </w:r>
      <m:oMath>
        <m:r>
          <w:rPr>
            <w:rFonts w:ascii="Cambria Math" w:hAnsi="Cambria Math"/>
          </w:rPr>
          <m:t>d&gt;0</m:t>
        </m:r>
      </m:oMath>
      <w:r>
        <w:t xml:space="preserve"> is satisfied we observe that in most cases the MR method has greater power to obtain evidence for causality than CIT, and always obtains the correct direction of causality. The CIT, unlike the </w:t>
      </w:r>
      <w:proofErr w:type="spellStart"/>
      <w:r>
        <w:t>Steiger</w:t>
      </w:r>
      <w:proofErr w:type="spellEnd"/>
      <w:r>
        <w:t xml:space="preserve"> test for MR, is able to distinguish the "non-causal model" from the "causal model" (Methods, Figure 5b), but it is evident that measurement error will often lead the CIT to evaluate this confounding model as being causal.</w:t>
      </w:r>
    </w:p>
    <w:p w14:paraId="09708E7D" w14:textId="4EC995B4" w:rsidR="00A86D32" w:rsidRDefault="0048619F">
      <w:pPr>
        <w:pStyle w:val="Heading3"/>
      </w:pPr>
      <w:bookmarkStart w:id="32" w:name="the-causal-relationship-between-gene-exp"/>
      <w:bookmarkEnd w:id="32"/>
      <w:r>
        <w:lastRenderedPageBreak/>
        <w:t>The causal relationship between gene expression and DNA methylation levels</w:t>
      </w:r>
    </w:p>
    <w:p w14:paraId="3E16FE4B" w14:textId="2680E7A5" w:rsidR="00A86D32" w:rsidRDefault="0048619F">
      <w:pPr>
        <w:pStyle w:val="FirstParagraph"/>
      </w:pPr>
      <w:r>
        <w:t>We used the Steiger test to infer the direction of causality between DNA methylation levels and gene expression levels and found that the causal direction commonly goes in both directions (Figure 6a), but assuming no or equal measurement error DNA methylation levels were the predominant causal factor (</w:t>
      </w:r>
      <m:oMath>
        <m:r>
          <w:rPr>
            <w:rFonts w:ascii="Cambria Math" w:hAnsi="Cambria Math"/>
          </w:rPr>
          <m:t>p=1.3×</m:t>
        </m:r>
        <m:sSup>
          <m:sSupPr>
            <m:ctrlPr>
              <w:rPr>
                <w:rFonts w:ascii="Cambria Math" w:hAnsi="Cambria Math"/>
              </w:rPr>
            </m:ctrlPr>
          </m:sSupPr>
          <m:e>
            <m:r>
              <w:rPr>
                <w:rFonts w:ascii="Cambria Math" w:hAnsi="Cambria Math"/>
              </w:rPr>
              <m:t>10</m:t>
            </m:r>
          </m:e>
          <m:sup>
            <m:r>
              <w:rPr>
                <w:rFonts w:ascii="Cambria Math" w:hAnsi="Cambria Math"/>
              </w:rPr>
              <m:t>-5</m:t>
            </m:r>
          </m:sup>
        </m:sSup>
      </m:oMath>
      <w:r>
        <w:t>).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14:paraId="13265585" w14:textId="03C25780" w:rsidR="00A86D32" w:rsidRDefault="0048619F">
      <w:pPr>
        <w:pStyle w:val="BodyText"/>
      </w:pPr>
      <w:r>
        <w:t xml:space="preserve">We performed two </w:t>
      </w:r>
      <w:proofErr w:type="gramStart"/>
      <w:r>
        <w:t>sample</w:t>
      </w:r>
      <w:proofErr w:type="gramEnd"/>
      <w:r>
        <w:t xml:space="preserve"> MR</w:t>
      </w:r>
      <w:r>
        <w:rPr>
          <w:vertAlign w:val="superscript"/>
        </w:rPr>
        <w:t>28</w:t>
      </w:r>
      <w:r>
        <w:t xml:space="preserve"> 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40</w:t>
      </w:r>
      <w:r>
        <w:t xml:space="preserve"> (Figure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14:paraId="40AB93BA" w14:textId="73898C7F" w:rsidR="00A86D32" w:rsidRDefault="0048619F">
      <w:pPr>
        <w:pStyle w:val="BodyText"/>
      </w:pPr>
      <w:r>
        <w:t>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41</w:t>
      </w:r>
      <w:r>
        <w:t>.</w:t>
      </w:r>
    </w:p>
    <w:p w14:paraId="114F1A32" w14:textId="77777777" w:rsidR="00A86D32" w:rsidRDefault="0048619F">
      <w:pPr>
        <w:pStyle w:val="Heading2"/>
      </w:pPr>
      <w:bookmarkStart w:id="33" w:name="discussion"/>
      <w:bookmarkEnd w:id="33"/>
      <w:r>
        <w:t>Discussion</w:t>
      </w:r>
    </w:p>
    <w:p w14:paraId="22AC988D" w14:textId="1E3F91B4" w:rsidR="00A86D32" w:rsidRDefault="0048619F">
      <w:pPr>
        <w:pStyle w:val="FirstParagraph"/>
      </w:pPr>
      <w:r>
        <w:t>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42</w:t>
      </w:r>
      <w:r>
        <w:t>.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14:paraId="52652F64" w14:textId="4605C9F8" w:rsidR="00A86D32" w:rsidRDefault="0048619F">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w:t>
      </w:r>
      <w:r>
        <w:lastRenderedPageBreak/>
        <w:t>are commonly used as instruments when they are found in genes with known biological relevance for the trait of interest. But on many occasions, especially in the realm of '</w:t>
      </w:r>
      <w:proofErr w:type="spellStart"/>
      <w:r>
        <w:t>omic</w:t>
      </w:r>
      <w:proofErr w:type="spellEnd"/>
      <w:r>
        <w:t xml:space="preserve"> data, this is not the case, and methods based on mediation in have been valuable in order to be able to both ascertain if there is a causal association and to infer the direction of causality. Here we have described a simple extension to </w:t>
      </w:r>
      <w:proofErr w:type="gramStart"/>
      <w:r>
        <w:t>MR which</w:t>
      </w:r>
      <w:proofErr w:type="gramEnd"/>
      <w:r>
        <w:t xml:space="preserve">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 </w:t>
      </w:r>
      <m:oMath>
        <m:r>
          <w:rPr>
            <w:rFonts w:ascii="Cambria Math" w:hAnsi="Cambria Math"/>
          </w:rPr>
          <m:t>d&gt;0</m:t>
        </m:r>
      </m:oMath>
      <w:r>
        <w:t>.</w:t>
      </w:r>
    </w:p>
    <w:p w14:paraId="0ED7E4D3" w14:textId="7A9354A5" w:rsidR="00A86D32" w:rsidRDefault="0048619F">
      <w:pPr>
        <w:pStyle w:val="BodyText"/>
      </w:pPr>
      <w:r>
        <w:t>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w:t>
      </w:r>
      <w:r w:rsidR="0049634C">
        <w:t>n</w:t>
      </w:r>
      <w:r>
        <w:t xml:space="preserve">t error than gene expression measures then our analysis suggests that DNA methylation levels would be more often </w:t>
      </w:r>
      <w:r w:rsidR="0049634C">
        <w:t xml:space="preserve">identified as </w:t>
      </w:r>
      <w:r>
        <w:t>the causal factor in the association. Indeed, previous studies which have evaluated measurement error in these platforms do support this position</w:t>
      </w:r>
      <w:r>
        <w:rPr>
          <w:vertAlign w:val="superscript"/>
        </w:rPr>
        <w:t>43</w:t>
      </w:r>
      <w:proofErr w:type="gramStart"/>
      <w:r>
        <w:rPr>
          <w:vertAlign w:val="superscript"/>
        </w:rPr>
        <w:t>,44</w:t>
      </w:r>
      <w:proofErr w:type="gramEnd"/>
      <w:r>
        <w:t>, though making strong conclusions for this analysis is difficult because measurement error is likely to be study specific.</w:t>
      </w:r>
    </w:p>
    <w:p w14:paraId="0B722FCC" w14:textId="3A60F0E8" w:rsidR="00A86D32" w:rsidRDefault="0048619F">
      <w:pPr>
        <w:pStyle w:val="BodyText"/>
      </w:pPr>
      <w:r>
        <w:t>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16</w:t>
      </w:r>
      <w:r>
        <w:t>. Likewise, if there is at least one instrument for each trait then bi-directional MR can offer solutions to inferring the causal direction</w:t>
      </w:r>
      <w:r>
        <w:rPr>
          <w:vertAlign w:val="superscript"/>
        </w:rPr>
        <w:t>45</w:t>
      </w:r>
      <w:r>
        <w:t>. In this work we assumed that pleiotropy (the influence of the instrument on the outcome through a mechanism other than the exposure) was not present. Recent method developments in MR</w:t>
      </w:r>
      <w:r>
        <w:rPr>
          <w:vertAlign w:val="superscript"/>
        </w:rPr>
        <w:t>24</w:t>
      </w:r>
      <w:proofErr w:type="gramStart"/>
      <w:r>
        <w:rPr>
          <w:vertAlign w:val="superscript"/>
        </w:rPr>
        <w:t>,25</w:t>
      </w:r>
      <w:proofErr w:type="gramEnd"/>
      <w:r>
        <w:t xml:space="preserve"> 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w:t>
      </w:r>
      <w:commentRangeStart w:id="34"/>
      <w:r>
        <w:t>However, whether there is a substantive difference in two sample MR versus one sample MR in how measurement error has an effect is not yet fully understood.</w:t>
      </w:r>
      <w:commentRangeEnd w:id="34"/>
      <w:r w:rsidR="0049634C">
        <w:rPr>
          <w:rStyle w:val="CommentReference"/>
        </w:rPr>
        <w:commentReference w:id="34"/>
      </w:r>
      <w:r>
        <w:t xml:space="preserve">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w:t>
      </w:r>
      <w:r>
        <w:lastRenderedPageBreak/>
        <w:t>explorations of measurement error by assessing the impacts of both imprecision (noise) and linear transformations of the true variable on causal inference.</w:t>
      </w:r>
    </w:p>
    <w:p w14:paraId="36A060FA" w14:textId="03973304" w:rsidR="00A86D32" w:rsidRDefault="0048619F">
      <w:pPr>
        <w:pStyle w:val="BodyText"/>
      </w:pPr>
      <w:r>
        <w:t>Mediation based network approaches, that go beyond analyses of two variables, are very well established</w:t>
      </w:r>
      <w:r>
        <w:rPr>
          <w:vertAlign w:val="superscript"/>
        </w:rPr>
        <w:t>33</w:t>
      </w:r>
      <w:r>
        <w:t xml:space="preserve"> 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46</w:t>
      </w:r>
      <w:bookmarkStart w:id="35" w:name="_GoBack"/>
      <w:bookmarkEnd w:id="35"/>
      <w:r>
        <w:t>, multivariate MR</w:t>
      </w:r>
      <w:r>
        <w:rPr>
          <w:vertAlign w:val="superscript"/>
        </w:rPr>
        <w:t>47</w:t>
      </w:r>
      <w:r>
        <w:t xml:space="preserve"> and mediation through MR</w:t>
      </w:r>
      <w:r>
        <w:rPr>
          <w:vertAlign w:val="superscript"/>
        </w:rPr>
        <w:t>48–50</w:t>
      </w:r>
      <w:r>
        <w:t xml:space="preserve"> may offer more robust alternatives for these more complicated problems.</w:t>
      </w:r>
    </w:p>
    <w:p w14:paraId="41B535AE" w14:textId="77777777" w:rsidR="00A86D32" w:rsidRDefault="0048619F">
      <w:pPr>
        <w:pStyle w:val="BodyText"/>
      </w:pPr>
      <w:r>
        <w:t>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14:paraId="5FD92C66" w14:textId="77777777" w:rsidR="00A86D32" w:rsidRDefault="0048619F">
      <w:pPr>
        <w:pStyle w:val="Heading2"/>
      </w:pPr>
      <w:bookmarkStart w:id="36" w:name="figures"/>
      <w:bookmarkEnd w:id="36"/>
      <w:r>
        <w:t>Figures</w:t>
      </w:r>
    </w:p>
    <w:p w14:paraId="10FF347D" w14:textId="77777777" w:rsidR="00A86D32" w:rsidRDefault="0048619F">
      <w:pPr>
        <w:pStyle w:val="Figure"/>
      </w:pPr>
      <w:r>
        <w:rPr>
          <w:noProof/>
        </w:rPr>
        <w:drawing>
          <wp:inline distT="0" distB="0" distL="0" distR="0" wp14:anchorId="553774D4" wp14:editId="4B89C148">
            <wp:extent cx="5334000" cy="43779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ag-01.png"/>
                    <pic:cNvPicPr>
                      <a:picLocks noChangeAspect="1" noChangeArrowheads="1"/>
                    </pic:cNvPicPr>
                  </pic:nvPicPr>
                  <pic:blipFill>
                    <a:blip r:embed="rId12"/>
                    <a:stretch>
                      <a:fillRect/>
                    </a:stretch>
                  </pic:blipFill>
                  <pic:spPr bwMode="auto">
                    <a:xfrm>
                      <a:off x="0" y="0"/>
                      <a:ext cx="5334000" cy="4377905"/>
                    </a:xfrm>
                    <a:prstGeom prst="rect">
                      <a:avLst/>
                    </a:prstGeom>
                    <a:noFill/>
                    <a:ln w="9525">
                      <a:noFill/>
                      <a:headEnd/>
                      <a:tailEnd/>
                    </a:ln>
                  </pic:spPr>
                </pic:pic>
              </a:graphicData>
            </a:graphic>
          </wp:inline>
        </w:drawing>
      </w:r>
    </w:p>
    <w:p w14:paraId="298D6565" w14:textId="30609DC6" w:rsidR="00A86D32" w:rsidRDefault="0048619F">
      <w:pPr>
        <w:pStyle w:val="FirstParagraph"/>
      </w:pPr>
      <w:r>
        <w:lastRenderedPageBreak/>
        <w:t>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w:t>
      </w:r>
      <w:r w:rsidR="00035D98">
        <w:t>istinguish</w:t>
      </w:r>
      <w:r>
        <w:t xml:space="preserv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14:paraId="78496318" w14:textId="77777777" w:rsidR="00A86D32" w:rsidRDefault="0048619F">
      <w:pPr>
        <w:pStyle w:val="BodyText"/>
      </w:pPr>
      <w:r>
        <w:rPr>
          <w:noProof/>
        </w:rPr>
        <w:drawing>
          <wp:inline distT="0" distB="0" distL="0" distR="0" wp14:anchorId="09578DA0" wp14:editId="7EE0D5D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easurement_error_figur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26B941E" w14:textId="79421203" w:rsidR="00A86D32" w:rsidRDefault="0048619F">
      <w:pPr>
        <w:pStyle w:val="BodyText"/>
      </w:pPr>
      <w:r>
        <w:lastRenderedPageBreak/>
        <w:t>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14:paraId="7207D2EA" w14:textId="77777777" w:rsidR="00A86D32" w:rsidRDefault="0048619F">
      <w:pPr>
        <w:pStyle w:val="BodyText"/>
      </w:pPr>
      <w:r>
        <w:rPr>
          <w:noProof/>
        </w:rPr>
        <w:drawing>
          <wp:inline distT="0" distB="0" distL="0" distR="0" wp14:anchorId="6AE79EED" wp14:editId="52C8E98D">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teiger_sensitivity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1336075" w14:textId="77777777" w:rsidR="00A86D32" w:rsidRDefault="0048619F">
      <w:pPr>
        <w:pStyle w:val="BodyText"/>
      </w:pPr>
      <w:r>
        <w:t xml:space="preserve">Figure 3: a) We can predict the values the Steiger test would take (z-axis) for different potential values of measurement error (x and </w:t>
      </w:r>
      <w:proofErr w:type="gramStart"/>
      <w:r>
        <w:t>y axes</w:t>
      </w:r>
      <w:proofErr w:type="gramEnd"/>
      <w:r>
        <w:t xml:space="preserve">), drawn here as the blue surface. </w:t>
      </w:r>
      <w:commentRangeStart w:id="37"/>
      <w:r>
        <w:t xml:space="preserve">When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as </w:t>
      </w:r>
      <w:commentRangeEnd w:id="37"/>
      <w:r w:rsidR="0035746F">
        <w:rPr>
          <w:rStyle w:val="CommentReference"/>
        </w:rPr>
        <w:commentReference w:id="37"/>
      </w:r>
      <w:r>
        <w:t xml:space="preserve">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 </w:t>
      </w: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w:r>
        <w:t xml:space="preserve">. In this case, where </w:t>
      </w:r>
      <m:oMath>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=0.01</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x,y</m:t>
            </m:r>
          </m:sub>
          <m:sup>
            <m:r>
              <w:rPr>
                <w:rFonts w:ascii="Cambria Math" w:hAnsi="Cambria Math"/>
              </w:rPr>
              <m:t>2</m:t>
            </m:r>
          </m:sup>
        </m:sSubSup>
        <m:r>
          <w:rPr>
            <w:rFonts w:ascii="Cambria Math" w:hAnsi="Cambria Math"/>
          </w:rPr>
          <m:t>=0.1</m:t>
        </m:r>
      </m:oMath>
      <w:r>
        <w:t xml:space="preserve">, the </w:t>
      </w:r>
      <m:oMath>
        <m:r>
          <w:rPr>
            <w:rFonts w:ascii="Cambria Math" w:hAnsi="Cambria Math"/>
          </w:rPr>
          <m:t>R=4.40</m:t>
        </m:r>
      </m:oMath>
      <w:r>
        <w:t xml:space="preserve">, which means that 4.40 times as much of the possible measurement error values are in support of the </w:t>
      </w:r>
      <m:oMath>
        <m:r>
          <w:rPr>
            <w:rFonts w:ascii="Cambria Math" w:hAnsi="Cambria Math"/>
          </w:rPr>
          <m:t>x→y</m:t>
        </m:r>
      </m:oMath>
      <w:r>
        <w:t xml:space="preserve"> direction of causality than </w:t>
      </w:r>
      <m:oMath>
        <m:r>
          <w:rPr>
            <w:rFonts w:ascii="Cambria Math" w:hAnsi="Cambria Math"/>
          </w:rPr>
          <m:t>y→x</m:t>
        </m:r>
      </m:oMath>
      <w:r>
        <w:t xml:space="preserve">. b) </w:t>
      </w:r>
      <w:commentRangeStart w:id="38"/>
      <w:r>
        <w:t xml:space="preserve">The influence of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(x-axis) on the Steiger reliability values (y-axis) for different values of </w:t>
      </w:r>
      <m:oMath>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oMath>
      <w:r>
        <w:t xml:space="preserve">. Inferring </w:t>
      </w:r>
      <w:commentRangeEnd w:id="38"/>
      <w:r w:rsidR="0035746F">
        <w:rPr>
          <w:rStyle w:val="CommentReference"/>
        </w:rPr>
        <w:commentReference w:id="38"/>
      </w:r>
      <w:r>
        <w:t>the direction of causality is more sensitive to measurement error when there are stronger causal associations between X and Y.</w:t>
      </w:r>
    </w:p>
    <w:p w14:paraId="240BDC7E" w14:textId="77777777" w:rsidR="00A86D32" w:rsidRDefault="0048619F">
      <w:pPr>
        <w:pStyle w:val="BodyText"/>
      </w:pPr>
      <w:r>
        <w:rPr>
          <w:noProof/>
        </w:rPr>
        <w:lastRenderedPageBreak/>
        <w:drawing>
          <wp:inline distT="0" distB="0" distL="0" distR="0" wp14:anchorId="71E83EF7" wp14:editId="75C48493">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ausality_exists_tpr-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76168BBC" w14:textId="7FDE851F" w:rsidR="00A86D32" w:rsidRDefault="0048619F">
      <w:pPr>
        <w:pStyle w:val="BodyText"/>
      </w:pPr>
      <w:r>
        <w:t xml:space="preserve">Figure 4: Outcomes </w:t>
      </w:r>
      <w:proofErr w:type="gramStart"/>
      <w:r>
        <w:t xml:space="preserve">were simulated to be </w:t>
      </w:r>
      <w:r w:rsidR="0035746F">
        <w:t>caused</w:t>
      </w:r>
      <w:r>
        <w:t xml:space="preserve"> by </w:t>
      </w:r>
      <w:r w:rsidR="0035746F">
        <w:t>an exposure,</w:t>
      </w:r>
      <w:proofErr w:type="gramEnd"/>
      <w:r>
        <w:t xml:space="preserve"> with varying degrees of measurement imprecision applied to the exposure variable (x axis). True positive rates (y axis) for MR and CIT were compared for varying levels of measurement imprecision in the outcome variable (rows of boxes) and sample sizes (columns of boxes).</w:t>
      </w:r>
    </w:p>
    <w:p w14:paraId="282E30F8" w14:textId="77777777" w:rsidR="00A86D32" w:rsidRDefault="0048619F">
      <w:pPr>
        <w:pStyle w:val="BodyText"/>
      </w:pPr>
      <w:r>
        <w:rPr>
          <w:noProof/>
        </w:rPr>
        <w:lastRenderedPageBreak/>
        <w:drawing>
          <wp:inline distT="0" distB="0" distL="0" distR="0" wp14:anchorId="1E195397" wp14:editId="4CA87EED">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r_comparison_figure-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0F195DFB" w14:textId="4757219D" w:rsidR="00A86D32" w:rsidRDefault="0048619F">
      <w:pPr>
        <w:pStyle w:val="BodyText"/>
      </w:pPr>
      <w:r>
        <w:t>Figure 5: a) Outcome</w:t>
      </w:r>
      <w:r w:rsidR="004D64AF">
        <w:t xml:space="preserve"> y</w:t>
      </w:r>
      <w:r>
        <w:t xml:space="preserve"> </w:t>
      </w:r>
      <w:r w:rsidR="004D64AF">
        <w:t xml:space="preserve">was </w:t>
      </w:r>
      <w:r>
        <w:t xml:space="preserve">simulated to be </w:t>
      </w:r>
      <w:r w:rsidR="004D64AF">
        <w:t>cause</w:t>
      </w:r>
      <w:r>
        <w:t>d by exposure</w:t>
      </w:r>
      <w:r w:rsidR="004D64AF">
        <w:t xml:space="preserve"> x</w:t>
      </w:r>
      <w:r>
        <w:t xml:space="preserve"> as shown in the graph, with varying degrees of measurement error applied to both. CIT and MR were used to infer evidence for causality between the exposure and outcome, and to infer the direction of causality. The value of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such that when </w:t>
      </w:r>
      <m:oMath>
        <m:r>
          <w:rPr>
            <w:rFonts w:ascii="Cambria Math" w:hAnsi="Cambria Math"/>
          </w:rPr>
          <m:t>d</m:t>
        </m:r>
      </m:oMath>
      <w:r>
        <w:t xml:space="preserve"> 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 </w:t>
      </w:r>
      <m:oMath>
        <m:r>
          <w:rPr>
            <w:rFonts w:ascii="Cambria Math" w:hAnsi="Cambria Math"/>
          </w:rPr>
          <m:t>x</m:t>
        </m:r>
      </m:oMath>
      <w:r>
        <w:t xml:space="preserve"> and </w:t>
      </w:r>
      <m:oMath>
        <m:r>
          <w:rPr>
            <w:rFonts w:ascii="Cambria Math" w:hAnsi="Cambria Math"/>
          </w:rPr>
          <m:t>y</m:t>
        </m:r>
      </m:oMath>
      <w:r>
        <w:t>. MR is unable to identify this model, so any significant associations are deemed to be incorrect. Outcome 3 denotes evidence for the correct model for the CIT method.</w:t>
      </w:r>
    </w:p>
    <w:p w14:paraId="5B372F63" w14:textId="77777777" w:rsidR="00A86D32" w:rsidRDefault="0048619F">
      <w:pPr>
        <w:pStyle w:val="BodyText"/>
      </w:pPr>
      <w:r>
        <w:rPr>
          <w:noProof/>
        </w:rPr>
        <w:lastRenderedPageBreak/>
        <w:drawing>
          <wp:inline distT="0" distB="0" distL="0" distR="0" wp14:anchorId="771A3757" wp14:editId="43C9FE5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hakhplo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F21D48F" w14:textId="77777777" w:rsidR="00A86D32" w:rsidRDefault="0048619F">
      <w:pPr>
        <w:pStyle w:val="BodyText"/>
      </w:pPr>
      <w:r>
        <w:t>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14:paraId="7FE46BDB" w14:textId="77777777" w:rsidR="00A86D32" w:rsidRDefault="0048619F">
      <w:pPr>
        <w:pStyle w:val="Heading2"/>
      </w:pPr>
      <w:bookmarkStart w:id="39" w:name="appendix-1"/>
      <w:bookmarkEnd w:id="39"/>
      <w:r>
        <w:t>Appendix 1</w:t>
      </w:r>
    </w:p>
    <w:p w14:paraId="790A9EC6" w14:textId="77777777" w:rsidR="00A86D32" w:rsidRDefault="0048619F">
      <w:pPr>
        <w:pStyle w:val="FirstParagraph"/>
      </w:pPr>
      <w:r>
        <w:t>We assume the following model</w:t>
      </w:r>
    </w:p>
    <w:p w14:paraId="277A19A0"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1235E72B" w14:textId="77777777" w:rsidR="00A86D32" w:rsidRDefault="0048619F">
      <w:pPr>
        <w:pStyle w:val="FirstParagraph"/>
      </w:pPr>
      <w:r>
        <w:t xml:space="preserve">where </w:t>
      </w:r>
      <m:oMath>
        <m:r>
          <w:rPr>
            <w:rFonts w:ascii="Cambria Math" w:hAnsi="Cambria Math"/>
          </w:rPr>
          <m:t>x</m:t>
        </m:r>
      </m:oMath>
      <w:r>
        <w:t xml:space="preserve"> is the exposure on the outcome </w:t>
      </w:r>
      <m:oMath>
        <m:r>
          <w:rPr>
            <w:rFonts w:ascii="Cambria Math" w:hAnsi="Cambria Math"/>
          </w:rPr>
          <m:t>y</m:t>
        </m:r>
      </m:oMath>
      <w:r>
        <w:t xml:space="preserve">, </w:t>
      </w:r>
      <m:oMath>
        <m:r>
          <w:rPr>
            <w:rFonts w:ascii="Cambria Math" w:hAnsi="Cambria Math"/>
          </w:rPr>
          <m:t>g</m:t>
        </m:r>
      </m:oMath>
      <w:r>
        <w:t xml:space="preserve"> is an instrument that has a direct effect on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measured quantity of </w:t>
      </w:r>
      <m:oMath>
        <m:r>
          <w:rPr>
            <w:rFonts w:ascii="Cambria Math" w:hAnsi="Cambria Math"/>
          </w:rPr>
          <m:t>x</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quantity of </w:t>
      </w:r>
      <m:oMath>
        <m:r>
          <w:rPr>
            <w:rFonts w:ascii="Cambria Math" w:hAnsi="Cambria Math"/>
          </w:rPr>
          <m:t>y</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my</m:t>
            </m:r>
          </m:sub>
        </m:sSub>
      </m:oMath>
      <w:r>
        <w:t xml:space="preserve">. Our objective is to estimate the expected magnitude of association between </w:t>
      </w:r>
      <m:oMath>
        <m:r>
          <w:rPr>
            <w:rFonts w:ascii="Cambria Math" w:hAnsi="Cambria Math"/>
          </w:rPr>
          <m:t>g</m:t>
        </m:r>
      </m:oMath>
      <w:r>
        <w:t xml:space="preserve"> and </w:t>
      </w:r>
      <m:oMath>
        <m:r>
          <w:rPr>
            <w:rFonts w:ascii="Cambria Math" w:hAnsi="Cambria Math"/>
          </w:rPr>
          <m:t>y</m:t>
        </m:r>
      </m:oMath>
      <w:r>
        <w:t xml:space="preserve"> after conditioning on </w:t>
      </w:r>
      <m:oMath>
        <m:r>
          <w:rPr>
            <w:rFonts w:ascii="Cambria Math" w:hAnsi="Cambria Math"/>
          </w:rPr>
          <m:t>x</m:t>
        </m:r>
      </m:oMath>
      <w:r>
        <w:t xml:space="preserve">. Under the CIT, this is expected to be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when </w:t>
      </w:r>
      <m:oMath>
        <m:r>
          <w:rPr>
            <w:rFonts w:ascii="Cambria Math" w:hAnsi="Cambria Math"/>
          </w:rPr>
          <m:t>x</m:t>
        </m:r>
      </m:oMath>
      <w:r>
        <w:t xml:space="preserve"> causes </w:t>
      </w:r>
      <m:oMath>
        <m:r>
          <w:rPr>
            <w:rFonts w:ascii="Cambria Math" w:hAnsi="Cambria Math"/>
          </w:rPr>
          <m:t>y</m:t>
        </m:r>
      </m:oMath>
      <w:r>
        <w:t xml:space="preserve">, 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a</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predicted value of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using the measured value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w:t>
      </w:r>
    </w:p>
    <w:p w14:paraId="38F22082" w14:textId="77777777" w:rsidR="00A86D32" w:rsidRDefault="0048619F">
      <w:pPr>
        <w:pStyle w:val="BodyText"/>
      </w:pPr>
      <w:r>
        <w:t xml:space="preserve">We can split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 xml:space="preserve"> into two parts,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and </w:t>
      </w:r>
      <m:oMath>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w:t>
      </w:r>
    </w:p>
    <w:p w14:paraId="3BD5E46F" w14:textId="77777777" w:rsidR="00A86D32" w:rsidRDefault="0048619F">
      <w:pPr>
        <w:pStyle w:val="BodyText"/>
      </w:pPr>
      <w:r>
        <w:rPr>
          <w:b/>
        </w:rPr>
        <w:t>Part 1</w:t>
      </w:r>
    </w:p>
    <w:p w14:paraId="17A93B90"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525EB07E" w14:textId="77777777" w:rsidR="00A86D32" w:rsidRDefault="0048619F">
      <w:pPr>
        <w:pStyle w:val="FirstParagraph"/>
      </w:pPr>
      <w:r>
        <w:rPr>
          <w:b/>
        </w:rPr>
        <w:t>Part 2</w:t>
      </w:r>
    </w:p>
    <w:p w14:paraId="15A5BFEC"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2C074AA" w14:textId="77777777" w:rsidR="00A86D32" w:rsidRDefault="0048619F">
      <w:pPr>
        <w:pStyle w:val="FirstParagraph"/>
      </w:pPr>
      <w:r>
        <w:t>Simpifying further</w:t>
      </w:r>
    </w:p>
    <w:p w14:paraId="7C484C82"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num>
                  <m:den>
                    <m: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den>
                </m:f>
              </m:e>
            </m:mr>
            <m:mr>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cov(y,x)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
        </m:oMath>
      </m:oMathPara>
    </w:p>
    <w:p w14:paraId="7CAC249D" w14:textId="77777777" w:rsidR="00A86D32" w:rsidRDefault="0048619F">
      <w:pPr>
        <w:pStyle w:val="FirstParagraph"/>
      </w:pPr>
      <w:r>
        <w:t>which can be substituted back to give</w:t>
      </w:r>
    </w:p>
    <w:p w14:paraId="730591F2"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37BCD4F2" w14:textId="77777777" w:rsidR="00A86D32" w:rsidRDefault="0048619F">
      <w:pPr>
        <w:pStyle w:val="FirstParagraph"/>
      </w:pPr>
      <w:r>
        <w:t>Finally</w:t>
      </w:r>
    </w:p>
    <w:p w14:paraId="62420E45"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B2A5C6A" w14:textId="77777777" w:rsidR="00A86D32" w:rsidRDefault="0048619F">
      <w:pPr>
        <w:pStyle w:val="FirstParagraph"/>
      </w:pPr>
      <w:r>
        <w:t xml:space="preserve">thus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if the measurement imprecision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r>
          <w:rPr>
            <w:rFonts w:ascii="Cambria Math" w:hAnsi="Cambria Math"/>
          </w:rPr>
          <m:t>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)=0</m:t>
        </m:r>
      </m:oMath>
      <w:r>
        <w:t xml:space="preserve">. However if there is any imprecision then the condition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will not hold.</w:t>
      </w:r>
    </w:p>
    <w:p w14:paraId="4327FED6" w14:textId="77777777" w:rsidR="00A86D32" w:rsidRDefault="0048619F">
      <w:pPr>
        <w:pStyle w:val="Heading2"/>
      </w:pPr>
      <w:bookmarkStart w:id="40" w:name="appendix-2"/>
      <w:bookmarkEnd w:id="40"/>
      <w:r>
        <w:t>Appendix 2</w:t>
      </w:r>
    </w:p>
    <w:p w14:paraId="706837A6" w14:textId="77777777" w:rsidR="00A86D32" w:rsidRDefault="0048619F">
      <w:pPr>
        <w:pStyle w:val="FirstParagraph"/>
      </w:pPr>
      <w:r>
        <w:t xml:space="preserve">The Steiger test is used to infer if the variant </w:t>
      </w:r>
      <m:oMath>
        <m:r>
          <w:rPr>
            <w:rFonts w:ascii="Cambria Math" w:hAnsi="Cambria Math"/>
          </w:rPr>
          <m:t>g</m:t>
        </m:r>
      </m:oMath>
      <w:r>
        <w:t xml:space="preserve"> has a direct influence on </w:t>
      </w:r>
      <m:oMath>
        <m:r>
          <w:rPr>
            <w:rFonts w:ascii="Cambria Math" w:hAnsi="Cambria Math"/>
          </w:rPr>
          <m:t>x</m:t>
        </m:r>
      </m:oMath>
      <w:r>
        <w:t xml:space="preserve"> or </w:t>
      </w:r>
      <m:oMath>
        <m:r>
          <w:rPr>
            <w:rFonts w:ascii="Cambria Math" w:hAnsi="Cambria Math"/>
          </w:rPr>
          <m:t>y</m:t>
        </m:r>
      </m:oMath>
      <w:r>
        <w:t xml:space="preserve"> when it is known that it associates with both, but the direction of causality between </w:t>
      </w:r>
      <m:oMath>
        <m:r>
          <w:rPr>
            <w:rFonts w:ascii="Cambria Math" w:hAnsi="Cambria Math"/>
          </w:rPr>
          <m:t>x</m:t>
        </m:r>
      </m:oMath>
      <w:r>
        <w:t xml:space="preserve"> and </w:t>
      </w:r>
      <m:oMath>
        <m:r>
          <w:rPr>
            <w:rFonts w:ascii="Cambria Math" w:hAnsi="Cambria Math"/>
          </w:rPr>
          <m:t>y</m:t>
        </m:r>
      </m:oMath>
      <w:r>
        <w:t xml:space="preserve"> is unknown. Assuming the causal direction is </w:t>
      </w:r>
      <m:oMath>
        <m:r>
          <w:rPr>
            <w:rFonts w:ascii="Cambria Math" w:hAnsi="Cambria Math"/>
          </w:rPr>
          <m:t>x→y</m:t>
        </m:r>
      </m:oMath>
      <w:r>
        <w:t>, two stage MR is formulated using the following regression models:</w:t>
      </w:r>
    </w:p>
    <w:p w14:paraId="692BC853" w14:textId="77777777" w:rsidR="00A86D32" w:rsidRDefault="0048619F">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1</m:t>
              </m:r>
            </m:sub>
          </m:sSub>
        </m:oMath>
      </m:oMathPara>
    </w:p>
    <w:p w14:paraId="4FB0FD15" w14:textId="77777777" w:rsidR="00A86D32" w:rsidRDefault="0048619F">
      <w:pPr>
        <w:pStyle w:val="FirstParagraph"/>
      </w:pPr>
      <w:r>
        <w:t>for the first stage and</w:t>
      </w:r>
    </w:p>
    <w:p w14:paraId="53E9DBCE" w14:textId="77777777" w:rsidR="00A86D32" w:rsidRDefault="0048619F">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4DA24B1F" w14:textId="77777777" w:rsidR="00A86D32" w:rsidRDefault="0048619F">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g</m:t>
        </m:r>
      </m:oMath>
      <w:r>
        <w:t xml:space="preserve">. Writing in scale free terms,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denotes the correlation between </w:t>
      </w:r>
      <m:oMath>
        <m:r>
          <w:rPr>
            <w:rFonts w:ascii="Cambria Math" w:hAnsi="Cambria Math"/>
          </w:rPr>
          <m:t>g</m:t>
        </m:r>
      </m:oMath>
      <w:r>
        <w:t xml:space="preserve"> and the exposure variable </w:t>
      </w:r>
      <m:oMath>
        <m:r>
          <w:rPr>
            <w:rFonts w:ascii="Cambria Math" w:hAnsi="Cambria Math"/>
          </w:rPr>
          <m:t>x</m:t>
        </m:r>
      </m:oMath>
      <w:r>
        <w:t xml:space="preserve">, and it is expected that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because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causal association between </w:t>
      </w:r>
      <m:oMath>
        <m:r>
          <w:rPr>
            <w:rFonts w:ascii="Cambria Math" w:hAnsi="Cambria Math"/>
          </w:rPr>
          <m:t>x</m:t>
        </m:r>
      </m:oMath>
      <w:r>
        <w:t xml:space="preserve"> and </w:t>
      </w:r>
      <m:oMath>
        <m:r>
          <w:rPr>
            <w:rFonts w:ascii="Cambria Math" w:hAnsi="Cambria Math"/>
          </w:rPr>
          <m:t>y</m:t>
        </m:r>
      </m:oMath>
      <w:r>
        <w:t xml:space="preserve"> (which is likely to be less than 1).</w:t>
      </w:r>
    </w:p>
    <w:p w14:paraId="6628C392" w14:textId="77777777" w:rsidR="00A86D32" w:rsidRDefault="0048619F">
      <w:pPr>
        <w:pStyle w:val="BodyText"/>
      </w:pPr>
      <w:r>
        <w:t xml:space="preserve">In the presence of measurement error in </w:t>
      </w:r>
      <m:oMath>
        <m:r>
          <w:rPr>
            <w:rFonts w:ascii="Cambria Math" w:hAnsi="Cambria Math"/>
          </w:rPr>
          <m:t>x</m:t>
        </m:r>
      </m:oMath>
      <w:r>
        <w:t xml:space="preserve"> and </w:t>
      </w:r>
      <m:oMath>
        <m:r>
          <w:rPr>
            <w:rFonts w:ascii="Cambria Math" w:hAnsi="Cambria Math"/>
          </w:rPr>
          <m:t>y</m:t>
        </m:r>
      </m:oMath>
      <w:r>
        <w:t xml:space="preserve">, however, the Steiger test will instead be assessing the inequality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which can be simplified:</w:t>
      </w:r>
    </w:p>
    <w:p w14:paraId="44E393AD"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
        </m:oMath>
      </m:oMathPara>
    </w:p>
    <w:p w14:paraId="69A5334E" w14:textId="77777777" w:rsidR="00A86D32" w:rsidRDefault="0048619F">
      <w:pPr>
        <w:pStyle w:val="FirstParagraph"/>
      </w:pPr>
      <w:r>
        <w:t xml:space="preserve">In order to assess how reliable the Steiger test is in the presence of measurement imprecision, we can evaluate the range of potential values of measurement error in </w:t>
      </w:r>
      <m:oMath>
        <m:r>
          <w:rPr>
            <w:rFonts w:ascii="Cambria Math" w:hAnsi="Cambria Math"/>
          </w:rPr>
          <m:t>x</m:t>
        </m:r>
      </m:oMath>
      <w:r>
        <w:t xml:space="preserve"> and </w:t>
      </w:r>
      <m:oMath>
        <m:r>
          <w:rPr>
            <w:rFonts w:ascii="Cambria Math" w:hAnsi="Cambria Math"/>
          </w:rPr>
          <m:t>y</m:t>
        </m:r>
      </m:oMath>
      <w:r>
        <w:t xml:space="preserve"> over which the empirical result from the Steiger test would return the wrong value.</w:t>
      </w:r>
    </w:p>
    <w:p w14:paraId="01AE20EA" w14:textId="77777777" w:rsidR="00A86D32" w:rsidRDefault="0048619F">
      <w:pPr>
        <w:pStyle w:val="BodyText"/>
      </w:pPr>
      <w:r>
        <w:lastRenderedPageBreak/>
        <w:t xml:space="preserve">For different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xml:space="preserve">. For different values of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w:t>
      </w:r>
    </w:p>
    <w:p w14:paraId="103161DD" w14:textId="77777777" w:rsidR="00A86D32" w:rsidRDefault="0048619F">
      <w:pPr>
        <w:pStyle w:val="BodyText"/>
      </w:pPr>
      <w:commentRangeStart w:id="41"/>
      <w:r>
        <w:t xml:space="preserve">Where </w:t>
      </w:r>
      <m:oMath>
        <m:r>
          <w:rPr>
            <w:rFonts w:ascii="Cambria Math" w:hAnsi="Cambria Math"/>
          </w:rPr>
          <m:t>z=</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&lt;0</m:t>
        </m:r>
      </m:oMath>
      <w:r>
        <w:t xml:space="preserve"> the measurement error range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will not change the qualitative inference of the direction of causality. </w:t>
      </w:r>
      <w:commentRangeEnd w:id="41"/>
      <w:r w:rsidR="00693B45">
        <w:rPr>
          <w:rStyle w:val="CommentReference"/>
        </w:rPr>
        <w:commentReference w:id="41"/>
      </w:r>
      <w:r>
        <w:t xml:space="preserve">To evaluate the reliability, </w:t>
      </w:r>
      <m:oMath>
        <m:r>
          <w:rPr>
            <w:rFonts w:ascii="Cambria Math" w:hAnsi="Cambria Math"/>
          </w:rPr>
          <m:t>R</m:t>
        </m:r>
      </m:oMath>
      <w:r>
        <w:t xml:space="preserve">, of the Steiger test with regards to measurement error, the objective is to compare the weighted proportion of the parameter space that agrees with the inferred direction against the </w:t>
      </w:r>
      <w:commentRangeStart w:id="42"/>
      <w:r>
        <w:t xml:space="preserve">weighted </w:t>
      </w:r>
      <w:commentRangeEnd w:id="42"/>
      <w:r w:rsidR="00D4584F">
        <w:rPr>
          <w:rStyle w:val="CommentReference"/>
        </w:rPr>
        <w:commentReference w:id="42"/>
      </w:r>
      <w:proofErr w:type="gramStart"/>
      <w:r>
        <w:t>proportion which</w:t>
      </w:r>
      <w:proofErr w:type="gramEnd"/>
      <w:r>
        <w:t xml:space="preserve"> does not:</w:t>
      </w:r>
    </w:p>
    <w:p w14:paraId="51841F3F" w14:textId="77777777" w:rsidR="00A86D32" w:rsidRDefault="0048619F">
      <w:pPr>
        <w:pStyle w:val="BodyText"/>
      </w:pPr>
      <m:oMathPara>
        <m:oMathParaPr>
          <m:jc m:val="center"/>
        </m:oMathParaP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m:oMathPara>
    </w:p>
    <w:p w14:paraId="54AF9B10" w14:textId="77777777" w:rsidR="00A86D32" w:rsidRDefault="0048619F">
      <w:pPr>
        <w:pStyle w:val="FirstParagraph"/>
      </w:pPr>
      <w:r>
        <w:t xml:space="preserve">If </w:t>
      </w:r>
      <m:oMath>
        <m:r>
          <w:rPr>
            <w:rFonts w:ascii="Cambria Math" w:hAnsi="Cambria Math"/>
          </w:rPr>
          <m:t>R=1</m:t>
        </m:r>
      </m:oMath>
      <w:r>
        <w:t xml:space="preserve"> then the direction of causality is equally probable across the range of possible measurement error values. If </w:t>
      </w:r>
      <m:oMath>
        <m:r>
          <w:rPr>
            <w:rFonts w:ascii="Cambria Math" w:hAnsi="Cambria Math"/>
          </w:rPr>
          <m:t>R&gt;1</m:t>
        </m:r>
      </m:oMath>
      <w:r>
        <w:t xml:space="preserve"> then </w:t>
      </w:r>
      <m:oMath>
        <m:r>
          <w:rPr>
            <w:rFonts w:ascii="Cambria Math" w:hAnsi="Cambria Math"/>
          </w:rPr>
          <m:t>R</m:t>
        </m:r>
      </m:oMath>
      <w:r>
        <w:t xml:space="preserve"> times as much of the weighted parameter space favours the inferred direction of causality. </w:t>
      </w:r>
      <m:oMath>
        <m:sSub>
          <m:sSubPr>
            <m:ctrlPr>
              <w:rPr>
                <w:rFonts w:ascii="Cambria Math" w:hAnsi="Cambria Math"/>
              </w:rPr>
            </m:ctrlPr>
          </m:sSubPr>
          <m:e>
            <m:r>
              <w:rPr>
                <w:rFonts w:ascii="Cambria Math" w:hAnsi="Cambria Math"/>
              </w:rPr>
              <m:t>V</m:t>
            </m:r>
          </m:e>
          <m:sub>
            <m:r>
              <w:rPr>
                <w:rFonts w:ascii="Cambria Math" w:hAnsi="Cambria Math"/>
              </w:rPr>
              <m:t>z</m:t>
            </m:r>
          </m:sub>
        </m:sSub>
      </m:oMath>
      <w:r>
        <w:t>, the total volume of the function (Figure 3), can be obtained analytically by solving:</w:t>
      </w:r>
    </w:p>
    <w:p w14:paraId="6FDC9338"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7C08C673" w14:textId="77777777" w:rsidR="00A86D32" w:rsidRDefault="003151AA">
      <w:pPr>
        <w:pStyle w:val="FirstParagraph"/>
      </w:pPr>
      <m:oMath>
        <m:sSub>
          <m:sSubPr>
            <m:ctrlPr>
              <w:rPr>
                <w:rFonts w:ascii="Cambria Math" w:hAnsi="Cambria Math"/>
              </w:rPr>
            </m:ctrlPr>
          </m:sSubPr>
          <m:e>
            <m:r>
              <w:rPr>
                <w:rFonts w:ascii="Cambria Math" w:hAnsi="Cambria Math"/>
              </w:rPr>
              <m:t>V</m:t>
            </m:r>
          </m:e>
          <m:sub>
            <m:r>
              <w:rPr>
                <w:rFonts w:ascii="Cambria Math" w:hAnsi="Cambria Math"/>
              </w:rPr>
              <m:t>z≥0</m:t>
            </m:r>
          </m:sub>
        </m:sSub>
      </m:oMath>
      <w:r w:rsidR="0048619F">
        <w:t xml:space="preserve">, the proportion of the volume that lies above the </w:t>
      </w:r>
      <m:oMath>
        <m:r>
          <w:rPr>
            <w:rFonts w:ascii="Cambria Math" w:hAnsi="Cambria Math"/>
          </w:rPr>
          <m:t>z=0</m:t>
        </m:r>
      </m:oMath>
      <w:r w:rsidR="0048619F">
        <w:t xml:space="preserve"> plane, can also be obtained analytically. The region of this volume is bound by the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48619F">
        <w:t xml:space="preserve"> and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rsidR="0048619F">
        <w:t xml:space="preserve"> where </w:t>
      </w:r>
      <m:oMath>
        <m:r>
          <w:rPr>
            <w:rFonts w:ascii="Cambria Math" w:hAnsi="Cambria Math"/>
          </w:rPr>
          <m:t>0=</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rsidR="0048619F">
        <w:t xml:space="preserve">, which can be expanded to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48619F">
        <w:t>. Hence,</w:t>
      </w:r>
    </w:p>
    <w:p w14:paraId="77B21466" w14:textId="77777777" w:rsidR="00A86D32" w:rsidRDefault="003151AA">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z≥0</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den>
                        </m:f>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05C5792E" w14:textId="77777777" w:rsidR="00A86D32" w:rsidRDefault="0048619F">
      <w:pPr>
        <w:pStyle w:val="FirstParagraph"/>
      </w:pPr>
      <w:r>
        <w:t xml:space="preserve">Thus </w:t>
      </w:r>
      <m:oMath>
        <m:sSub>
          <m:sSubPr>
            <m:ctrlPr>
              <w:rPr>
                <w:rFonts w:ascii="Cambria Math" w:hAnsi="Cambria Math"/>
              </w:rPr>
            </m:ctrlPr>
          </m:sSubPr>
          <m:e>
            <m:r>
              <w:rPr>
                <w:rFonts w:ascii="Cambria Math" w:hAnsi="Cambria Math"/>
              </w:rPr>
              <m:t>V</m:t>
            </m:r>
          </m:e>
          <m:sub>
            <m:r>
              <w:rPr>
                <w:rFonts w:ascii="Cambria Math" w:hAnsi="Cambria Math"/>
              </w:rPr>
              <m:t>z&lt;0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z≥0</m:t>
            </m:r>
          </m:sub>
        </m:sSub>
      </m:oMath>
      <w:r>
        <w:t>.</w:t>
      </w:r>
    </w:p>
    <w:p w14:paraId="03C69163" w14:textId="77777777" w:rsidR="00A86D32" w:rsidRDefault="0048619F">
      <w:pPr>
        <w:pStyle w:val="Heading2"/>
      </w:pPr>
      <w:bookmarkStart w:id="43" w:name="references"/>
      <w:bookmarkEnd w:id="43"/>
      <w:r>
        <w:t>References</w:t>
      </w:r>
    </w:p>
    <w:p w14:paraId="73C434DD" w14:textId="77777777" w:rsidR="00A86D32" w:rsidRDefault="0048619F">
      <w:pPr>
        <w:pStyle w:val="Bibliography"/>
      </w:pPr>
      <w:r>
        <w:t xml:space="preserve">1. Phillips, A. N. &amp; Davey Smith, G. How independent are ‘independent’ effects? relative risk estimation when correlated exposures are measured imprecisely. </w:t>
      </w:r>
      <w:r>
        <w:rPr>
          <w:i/>
        </w:rPr>
        <w:t>Journal of Clinical Epidemiology</w:t>
      </w:r>
      <w:r>
        <w:t xml:space="preserve"> </w:t>
      </w:r>
      <w:r>
        <w:rPr>
          <w:b/>
        </w:rPr>
        <w:t>44,</w:t>
      </w:r>
      <w:r>
        <w:t xml:space="preserve"> 1223–1231 (1991).</w:t>
      </w:r>
    </w:p>
    <w:p w14:paraId="492D0170" w14:textId="77777777" w:rsidR="00A86D32" w:rsidRDefault="0048619F">
      <w:pPr>
        <w:pStyle w:val="Bibliography"/>
      </w:pPr>
      <w:r>
        <w:t xml:space="preserve">2. Davey Smith, G. &amp; Ebrahim, S. Data dredging, bias, or confounding. </w:t>
      </w:r>
      <w:r>
        <w:rPr>
          <w:i/>
        </w:rPr>
        <w:t>BMJ</w:t>
      </w:r>
      <w:r>
        <w:t xml:space="preserve"> </w:t>
      </w:r>
      <w:r>
        <w:rPr>
          <w:b/>
        </w:rPr>
        <w:t>325,</w:t>
      </w:r>
      <w:r>
        <w:t xml:space="preserve"> (2002).</w:t>
      </w:r>
    </w:p>
    <w:p w14:paraId="5E9D08F7" w14:textId="77777777" w:rsidR="00A86D32" w:rsidRDefault="0048619F">
      <w:pPr>
        <w:pStyle w:val="Bibliography"/>
      </w:pPr>
      <w:r>
        <w:t xml:space="preserve">3. Davey Smith, G. &amp; Ebrahim, S. Mendelian randomization: prospects, potentials, and limitations. </w:t>
      </w:r>
      <w:r>
        <w:rPr>
          <w:i/>
        </w:rPr>
        <w:t>International journal of epidemiology</w:t>
      </w:r>
      <w:r>
        <w:t xml:space="preserve"> </w:t>
      </w:r>
      <w:r>
        <w:rPr>
          <w:b/>
        </w:rPr>
        <w:t>33,</w:t>
      </w:r>
      <w:r>
        <w:t xml:space="preserve"> 30–42 (2004).</w:t>
      </w:r>
    </w:p>
    <w:p w14:paraId="496DDF6B" w14:textId="77777777" w:rsidR="00A86D32" w:rsidRDefault="0048619F">
      <w:pPr>
        <w:pStyle w:val="Bibliography"/>
      </w:pPr>
      <w:r>
        <w:t xml:space="preserve">4. Millstein, J., Zhang, B., Zhu, J. &amp; Schadt, E. E. Disentangling molecular relationships with a causal inference test. </w:t>
      </w:r>
      <w:r>
        <w:rPr>
          <w:i/>
        </w:rPr>
        <w:t>BMC genetics</w:t>
      </w:r>
      <w:r>
        <w:t xml:space="preserve"> </w:t>
      </w:r>
      <w:r>
        <w:rPr>
          <w:b/>
        </w:rPr>
        <w:t>10,</w:t>
      </w:r>
      <w:r>
        <w:t xml:space="preserve"> 23 (2009).</w:t>
      </w:r>
    </w:p>
    <w:p w14:paraId="1720F719" w14:textId="77777777" w:rsidR="00A86D32" w:rsidRDefault="0048619F">
      <w:pPr>
        <w:pStyle w:val="Bibliography"/>
      </w:pPr>
      <w:r>
        <w:lastRenderedPageBreak/>
        <w:t xml:space="preserve">5. Aten, J. E., Fuller, T. F., Lusis, A. J. &amp; Horvath, S. Using genetic markers to orient the edges in quantitative trait networks: the NEO software. </w:t>
      </w:r>
      <w:r>
        <w:rPr>
          <w:i/>
        </w:rPr>
        <w:t>BMC systems biology</w:t>
      </w:r>
      <w:r>
        <w:t xml:space="preserve"> </w:t>
      </w:r>
      <w:r>
        <w:rPr>
          <w:b/>
        </w:rPr>
        <w:t>2,</w:t>
      </w:r>
      <w:r>
        <w:t xml:space="preserve"> 34 (2008).</w:t>
      </w:r>
    </w:p>
    <w:p w14:paraId="66B42AC9" w14:textId="77777777" w:rsidR="00A86D32" w:rsidRDefault="0048619F">
      <w:pPr>
        <w:pStyle w:val="Bibliography"/>
      </w:pPr>
      <w:r>
        <w:t xml:space="preserve">6. Waszak, S. M. </w:t>
      </w:r>
      <w:r>
        <w:rPr>
          <w:i/>
        </w:rPr>
        <w:t>et al.</w:t>
      </w:r>
      <w:r>
        <w:t xml:space="preserve"> Variation and genetic control of chromatin architecture in humans. </w:t>
      </w:r>
      <w:r>
        <w:rPr>
          <w:i/>
        </w:rPr>
        <w:t>Cell</w:t>
      </w:r>
      <w:r>
        <w:t xml:space="preserve"> </w:t>
      </w:r>
      <w:r>
        <w:rPr>
          <w:b/>
        </w:rPr>
        <w:t>162,</w:t>
      </w:r>
      <w:r>
        <w:t xml:space="preserve"> 1039–1050 (2015).</w:t>
      </w:r>
    </w:p>
    <w:p w14:paraId="28DA3D68" w14:textId="77777777" w:rsidR="00A86D32" w:rsidRDefault="0048619F">
      <w:pPr>
        <w:pStyle w:val="Bibliography"/>
      </w:pPr>
      <w:r>
        <w:t xml:space="preserve">7. Houle, D., Pélabon, C., Wagner, G. &amp; Hansen, T. Measurement and meaning in biology. </w:t>
      </w:r>
      <w:r>
        <w:rPr>
          <w:i/>
        </w:rPr>
        <w:t>The Quarterly Review of Biology</w:t>
      </w:r>
      <w:r>
        <w:t xml:space="preserve"> </w:t>
      </w:r>
      <w:r>
        <w:rPr>
          <w:b/>
        </w:rPr>
        <w:t>86,</w:t>
      </w:r>
      <w:r>
        <w:t xml:space="preserve"> 3–34 (2011).</w:t>
      </w:r>
    </w:p>
    <w:p w14:paraId="57729732" w14:textId="77777777" w:rsidR="00A86D32" w:rsidRDefault="0048619F">
      <w:pPr>
        <w:pStyle w:val="Bibliography"/>
      </w:pPr>
      <w:r>
        <w:t xml:space="preserve">8. Hernán, M. a &amp; Cole, S. R. Invited Commentary: Causal diagrams and measurement bias. </w:t>
      </w:r>
      <w:r>
        <w:rPr>
          <w:i/>
        </w:rPr>
        <w:t>American journal of epidemiology</w:t>
      </w:r>
      <w:r>
        <w:t xml:space="preserve"> </w:t>
      </w:r>
      <w:r>
        <w:rPr>
          <w:b/>
        </w:rPr>
        <w:t>170,</w:t>
      </w:r>
      <w:r>
        <w:t xml:space="preserve"> 959–62; discussion 963–4 (2009).</w:t>
      </w:r>
    </w:p>
    <w:p w14:paraId="621F3FE4" w14:textId="77777777" w:rsidR="00A86D32" w:rsidRDefault="0048619F">
      <w:pPr>
        <w:pStyle w:val="Bibliography"/>
      </w:pPr>
      <w:r>
        <w:t xml:space="preserve">9. Harper, K. N., Peters, B. a &amp; Gamble, M. V. Batch effects and pathway analysis: two potential perils in cancer studies involving DNA methylation array analysis. </w:t>
      </w:r>
      <w:r>
        <w:rPr>
          <w:i/>
        </w:rPr>
        <w:t>Cancer epidemiology, biomarkers &amp; prevention : a publication of the American Association for Cancer Research, cosponsored by the American Society of Preventive Oncology</w:t>
      </w:r>
      <w:r>
        <w:t xml:space="preserve"> </w:t>
      </w:r>
      <w:r>
        <w:rPr>
          <w:b/>
        </w:rPr>
        <w:t>22,</w:t>
      </w:r>
      <w:r>
        <w:t xml:space="preserve"> 1052–60 (2013).</w:t>
      </w:r>
    </w:p>
    <w:p w14:paraId="63E2E8CA" w14:textId="77777777" w:rsidR="00A86D32" w:rsidRDefault="0048619F">
      <w:pPr>
        <w:pStyle w:val="Bibliography"/>
      </w:pPr>
      <w:r>
        <w:t xml:space="preserve">10. Chen, Y.-a. </w:t>
      </w:r>
      <w:r>
        <w:rPr>
          <w:i/>
        </w:rPr>
        <w:t>et al.</w:t>
      </w:r>
      <w:r>
        <w:t xml:space="preserve"> Discovery of cross-reactive probes and polymorphic CpGs in the Illumina Infinium HumanMethylation450 microarray. </w:t>
      </w:r>
      <w:r>
        <w:rPr>
          <w:i/>
        </w:rPr>
        <w:t>Epigenetics : official journal of the DNA Methylation Society</w:t>
      </w:r>
      <w:r>
        <w:t xml:space="preserve"> </w:t>
      </w:r>
      <w:r>
        <w:rPr>
          <w:b/>
        </w:rPr>
        <w:t>8,</w:t>
      </w:r>
      <w:r>
        <w:t xml:space="preserve"> 203–9 (2013).</w:t>
      </w:r>
    </w:p>
    <w:p w14:paraId="13097ADB" w14:textId="77777777" w:rsidR="00A86D32" w:rsidRDefault="0048619F">
      <w:pPr>
        <w:pStyle w:val="Bibliography"/>
      </w:pPr>
      <w:r>
        <w:t xml:space="preserve">11. Houseman, E. A. </w:t>
      </w:r>
      <w:r>
        <w:rPr>
          <w:i/>
        </w:rPr>
        <w:t>et al.</w:t>
      </w:r>
      <w:r>
        <w:t xml:space="preserve"> DNA methylation arrays as surrogate measures of cell mixture distribution. </w:t>
      </w:r>
      <w:r>
        <w:rPr>
          <w:i/>
        </w:rPr>
        <w:t>BMC bioinformatics</w:t>
      </w:r>
      <w:r>
        <w:t xml:space="preserve"> </w:t>
      </w:r>
      <w:r>
        <w:rPr>
          <w:b/>
        </w:rPr>
        <w:t>13,</w:t>
      </w:r>
      <w:r>
        <w:t xml:space="preserve"> 86 (2012).</w:t>
      </w:r>
    </w:p>
    <w:p w14:paraId="6DBAE57E" w14:textId="77777777" w:rsidR="00A86D32" w:rsidRDefault="0048619F">
      <w:pPr>
        <w:pStyle w:val="Bibliography"/>
      </w:pPr>
      <w:r>
        <w:t xml:space="preserve">12. Ahima, R. S. &amp; Lazar, M. A. Physiology. The health risk of obesity–better metrics imperative. </w:t>
      </w:r>
      <w:r>
        <w:rPr>
          <w:i/>
        </w:rPr>
        <w:t>Science (New York, N.Y.)</w:t>
      </w:r>
      <w:r>
        <w:t xml:space="preserve"> </w:t>
      </w:r>
      <w:r>
        <w:rPr>
          <w:b/>
        </w:rPr>
        <w:t>341,</w:t>
      </w:r>
      <w:r>
        <w:t xml:space="preserve"> 856–8 (2013).</w:t>
      </w:r>
    </w:p>
    <w:p w14:paraId="36030CFB" w14:textId="77777777" w:rsidR="00A86D32" w:rsidRDefault="0048619F">
      <w:pPr>
        <w:pStyle w:val="Bibliography"/>
      </w:pPr>
      <w:r>
        <w:t xml:space="preserve">13. Cessie, S. le, Debeij, J., Rosendaal, F. R., Cannegieter, S. C. &amp; Vandenbroucke, J. P. Quantification of bias in direct effects estimates due to different types of measurement error in the mediator. </w:t>
      </w:r>
      <w:r>
        <w:rPr>
          <w:i/>
        </w:rPr>
        <w:t>Epidemiology (Cambridge, Mass.)</w:t>
      </w:r>
      <w:r>
        <w:t xml:space="preserve"> </w:t>
      </w:r>
      <w:r>
        <w:rPr>
          <w:b/>
        </w:rPr>
        <w:t>23,</w:t>
      </w:r>
      <w:r>
        <w:t xml:space="preserve"> 551–60 (2012).</w:t>
      </w:r>
    </w:p>
    <w:p w14:paraId="2E15DCEA" w14:textId="77777777" w:rsidR="00A86D32" w:rsidRDefault="0048619F">
      <w:pPr>
        <w:pStyle w:val="Bibliography"/>
      </w:pPr>
      <w:r>
        <w:t xml:space="preserve">14. Blakely, T., McKenzie, S. &amp; Carter, K. Misclassification of the mediator matters when estimating indirect effects. </w:t>
      </w:r>
      <w:r>
        <w:rPr>
          <w:i/>
        </w:rPr>
        <w:t>Journal of epidemiology and community health</w:t>
      </w:r>
      <w:r>
        <w:t xml:space="preserve"> </w:t>
      </w:r>
      <w:r>
        <w:rPr>
          <w:b/>
        </w:rPr>
        <w:t>67,</w:t>
      </w:r>
      <w:r>
        <w:t xml:space="preserve"> 458–66 (2013).</w:t>
      </w:r>
    </w:p>
    <w:p w14:paraId="17C8CDC9" w14:textId="77777777" w:rsidR="00A86D32" w:rsidRDefault="0048619F">
      <w:pPr>
        <w:pStyle w:val="Bibliography"/>
      </w:pPr>
      <w:r>
        <w:t xml:space="preserve">15. Davey Smith, G. &amp; Ebrahim, S. ’Mendelian randomization’: can genetic epidemiology contribute to understanding environmental determinants of disease? </w:t>
      </w:r>
      <w:r>
        <w:rPr>
          <w:i/>
        </w:rPr>
        <w:t>International Journal of Epidemiology</w:t>
      </w:r>
      <w:r>
        <w:t xml:space="preserve"> </w:t>
      </w:r>
      <w:r>
        <w:rPr>
          <w:b/>
        </w:rPr>
        <w:t>32,</w:t>
      </w:r>
      <w:r>
        <w:t xml:space="preserve"> 1–22 (2003).</w:t>
      </w:r>
    </w:p>
    <w:p w14:paraId="0D8B4428" w14:textId="77777777" w:rsidR="00A86D32" w:rsidRDefault="0048619F">
      <w:pPr>
        <w:pStyle w:val="Bibliography"/>
      </w:pPr>
      <w:r>
        <w:t xml:space="preserve">16. Davey Smith, G. &amp; Hemani, G. Mendelian randomization: genetic anchors for causal inference in epidemiological studies. </w:t>
      </w:r>
      <w:r>
        <w:rPr>
          <w:i/>
        </w:rPr>
        <w:t>Human molecular genetics</w:t>
      </w:r>
      <w:r>
        <w:t xml:space="preserve"> </w:t>
      </w:r>
      <w:r>
        <w:rPr>
          <w:b/>
        </w:rPr>
        <w:t>23,</w:t>
      </w:r>
      <w:r>
        <w:t xml:space="preserve"> R89—–R98 (2014).</w:t>
      </w:r>
    </w:p>
    <w:p w14:paraId="32C2657C" w14:textId="77777777" w:rsidR="00A86D32" w:rsidRDefault="0048619F">
      <w:pPr>
        <w:pStyle w:val="Bibliography"/>
      </w:pPr>
      <w:r>
        <w:t xml:space="preserve">17. Schadt, E. E. </w:t>
      </w:r>
      <w:r>
        <w:rPr>
          <w:i/>
        </w:rPr>
        <w:t>et al.</w:t>
      </w:r>
      <w:r>
        <w:t xml:space="preserve"> An integrative genomics approach to infer causal associations between gene expression and disease. </w:t>
      </w:r>
      <w:r>
        <w:rPr>
          <w:i/>
        </w:rPr>
        <w:t>Nature Genetics</w:t>
      </w:r>
      <w:r>
        <w:t xml:space="preserve"> </w:t>
      </w:r>
      <w:r>
        <w:rPr>
          <w:b/>
        </w:rPr>
        <w:t>37,</w:t>
      </w:r>
      <w:r>
        <w:t xml:space="preserve"> 710–717 (2005).</w:t>
      </w:r>
    </w:p>
    <w:p w14:paraId="66BC0D4D" w14:textId="77777777" w:rsidR="00A86D32" w:rsidRDefault="0048619F">
      <w:pPr>
        <w:pStyle w:val="Bibliography"/>
      </w:pPr>
      <w:r>
        <w:lastRenderedPageBreak/>
        <w:t>18. Millstein, J. cit: Causal Inference Test. R package version 1.9. (2016). at &lt;</w:t>
      </w:r>
      <w:hyperlink r:id="rId18">
        <w:r>
          <w:rPr>
            <w:rStyle w:val="Hyperlink"/>
          </w:rPr>
          <w:t>http://cran.r-project.org/package=cit</w:t>
        </w:r>
      </w:hyperlink>
      <w:r>
        <w:t>&gt;</w:t>
      </w:r>
    </w:p>
    <w:p w14:paraId="57573935" w14:textId="77777777" w:rsidR="00A86D32" w:rsidRDefault="0048619F">
      <w:pPr>
        <w:pStyle w:val="Bibliography"/>
      </w:pPr>
      <w:r>
        <w:t xml:space="preserve">19. Koestler, D. C. </w:t>
      </w:r>
      <w:r>
        <w:rPr>
          <w:i/>
        </w:rPr>
        <w:t>et al.</w:t>
      </w:r>
      <w:r>
        <w:t xml:space="preserve"> Integrative genomic analysis identifies epigenetic marks that mediate genetic risk for epithelial ovarian cancer. </w:t>
      </w:r>
      <w:r>
        <w:rPr>
          <w:i/>
        </w:rPr>
        <w:t>BMC medical genomics</w:t>
      </w:r>
      <w:r>
        <w:t xml:space="preserve"> </w:t>
      </w:r>
      <w:r>
        <w:rPr>
          <w:b/>
        </w:rPr>
        <w:t>7,</w:t>
      </w:r>
      <w:r>
        <w:t xml:space="preserve"> 8 (2014).</w:t>
      </w:r>
    </w:p>
    <w:p w14:paraId="483A9838" w14:textId="77777777" w:rsidR="00A86D32" w:rsidRDefault="0048619F">
      <w:pPr>
        <w:pStyle w:val="Bibliography"/>
      </w:pPr>
      <w:r>
        <w:t xml:space="preserve">20. Liu, Y. </w:t>
      </w:r>
      <w:r>
        <w:rPr>
          <w:i/>
        </w:rPr>
        <w:t>et al.</w:t>
      </w:r>
      <w:r>
        <w:t xml:space="preserve"> Epigenome-wide association data implicate DNA methylation as an intermediary of genetic risk in rheumatoid arthritis. </w:t>
      </w:r>
      <w:r>
        <w:rPr>
          <w:i/>
        </w:rPr>
        <w:t>Nature biotechnology</w:t>
      </w:r>
      <w:r>
        <w:t xml:space="preserve"> </w:t>
      </w:r>
      <w:r>
        <w:rPr>
          <w:b/>
        </w:rPr>
        <w:t>31,</w:t>
      </w:r>
      <w:r>
        <w:t xml:space="preserve"> 142–7 (2013).</w:t>
      </w:r>
    </w:p>
    <w:p w14:paraId="0AEE80C0" w14:textId="77777777" w:rsidR="00A86D32" w:rsidRDefault="0048619F">
      <w:pPr>
        <w:pStyle w:val="Bibliography"/>
      </w:pPr>
      <w:r>
        <w:t xml:space="preserve">21. Yuan, W. </w:t>
      </w:r>
      <w:r>
        <w:rPr>
          <w:i/>
        </w:rPr>
        <w:t>et al.</w:t>
      </w:r>
      <w:r>
        <w:t xml:space="preserve"> An integrated epigenomic analysis for type 2 diabetes susceptibility loci in monozygotic twins. </w:t>
      </w:r>
      <w:r>
        <w:rPr>
          <w:i/>
        </w:rPr>
        <w:t>Nature communications</w:t>
      </w:r>
      <w:r>
        <w:t xml:space="preserve"> </w:t>
      </w:r>
      <w:r>
        <w:rPr>
          <w:b/>
        </w:rPr>
        <w:t>5,</w:t>
      </w:r>
      <w:r>
        <w:t xml:space="preserve"> 5719 (2014).</w:t>
      </w:r>
    </w:p>
    <w:p w14:paraId="7ACE0882" w14:textId="77777777" w:rsidR="00A86D32" w:rsidRDefault="0048619F">
      <w:pPr>
        <w:pStyle w:val="Bibliography"/>
      </w:pPr>
      <w:r>
        <w:t xml:space="preserve">22. Tang, Y. </w:t>
      </w:r>
      <w:r>
        <w:rPr>
          <w:i/>
        </w:rPr>
        <w:t>et al.</w:t>
      </w:r>
      <w:r>
        <w:t xml:space="preserve"> Genotype-based treatment of type 2 diabetes with an </w:t>
      </w:r>
      <m:oMath>
        <m:r>
          <w:rPr>
            <w:rFonts w:ascii="Cambria Math" w:hAnsi="Cambria Math"/>
          </w:rPr>
          <m:t>α</m:t>
        </m:r>
      </m:oMath>
      <w:r>
        <w:t xml:space="preserve">2A-adrenergic receptor antagonist. </w:t>
      </w:r>
      <w:r>
        <w:rPr>
          <w:i/>
        </w:rPr>
        <w:t>Science translational medicine</w:t>
      </w:r>
      <w:r>
        <w:t xml:space="preserve"> </w:t>
      </w:r>
      <w:r>
        <w:rPr>
          <w:b/>
        </w:rPr>
        <w:t>6,</w:t>
      </w:r>
      <w:r>
        <w:t xml:space="preserve"> 257ra139 (2014).</w:t>
      </w:r>
    </w:p>
    <w:p w14:paraId="4D295D5C" w14:textId="77777777" w:rsidR="00A86D32" w:rsidRDefault="0048619F">
      <w:pPr>
        <w:pStyle w:val="Bibliography"/>
      </w:pPr>
      <w:r>
        <w:t xml:space="preserve">23. Hong, X. </w:t>
      </w:r>
      <w:r>
        <w:rPr>
          <w:i/>
        </w:rPr>
        <w:t>et al.</w:t>
      </w:r>
      <w:r>
        <w:t xml:space="preserve"> Genome-wide association study identifies peanut allergy-specific loci and evidence of epigenetic mediation in US children. </w:t>
      </w:r>
      <w:r>
        <w:rPr>
          <w:i/>
        </w:rPr>
        <w:t>Nature communications</w:t>
      </w:r>
      <w:r>
        <w:t xml:space="preserve"> </w:t>
      </w:r>
      <w:r>
        <w:rPr>
          <w:b/>
        </w:rPr>
        <w:t>6,</w:t>
      </w:r>
      <w:r>
        <w:t xml:space="preserve"> 6304 (2015).</w:t>
      </w:r>
    </w:p>
    <w:p w14:paraId="46EF6F42" w14:textId="517142CF" w:rsidR="00A86D32" w:rsidRDefault="0048619F">
      <w:pPr>
        <w:pStyle w:val="Bibliography"/>
      </w:pPr>
      <w:r>
        <w:t xml:space="preserve">24. </w:t>
      </w:r>
      <w:r>
        <w:t xml:space="preserve">Bowden, J., Davey Smith, G. &amp; Burgess, S. Mendelian randomization with invalid instruments: effect estimation and bias detection through Egger regression. </w:t>
      </w:r>
      <w:proofErr w:type="gramStart"/>
      <w:r>
        <w:rPr>
          <w:i/>
        </w:rPr>
        <w:t>International Journal of Epidemiology</w:t>
      </w:r>
      <w:r>
        <w:t xml:space="preserve"> </w:t>
      </w:r>
      <w:r>
        <w:rPr>
          <w:b/>
        </w:rPr>
        <w:t>In press,</w:t>
      </w:r>
      <w:r>
        <w:t xml:space="preserve"> (2015).</w:t>
      </w:r>
      <w:proofErr w:type="gramEnd"/>
    </w:p>
    <w:p w14:paraId="1ABB901C" w14:textId="1D5D12EE" w:rsidR="00A86D32" w:rsidRDefault="0048619F">
      <w:pPr>
        <w:pStyle w:val="Bibliography"/>
      </w:pPr>
      <w:r>
        <w:t>25</w:t>
      </w:r>
      <w:r>
        <w:t xml:space="preserve">. Bowden, J., Davey Smith, G., Haycock, P. C. &amp; Burgess, S. Consistent Estimation in Mendelian Randomization with Some Invalid Instruments Using a Weighted Median Estimator. </w:t>
      </w:r>
      <w:r>
        <w:rPr>
          <w:i/>
        </w:rPr>
        <w:t>Genetic Epidemiology</w:t>
      </w:r>
      <w:r>
        <w:t xml:space="preserve"> </w:t>
      </w:r>
      <w:r>
        <w:rPr>
          <w:b/>
        </w:rPr>
        <w:t>40,</w:t>
      </w:r>
      <w:r>
        <w:t xml:space="preserve"> 304–314 (2016).</w:t>
      </w:r>
    </w:p>
    <w:p w14:paraId="28943905" w14:textId="77777777" w:rsidR="00A86D32" w:rsidRDefault="0048619F">
      <w:pPr>
        <w:pStyle w:val="Bibliography"/>
      </w:pPr>
      <w:r>
        <w:t>26.</w:t>
      </w:r>
      <w:r>
        <w:t xml:space="preserve"> Hemani, G. </w:t>
      </w:r>
      <w:r>
        <w:rPr>
          <w:i/>
        </w:rPr>
        <w:t>et al.</w:t>
      </w:r>
      <w:r>
        <w:t xml:space="preserve"> MR-Base: a platform for systematic causal inference across the phenome using billions of genetic associations. </w:t>
      </w:r>
      <w:proofErr w:type="spellStart"/>
      <w:r>
        <w:rPr>
          <w:i/>
        </w:rPr>
        <w:t>BioRxiv</w:t>
      </w:r>
      <w:proofErr w:type="spellEnd"/>
      <w:r>
        <w:t xml:space="preserve"> </w:t>
      </w:r>
      <w:r>
        <w:rPr>
          <w:b/>
        </w:rPr>
        <w:t>10.1101/07,</w:t>
      </w:r>
      <w:r>
        <w:t xml:space="preserve"> (2016).</w:t>
      </w:r>
    </w:p>
    <w:p w14:paraId="595C4D28" w14:textId="69EB71D3" w:rsidR="00A86D32" w:rsidRDefault="0048619F">
      <w:pPr>
        <w:pStyle w:val="Bibliography"/>
      </w:pPr>
      <w:r>
        <w:t xml:space="preserve">27. </w:t>
      </w:r>
      <w:proofErr w:type="spellStart"/>
      <w:r>
        <w:t>Claussnitzer</w:t>
      </w:r>
      <w:proofErr w:type="spellEnd"/>
      <w:r>
        <w:t xml:space="preserve">, M. </w:t>
      </w:r>
      <w:r>
        <w:rPr>
          <w:i/>
        </w:rPr>
        <w:t>et al.</w:t>
      </w:r>
      <w:r>
        <w:t xml:space="preserve"> FTO Obesity Variant Circuitry and Adipocyte Browning in Humans. </w:t>
      </w:r>
      <w:proofErr w:type="gramStart"/>
      <w:r>
        <w:rPr>
          <w:i/>
        </w:rPr>
        <w:t>The New England journal of medicine</w:t>
      </w:r>
      <w:r>
        <w:t xml:space="preserve"> </w:t>
      </w:r>
      <w:r>
        <w:rPr>
          <w:b/>
        </w:rPr>
        <w:t>373,</w:t>
      </w:r>
      <w:r>
        <w:t xml:space="preserve"> 895–907</w:t>
      </w:r>
      <w:r>
        <w:t xml:space="preserve"> (2015).</w:t>
      </w:r>
      <w:proofErr w:type="gramEnd"/>
    </w:p>
    <w:p w14:paraId="7F3810F7" w14:textId="60265B85" w:rsidR="00A86D32" w:rsidRDefault="0048619F">
      <w:pPr>
        <w:pStyle w:val="Bibliography"/>
      </w:pPr>
      <w:r>
        <w:t xml:space="preserve">28. Pierce, B. L. &amp; Burgess, S. Efficient design for Mendelian randomization studies: subsample and 2-sample instrumental variable estimators. </w:t>
      </w:r>
      <w:r>
        <w:rPr>
          <w:i/>
        </w:rPr>
        <w:t>American journal of epidemiology</w:t>
      </w:r>
      <w:r>
        <w:t xml:space="preserve"> </w:t>
      </w:r>
      <w:r>
        <w:rPr>
          <w:b/>
        </w:rPr>
        <w:t>178,</w:t>
      </w:r>
      <w:r>
        <w:t xml:space="preserve"> 1177–84 (2013).</w:t>
      </w:r>
    </w:p>
    <w:p w14:paraId="1CC54A7A" w14:textId="3A91ED43" w:rsidR="00A86D32" w:rsidRDefault="0048619F">
      <w:pPr>
        <w:pStyle w:val="Bibliography"/>
      </w:pPr>
      <w:r>
        <w:t xml:space="preserve">29. Ashenfelter, O. &amp; Krueger, A. B. Estimates of the Economic Return to Schooling from a New Sample of Twins. </w:t>
      </w:r>
      <w:r>
        <w:rPr>
          <w:i/>
        </w:rPr>
        <w:t>The American Economic Review</w:t>
      </w:r>
      <w:r>
        <w:t xml:space="preserve"> </w:t>
      </w:r>
      <w:r>
        <w:rPr>
          <w:b/>
        </w:rPr>
        <w:t>84,</w:t>
      </w:r>
      <w:r>
        <w:t xml:space="preserve"> 1157–1173 (1994).</w:t>
      </w:r>
    </w:p>
    <w:p w14:paraId="57C6EC68" w14:textId="77777777" w:rsidR="00A86D32" w:rsidRDefault="0048619F">
      <w:pPr>
        <w:pStyle w:val="Bibliography"/>
      </w:pPr>
      <w:r>
        <w:t xml:space="preserve">30. Nagarajan, R. &amp; Scutari, M. Impact of noise on molecular network inference. </w:t>
      </w:r>
      <w:r>
        <w:rPr>
          <w:i/>
        </w:rPr>
        <w:t>PloS one</w:t>
      </w:r>
      <w:r>
        <w:t xml:space="preserve"> </w:t>
      </w:r>
      <w:r>
        <w:rPr>
          <w:b/>
        </w:rPr>
        <w:t>8,</w:t>
      </w:r>
      <w:r>
        <w:t xml:space="preserve"> e80735 (2013).</w:t>
      </w:r>
    </w:p>
    <w:p w14:paraId="05683391" w14:textId="77777777" w:rsidR="00A86D32" w:rsidRDefault="0048619F">
      <w:pPr>
        <w:pStyle w:val="Bibliography"/>
      </w:pPr>
      <w:r>
        <w:t xml:space="preserve">31. Shpitser, I., VanderWeele, T. &amp; Robins, J. On the validity of covariate adjustment for estimating causal effects. </w:t>
      </w:r>
      <w:r>
        <w:rPr>
          <w:i/>
        </w:rPr>
        <w:t>Proceedings of the Twenty Sixth Conference on Uncertainty in Artificial Intelligence (UAI-10)</w:t>
      </w:r>
      <w:r>
        <w:t xml:space="preserve"> 527–536 (2010).</w:t>
      </w:r>
    </w:p>
    <w:p w14:paraId="098EF6BB" w14:textId="77777777" w:rsidR="00A86D32" w:rsidRDefault="0048619F">
      <w:pPr>
        <w:pStyle w:val="Bibliography"/>
      </w:pPr>
      <w:r>
        <w:lastRenderedPageBreak/>
        <w:t xml:space="preserve">32. Wang, L. &amp; Michoel, T. Detection of regulator genes and eQTLs in gene networks. </w:t>
      </w:r>
      <w:r>
        <w:rPr>
          <w:i/>
        </w:rPr>
        <w:t>arXiv</w:t>
      </w:r>
      <w:r>
        <w:t xml:space="preserve"> </w:t>
      </w:r>
      <w:r>
        <w:rPr>
          <w:b/>
        </w:rPr>
        <w:t>arXiv:1512,</w:t>
      </w:r>
      <w:r>
        <w:t xml:space="preserve"> (2015).</w:t>
      </w:r>
    </w:p>
    <w:p w14:paraId="4C9C0820" w14:textId="0B47E50E" w:rsidR="00A86D32" w:rsidRDefault="0048619F">
      <w:pPr>
        <w:pStyle w:val="Bibliography"/>
      </w:pPr>
      <w:r>
        <w:t xml:space="preserve">33. Lagani, V., Triantafillou, S., Ball, G., Tegner, J. &amp; Tsamardinos, I. in </w:t>
      </w:r>
      <w:r>
        <w:rPr>
          <w:i/>
        </w:rPr>
        <w:t>Uncertainty in biology: A computational modeling approach</w:t>
      </w:r>
      <w:r>
        <w:t xml:space="preserve"> 47 (Springer, 2015). </w:t>
      </w:r>
      <w:proofErr w:type="gramStart"/>
      <w:r>
        <w:t>at</w:t>
      </w:r>
      <w:proofErr w:type="gramEnd"/>
      <w:r>
        <w:t xml:space="preserve"> &lt;</w:t>
      </w:r>
      <w:hyperlink r:id="rId19">
        <w:r>
          <w:rPr>
            <w:rStyle w:val="Hyperlink"/>
          </w:rPr>
          <w:t>https://books.google.com/books?id=8SLUCgAAQBAJ{\&amp;}</w:t>
        </w:r>
        <w:proofErr w:type="spellStart"/>
        <w:r>
          <w:rPr>
            <w:rStyle w:val="Hyperlink"/>
          </w:rPr>
          <w:t>pgis</w:t>
        </w:r>
        <w:proofErr w:type="spellEnd"/>
        <w:r>
          <w:rPr>
            <w:rStyle w:val="Hyperlink"/>
          </w:rPr>
          <w:t>=1</w:t>
        </w:r>
      </w:hyperlink>
      <w:r>
        <w:t>&gt;</w:t>
      </w:r>
    </w:p>
    <w:p w14:paraId="18F08334" w14:textId="602B0906" w:rsidR="00A86D32" w:rsidRDefault="0048619F">
      <w:pPr>
        <w:pStyle w:val="Bibliography"/>
      </w:pPr>
      <w:r>
        <w:t xml:space="preserve">34. Lawlor, D. A., Tilling, K. &amp; Davey Smith, G. Triangulation in </w:t>
      </w:r>
      <w:proofErr w:type="spellStart"/>
      <w:r>
        <w:t>aetiological</w:t>
      </w:r>
      <w:proofErr w:type="spellEnd"/>
      <w:r>
        <w:t xml:space="preserve"> epidemiology. </w:t>
      </w:r>
      <w:r>
        <w:rPr>
          <w:i/>
        </w:rPr>
        <w:t>International Journal of Epidemiology</w:t>
      </w:r>
      <w:r>
        <w:t xml:space="preserve"> </w:t>
      </w:r>
      <w:r>
        <w:rPr>
          <w:b/>
        </w:rPr>
        <w:t>19,</w:t>
      </w:r>
      <w:r>
        <w:t xml:space="preserve"> dyw314 (2017).</w:t>
      </w:r>
    </w:p>
    <w:p w14:paraId="5DE6119E" w14:textId="77777777" w:rsidR="00A86D32" w:rsidRDefault="0048619F">
      <w:pPr>
        <w:pStyle w:val="Bibliography"/>
      </w:pPr>
      <w:r>
        <w:t>35. R Core Team. R: A Language and Environment for Statistical Computing. (2015). at &lt;</w:t>
      </w:r>
      <w:hyperlink r:id="rId20">
        <w:r>
          <w:rPr>
            <w:rStyle w:val="Hyperlink"/>
          </w:rPr>
          <w:t>https://www.r-project.org/</w:t>
        </w:r>
      </w:hyperlink>
      <w:r>
        <w:t>&gt;</w:t>
      </w:r>
    </w:p>
    <w:p w14:paraId="5E3ECF49" w14:textId="6E061B32" w:rsidR="00A86D32" w:rsidRDefault="0048619F">
      <w:pPr>
        <w:pStyle w:val="Bibliography"/>
      </w:pPr>
      <w:r>
        <w:t>36. Sterne, J. A. C., Cox, D. R. &amp; Smith, G. D. Sifting the evidence—what’s wrong with significance tests</w:t>
      </w:r>
      <w:proofErr w:type="gramStart"/>
      <w:r>
        <w:t>?Another</w:t>
      </w:r>
      <w:proofErr w:type="gramEnd"/>
      <w:r>
        <w:t xml:space="preserve"> comment on the role of statistical methods. </w:t>
      </w:r>
      <w:r>
        <w:rPr>
          <w:i/>
        </w:rPr>
        <w:t>BMJ</w:t>
      </w:r>
      <w:r>
        <w:t xml:space="preserve"> </w:t>
      </w:r>
      <w:r>
        <w:rPr>
          <w:b/>
        </w:rPr>
        <w:t>322,</w:t>
      </w:r>
      <w:r>
        <w:t xml:space="preserve"> (2001).</w:t>
      </w:r>
    </w:p>
    <w:p w14:paraId="2AA30B26" w14:textId="7B4E3C34" w:rsidR="00A86D32" w:rsidRDefault="0048619F">
      <w:pPr>
        <w:pStyle w:val="Bibliography"/>
      </w:pPr>
      <w:r>
        <w:t xml:space="preserve">37. Henningsen, A. &amp; Hamann, J. D. </w:t>
      </w:r>
      <w:proofErr w:type="gramStart"/>
      <w:r>
        <w:t>systemfit :</w:t>
      </w:r>
      <w:proofErr w:type="gramEnd"/>
      <w:r>
        <w:t xml:space="preserve"> A Package for Estimating Systems of Simultaneous Equations in R. </w:t>
      </w:r>
      <w:r>
        <w:rPr>
          <w:i/>
        </w:rPr>
        <w:t>Journal of Statistical Software</w:t>
      </w:r>
      <w:r>
        <w:t xml:space="preserve"> </w:t>
      </w:r>
      <w:r>
        <w:rPr>
          <w:b/>
        </w:rPr>
        <w:t>23,</w:t>
      </w:r>
      <w:r>
        <w:t xml:space="preserve"> 1–40 (2007).</w:t>
      </w:r>
    </w:p>
    <w:p w14:paraId="4BEF6C4C" w14:textId="03689E97" w:rsidR="00A86D32" w:rsidRDefault="0048619F">
      <w:pPr>
        <w:pStyle w:val="Bibliography"/>
      </w:pPr>
      <w:r>
        <w:t xml:space="preserve">38. Steiger, J. H. Tests for comparing elements of a correlation matrix. </w:t>
      </w:r>
      <w:r>
        <w:rPr>
          <w:i/>
        </w:rPr>
        <w:t>Psychological Bulletin</w:t>
      </w:r>
      <w:r>
        <w:t xml:space="preserve"> </w:t>
      </w:r>
      <w:r>
        <w:rPr>
          <w:b/>
        </w:rPr>
        <w:t>87,</w:t>
      </w:r>
      <w:r>
        <w:t xml:space="preserve"> 245–251 (1980).</w:t>
      </w:r>
    </w:p>
    <w:p w14:paraId="3B1A81FE" w14:textId="5F98B888" w:rsidR="00A86D32" w:rsidRDefault="0048619F">
      <w:pPr>
        <w:pStyle w:val="Bibliography"/>
      </w:pPr>
      <w:r>
        <w:t>39. Revelle, W. psych: Procedures for Psychological, Psychometric, and Personality Research. (2015). at &lt;</w:t>
      </w:r>
      <w:hyperlink r:id="rId21">
        <w:r>
          <w:rPr>
            <w:rStyle w:val="Hyperlink"/>
          </w:rPr>
          <w:t>http://cran.r-project.org/package=psych</w:t>
        </w:r>
      </w:hyperlink>
      <w:r>
        <w:t>&gt;</w:t>
      </w:r>
    </w:p>
    <w:p w14:paraId="02F9B3B6" w14:textId="77777777" w:rsidR="00A86D32" w:rsidRDefault="0048619F">
      <w:pPr>
        <w:pStyle w:val="Bibliography"/>
      </w:pPr>
      <w:r>
        <w:t xml:space="preserve">40. </w:t>
      </w:r>
      <w:proofErr w:type="spellStart"/>
      <w:r>
        <w:t>Shakhbazov</w:t>
      </w:r>
      <w:proofErr w:type="spellEnd"/>
      <w:r>
        <w:t xml:space="preserve">, K. </w:t>
      </w:r>
      <w:r>
        <w:rPr>
          <w:i/>
        </w:rPr>
        <w:t>et al.</w:t>
      </w:r>
      <w:r>
        <w:t xml:space="preserve"> Shared genetic control of expression and methylation in peripheral blood. </w:t>
      </w:r>
      <w:r>
        <w:rPr>
          <w:i/>
        </w:rPr>
        <w:t>BMC genomics</w:t>
      </w:r>
      <w:r>
        <w:t xml:space="preserve"> </w:t>
      </w:r>
      <w:r>
        <w:rPr>
          <w:b/>
        </w:rPr>
        <w:t>17,</w:t>
      </w:r>
      <w:r>
        <w:t xml:space="preserve"> 278 (2016).</w:t>
      </w:r>
    </w:p>
    <w:p w14:paraId="406FF6B4" w14:textId="7E20AD3C" w:rsidR="00A86D32" w:rsidRDefault="0048619F">
      <w:pPr>
        <w:pStyle w:val="Bibliography"/>
      </w:pPr>
      <w:r>
        <w:t xml:space="preserve">41. Bird, A. DNA methylation patterns and epigenetic memory. </w:t>
      </w:r>
      <w:r>
        <w:rPr>
          <w:i/>
        </w:rPr>
        <w:t>Genes &amp; development</w:t>
      </w:r>
      <w:r>
        <w:t xml:space="preserve"> </w:t>
      </w:r>
      <w:r>
        <w:rPr>
          <w:b/>
        </w:rPr>
        <w:t>16,</w:t>
      </w:r>
      <w:r>
        <w:t xml:space="preserve"> 6–21 (2002).</w:t>
      </w:r>
    </w:p>
    <w:p w14:paraId="2B4EB9A8" w14:textId="3FDC606F" w:rsidR="00A86D32" w:rsidRDefault="0048619F">
      <w:pPr>
        <w:pStyle w:val="Bibliography"/>
      </w:pPr>
      <w:r>
        <w:t>42. Cole, D. A. &amp; Preacher, K</w:t>
      </w:r>
      <w:r>
        <w:t xml:space="preserve">. J. </w:t>
      </w:r>
      <w:r>
        <w:t xml:space="preserve">Manifest Variable Path Analysis: Potentially Serious and Misleading Consequences Due to Uncorrected Measurement Error. </w:t>
      </w:r>
      <w:r>
        <w:rPr>
          <w:i/>
        </w:rPr>
        <w:t>Psychological Methods</w:t>
      </w:r>
      <w:r>
        <w:t xml:space="preserve"> </w:t>
      </w:r>
      <w:r>
        <w:rPr>
          <w:b/>
        </w:rPr>
        <w:t>19,</w:t>
      </w:r>
      <w:r>
        <w:t xml:space="preserve"> 300–315 (2014).</w:t>
      </w:r>
    </w:p>
    <w:p w14:paraId="06351C1B" w14:textId="77777777" w:rsidR="00A86D32" w:rsidRDefault="0048619F">
      <w:pPr>
        <w:pStyle w:val="Bibliography"/>
      </w:pPr>
      <w:r>
        <w:t xml:space="preserve">43. Bose, M. </w:t>
      </w:r>
      <w:r>
        <w:rPr>
          <w:i/>
        </w:rPr>
        <w:t>et al.</w:t>
      </w:r>
      <w:r>
        <w:t xml:space="preserve"> Evaluation of microarray-based DNA methylation measurement using technical replicates: the Atherosclerosis Risk In Communities (ARIC) Study. </w:t>
      </w:r>
      <w:r>
        <w:rPr>
          <w:i/>
        </w:rPr>
        <w:t>BMC Bioinformatics</w:t>
      </w:r>
      <w:r>
        <w:t xml:space="preserve"> </w:t>
      </w:r>
      <w:r>
        <w:rPr>
          <w:b/>
        </w:rPr>
        <w:t>15,</w:t>
      </w:r>
      <w:r>
        <w:t xml:space="preserve"> 312 (2014).</w:t>
      </w:r>
    </w:p>
    <w:p w14:paraId="3E83E285" w14:textId="046C4EC1" w:rsidR="00A86D32" w:rsidRDefault="0048619F">
      <w:pPr>
        <w:pStyle w:val="Bibliography"/>
      </w:pPr>
      <w:r>
        <w:t xml:space="preserve">44. Bryant, P. A. </w:t>
      </w:r>
      <w:r>
        <w:rPr>
          <w:i/>
        </w:rPr>
        <w:t>et al.</w:t>
      </w:r>
      <w:r>
        <w:t xml:space="preserve"> Technical Variability Is Greater than Biological Variability in a Microarray Experiment but Both Are Outweighed by Changes Induced by Stimulation. </w:t>
      </w:r>
      <w:r>
        <w:rPr>
          <w:i/>
        </w:rPr>
        <w:t>PLoS ONE</w:t>
      </w:r>
      <w:r>
        <w:t xml:space="preserve"> </w:t>
      </w:r>
      <w:r>
        <w:rPr>
          <w:b/>
        </w:rPr>
        <w:t>6,</w:t>
      </w:r>
      <w:r>
        <w:t xml:space="preserve"> e19556 (2011).</w:t>
      </w:r>
    </w:p>
    <w:p w14:paraId="6495D052" w14:textId="4A160014" w:rsidR="00A86D32" w:rsidRDefault="0048619F">
      <w:pPr>
        <w:pStyle w:val="Bibliography"/>
      </w:pPr>
      <w:r>
        <w:t xml:space="preserve">45. Richmond, R. C. </w:t>
      </w:r>
      <w:r>
        <w:rPr>
          <w:i/>
        </w:rPr>
        <w:t>et al.</w:t>
      </w:r>
      <w:r>
        <w:t xml:space="preserve"> Assessing Causality in the Association between Child Adiposity and Physical Activity Levels: A Mendelian Randomization Analysis. </w:t>
      </w:r>
      <w:r>
        <w:rPr>
          <w:i/>
        </w:rPr>
        <w:t>PLoS Medicine</w:t>
      </w:r>
      <w:r>
        <w:t xml:space="preserve"> </w:t>
      </w:r>
      <w:r>
        <w:rPr>
          <w:b/>
        </w:rPr>
        <w:t>11,</w:t>
      </w:r>
      <w:r>
        <w:t xml:space="preserve"> e1001618 (2014).</w:t>
      </w:r>
    </w:p>
    <w:p w14:paraId="1BCF5620" w14:textId="3DA9DBF0" w:rsidR="00A86D32" w:rsidRDefault="0048619F">
      <w:pPr>
        <w:pStyle w:val="Bibliography"/>
      </w:pPr>
      <w:r>
        <w:lastRenderedPageBreak/>
        <w:t xml:space="preserve">46. Relton, C. L. &amp; Davey Smith, G. Two-step epigenetic Mendelian randomization: a strategy for establishing the causal role of epigenetic processes in pathways to disease. </w:t>
      </w:r>
      <w:r>
        <w:rPr>
          <w:i/>
        </w:rPr>
        <w:t>International journal of epidemiology</w:t>
      </w:r>
      <w:r>
        <w:t xml:space="preserve"> </w:t>
      </w:r>
      <w:r>
        <w:rPr>
          <w:b/>
        </w:rPr>
        <w:t>41,</w:t>
      </w:r>
      <w:r>
        <w:t xml:space="preserve"> 161–76 (2012).</w:t>
      </w:r>
    </w:p>
    <w:p w14:paraId="7C27CFAE" w14:textId="77777777" w:rsidR="00A86D32" w:rsidRDefault="0048619F">
      <w:pPr>
        <w:pStyle w:val="Bibliography"/>
      </w:pPr>
      <w:r>
        <w:t xml:space="preserve">47. Burgess, S., Freitag, D. F., Khan, H., Gorman, D. N. &amp; Thompson, S. G. Using multivariable Mendelian randomization to disentangle the causal effects of lipid fractions. </w:t>
      </w:r>
      <w:r>
        <w:rPr>
          <w:i/>
        </w:rPr>
        <w:t>PloS one</w:t>
      </w:r>
      <w:r>
        <w:t xml:space="preserve"> </w:t>
      </w:r>
      <w:r>
        <w:rPr>
          <w:b/>
        </w:rPr>
        <w:t>9,</w:t>
      </w:r>
      <w:r>
        <w:t xml:space="preserve"> e108891 (2014).</w:t>
      </w:r>
    </w:p>
    <w:p w14:paraId="1E57400C" w14:textId="77777777" w:rsidR="00A86D32" w:rsidRDefault="0048619F">
      <w:pPr>
        <w:pStyle w:val="Bibliography"/>
      </w:pPr>
      <w:r>
        <w:t xml:space="preserve">48. Varbo, A. </w:t>
      </w:r>
      <w:r>
        <w:rPr>
          <w:i/>
        </w:rPr>
        <w:t>et al.</w:t>
      </w:r>
      <w:r>
        <w:t xml:space="preserve"> Remnant cholesterol, low-density lipoprotein cholesterol, and blood pressure as mediators from obesity to ischemic heart disease. </w:t>
      </w:r>
      <w:r>
        <w:rPr>
          <w:i/>
        </w:rPr>
        <w:t>Circulation research</w:t>
      </w:r>
      <w:r>
        <w:t xml:space="preserve"> </w:t>
      </w:r>
      <w:r>
        <w:rPr>
          <w:b/>
        </w:rPr>
        <w:t>116,</w:t>
      </w:r>
      <w:r>
        <w:t xml:space="preserve"> 665–73 (2015).</w:t>
      </w:r>
    </w:p>
    <w:p w14:paraId="1440CD53" w14:textId="77777777" w:rsidR="00A86D32" w:rsidRDefault="0048619F">
      <w:pPr>
        <w:pStyle w:val="Bibliography"/>
      </w:pPr>
      <w:r>
        <w:t xml:space="preserve">49. Burgess, S., Daniel, R. M., Butterworth, A. S. &amp; Thompson, S. G. Network Mendelian randomization: using genetic variants as instrumental variables to investigate mediation in causal pathways. </w:t>
      </w:r>
      <w:r>
        <w:rPr>
          <w:i/>
        </w:rPr>
        <w:t>International journal of epidemiology</w:t>
      </w:r>
      <w:r>
        <w:t xml:space="preserve"> </w:t>
      </w:r>
      <w:r>
        <w:rPr>
          <w:b/>
        </w:rPr>
        <w:t>44,</w:t>
      </w:r>
      <w:r>
        <w:t xml:space="preserve"> 484–95 (2015).</w:t>
      </w:r>
    </w:p>
    <w:p w14:paraId="1511AF23" w14:textId="77777777" w:rsidR="00A86D32" w:rsidRDefault="0048619F">
      <w:pPr>
        <w:pStyle w:val="Bibliography"/>
      </w:pPr>
      <w:r>
        <w:t xml:space="preserve">50. Richmond, R. C., Hemani, G., Tilling, K., Davey Smith, G. &amp; </w:t>
      </w:r>
      <w:proofErr w:type="spellStart"/>
      <w:r>
        <w:t>Relton</w:t>
      </w:r>
      <w:proofErr w:type="spellEnd"/>
      <w:r>
        <w:t xml:space="preserve">, C. L. Challenges and novel approaches for investigating molecular mediation. </w:t>
      </w:r>
      <w:r>
        <w:rPr>
          <w:i/>
        </w:rPr>
        <w:t>Human molecular genetics</w:t>
      </w:r>
      <w:r>
        <w:t xml:space="preserve"> </w:t>
      </w:r>
      <w:r>
        <w:rPr>
          <w:b/>
        </w:rPr>
        <w:t>25,</w:t>
      </w:r>
      <w:r>
        <w:t xml:space="preserve"> R149–R156 (2016).</w:t>
      </w:r>
    </w:p>
    <w:sectPr w:rsidR="00A86D32">
      <w:headerReference w:type="default" r:id="rId22"/>
      <w:footerReference w:type="default" r:id="rId2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M Tilling" w:date="2017-02-06T12:14:00Z" w:initials="KT">
    <w:p w14:paraId="6FDECFCE" w14:textId="77777777" w:rsidR="00582953" w:rsidRDefault="00582953">
      <w:pPr>
        <w:pStyle w:val="CommentText"/>
      </w:pPr>
      <w:r>
        <w:rPr>
          <w:rStyle w:val="CommentReference"/>
        </w:rPr>
        <w:annotationRef/>
      </w:r>
      <w:r>
        <w:t>But you have done this for CIT also I think?</w:t>
      </w:r>
    </w:p>
  </w:comment>
  <w:comment w:id="3" w:author="KM Tilling" w:date="2017-02-06T15:38:00Z" w:initials="KT">
    <w:p w14:paraId="6FFA8AA9" w14:textId="77777777" w:rsidR="00582953" w:rsidRDefault="00582953">
      <w:pPr>
        <w:pStyle w:val="CommentText"/>
      </w:pPr>
      <w:r>
        <w:rPr>
          <w:rStyle w:val="CommentReference"/>
        </w:rPr>
        <w:annotationRef/>
      </w:r>
      <w:r>
        <w:t xml:space="preserve">This implies that you have just been discussing </w:t>
      </w:r>
      <w:proofErr w:type="spellStart"/>
      <w:r>
        <w:t>disadvantagesof</w:t>
      </w:r>
      <w:proofErr w:type="spellEnd"/>
      <w:r>
        <w:t xml:space="preserve"> MR, which is not </w:t>
      </w:r>
      <w:proofErr w:type="spellStart"/>
      <w:r>
        <w:t>immediatelyobvious</w:t>
      </w:r>
      <w:proofErr w:type="spellEnd"/>
      <w:r>
        <w:t xml:space="preserve"> (is </w:t>
      </w:r>
      <w:proofErr w:type="spellStart"/>
      <w:r>
        <w:t>twoparagraphs</w:t>
      </w:r>
      <w:proofErr w:type="spellEnd"/>
      <w:r>
        <w:t xml:space="preserve"> back). Could just reword this </w:t>
      </w:r>
      <w:proofErr w:type="spellStart"/>
      <w:r>
        <w:t>firstsentence</w:t>
      </w:r>
      <w:proofErr w:type="spellEnd"/>
      <w:r>
        <w:t xml:space="preserve">, e.g. “MR requires the </w:t>
      </w:r>
      <w:proofErr w:type="spellStart"/>
      <w:r>
        <w:t>causaldirection</w:t>
      </w:r>
      <w:proofErr w:type="spellEnd"/>
      <w:r>
        <w:t xml:space="preserve"> to be known, but it </w:t>
      </w:r>
      <w:proofErr w:type="spellStart"/>
      <w:r>
        <w:t>doeshave</w:t>
      </w:r>
      <w:proofErr w:type="spellEnd"/>
      <w:r>
        <w:t xml:space="preserve"> </w:t>
      </w:r>
      <w:proofErr w:type="spellStart"/>
      <w:r>
        <w:t>someimportantadvantages</w:t>
      </w:r>
      <w:proofErr w:type="spellEnd"/>
      <w:proofErr w:type="gramStart"/>
      <w:r>
        <w:t>..</w:t>
      </w:r>
      <w:proofErr w:type="gramEnd"/>
      <w:r>
        <w:t>”?</w:t>
      </w:r>
    </w:p>
  </w:comment>
  <w:comment w:id="4" w:author="KM Tilling" w:date="2017-02-06T15:40:00Z" w:initials="KT">
    <w:p w14:paraId="0A1D2FF4" w14:textId="77777777" w:rsidR="00582953" w:rsidRDefault="00582953">
      <w:pPr>
        <w:pStyle w:val="CommentText"/>
      </w:pPr>
      <w:r>
        <w:rPr>
          <w:rStyle w:val="CommentReference"/>
        </w:rPr>
        <w:annotationRef/>
      </w:r>
      <w:r>
        <w:t xml:space="preserve">Than what? As if saying more robust that n </w:t>
      </w:r>
      <w:proofErr w:type="spellStart"/>
      <w:r>
        <w:t>CiT</w:t>
      </w:r>
      <w:proofErr w:type="spellEnd"/>
      <w:r>
        <w:t xml:space="preserve"> that just seems really odd as </w:t>
      </w:r>
      <w:proofErr w:type="spellStart"/>
      <w:r>
        <w:t>surelythis</w:t>
      </w:r>
      <w:proofErr w:type="spellEnd"/>
      <w:r>
        <w:t xml:space="preserve"> is what you are setting out </w:t>
      </w:r>
      <w:proofErr w:type="spellStart"/>
      <w:r>
        <w:t>toprove</w:t>
      </w:r>
      <w:proofErr w:type="spellEnd"/>
      <w:r>
        <w:t>?</w:t>
      </w:r>
    </w:p>
  </w:comment>
  <w:comment w:id="6" w:author="KM Tilling" w:date="2017-02-06T23:54:00Z" w:initials="KT">
    <w:p w14:paraId="4DFD8D9F" w14:textId="084ED643" w:rsidR="00582953" w:rsidRDefault="00582953">
      <w:pPr>
        <w:pStyle w:val="CommentText"/>
      </w:pPr>
      <w:r>
        <w:rPr>
          <w:rStyle w:val="CommentReference"/>
        </w:rPr>
        <w:annotationRef/>
      </w:r>
      <w:r>
        <w:t xml:space="preserve">I </w:t>
      </w:r>
      <w:proofErr w:type="spellStart"/>
      <w:r>
        <w:t>personallywouls</w:t>
      </w:r>
      <w:proofErr w:type="spellEnd"/>
      <w:r>
        <w:t xml:space="preserve"> start the methods by </w:t>
      </w:r>
      <w:proofErr w:type="spellStart"/>
      <w:r>
        <w:t>doingallthe</w:t>
      </w:r>
      <w:proofErr w:type="spellEnd"/>
      <w:r>
        <w:t xml:space="preserve"> definitions of </w:t>
      </w:r>
      <w:proofErr w:type="spellStart"/>
      <w:r>
        <w:t>x</w:t>
      </w:r>
      <w:proofErr w:type="gramStart"/>
      <w:r>
        <w:t>,xo,etc</w:t>
      </w:r>
      <w:proofErr w:type="spellEnd"/>
      <w:proofErr w:type="gramEnd"/>
      <w:r>
        <w:t xml:space="preserve"> and what you </w:t>
      </w:r>
      <w:proofErr w:type="spellStart"/>
      <w:r>
        <w:t>meanby</w:t>
      </w:r>
      <w:proofErr w:type="spellEnd"/>
      <w:r>
        <w:t xml:space="preserve"> measurement error. </w:t>
      </w:r>
    </w:p>
  </w:comment>
  <w:comment w:id="7" w:author="KM Tilling" w:date="2017-02-07T00:02:00Z" w:initials="KT">
    <w:p w14:paraId="3ACFF529" w14:textId="43FF948E" w:rsidR="00582953" w:rsidRDefault="00582953">
      <w:pPr>
        <w:pStyle w:val="CommentText"/>
      </w:pPr>
      <w:r>
        <w:rPr>
          <w:rStyle w:val="CommentReference"/>
        </w:rPr>
        <w:annotationRef/>
      </w:r>
      <w:r>
        <w:t xml:space="preserve">I </w:t>
      </w:r>
      <w:proofErr w:type="spellStart"/>
      <w:r>
        <w:t>woulddescribe</w:t>
      </w:r>
      <w:proofErr w:type="spellEnd"/>
      <w:r>
        <w:t xml:space="preserve"> the methods first (without any reference </w:t>
      </w:r>
      <w:proofErr w:type="spellStart"/>
      <w:r>
        <w:t>tosimulation</w:t>
      </w:r>
      <w:proofErr w:type="spellEnd"/>
      <w:r>
        <w:t>)</w:t>
      </w:r>
      <w:proofErr w:type="gramStart"/>
      <w:r>
        <w:t>,and</w:t>
      </w:r>
      <w:proofErr w:type="gramEnd"/>
      <w:r>
        <w:t xml:space="preserve"> then the simulations</w:t>
      </w:r>
    </w:p>
  </w:comment>
  <w:comment w:id="9" w:author="KM Tilling" w:date="2017-02-07T00:00:00Z" w:initials="KT">
    <w:p w14:paraId="55F2BCA0" w14:textId="56D030BF" w:rsidR="00582953" w:rsidRDefault="00582953">
      <w:pPr>
        <w:pStyle w:val="CommentText"/>
      </w:pPr>
      <w:r>
        <w:rPr>
          <w:rStyle w:val="CommentReference"/>
        </w:rPr>
        <w:annotationRef/>
      </w:r>
      <w:r>
        <w:t xml:space="preserve">Is the g definition essential? </w:t>
      </w:r>
      <w:proofErr w:type="spellStart"/>
      <w:r>
        <w:t>I.e.itseems</w:t>
      </w:r>
      <w:proofErr w:type="spellEnd"/>
      <w:r>
        <w:t xml:space="preserve"> tome that the x and y equations are setting up the assumptions of the </w:t>
      </w:r>
      <w:proofErr w:type="spellStart"/>
      <w:r>
        <w:t>model</w:t>
      </w:r>
      <w:proofErr w:type="gramStart"/>
      <w:r>
        <w:t>,but</w:t>
      </w:r>
      <w:proofErr w:type="spellEnd"/>
      <w:proofErr w:type="gramEnd"/>
      <w:r>
        <w:t xml:space="preserve"> the g one I </w:t>
      </w:r>
      <w:proofErr w:type="spellStart"/>
      <w:r>
        <w:t>amnot</w:t>
      </w:r>
      <w:proofErr w:type="spellEnd"/>
      <w:r>
        <w:t xml:space="preserve"> so sure…? That feels more like setting </w:t>
      </w:r>
      <w:proofErr w:type="spellStart"/>
      <w:r>
        <w:t>upa</w:t>
      </w:r>
      <w:proofErr w:type="spellEnd"/>
      <w:r>
        <w:t xml:space="preserve"> simulation?</w:t>
      </w:r>
    </w:p>
    <w:p w14:paraId="1DB228B4" w14:textId="0BEAE170" w:rsidR="00582953" w:rsidRDefault="00582953">
      <w:pPr>
        <w:pStyle w:val="CommentText"/>
      </w:pPr>
      <w:proofErr w:type="spellStart"/>
      <w:r>
        <w:t>Couldyou</w:t>
      </w:r>
      <w:proofErr w:type="spellEnd"/>
      <w:r>
        <w:t xml:space="preserve"> number these equations as the x and the y one are needed </w:t>
      </w:r>
      <w:proofErr w:type="spellStart"/>
      <w:r>
        <w:t>againlater</w:t>
      </w:r>
      <w:proofErr w:type="spellEnd"/>
    </w:p>
  </w:comment>
  <w:comment w:id="10" w:author="KM Tilling" w:date="2017-02-06T23:56:00Z" w:initials="KT">
    <w:p w14:paraId="537E8BED" w14:textId="63ABD061" w:rsidR="00582953" w:rsidRDefault="00582953">
      <w:pPr>
        <w:pStyle w:val="CommentText"/>
      </w:pPr>
      <w:r>
        <w:rPr>
          <w:rStyle w:val="CommentReference"/>
        </w:rPr>
        <w:annotationRef/>
      </w:r>
      <w:proofErr w:type="spellStart"/>
      <w:r>
        <w:t>Probworth</w:t>
      </w:r>
      <w:proofErr w:type="spellEnd"/>
      <w:r>
        <w:t xml:space="preserve"> checking that </w:t>
      </w:r>
      <w:proofErr w:type="spellStart"/>
      <w:r>
        <w:t>relativefreq</w:t>
      </w:r>
      <w:proofErr w:type="spellEnd"/>
      <w:r>
        <w:t xml:space="preserve"> of g </w:t>
      </w:r>
      <w:proofErr w:type="spellStart"/>
      <w:r>
        <w:t>doesn’tchange</w:t>
      </w:r>
      <w:proofErr w:type="spellEnd"/>
      <w:r>
        <w:t xml:space="preserve"> anything, </w:t>
      </w:r>
      <w:proofErr w:type="spellStart"/>
      <w:r>
        <w:t>i.e.what</w:t>
      </w:r>
      <w:proofErr w:type="spellEnd"/>
      <w:r>
        <w:t xml:space="preserve"> if g is not balanced equally? This will change the variance of g but shouldn’t change balance of results –but I </w:t>
      </w:r>
      <w:proofErr w:type="spellStart"/>
      <w:r>
        <w:t>amparanoid</w:t>
      </w:r>
      <w:proofErr w:type="spellEnd"/>
      <w:r>
        <w:t xml:space="preserve"> </w:t>
      </w:r>
      <w:proofErr w:type="spellStart"/>
      <w:r>
        <w:t>sowould</w:t>
      </w:r>
      <w:proofErr w:type="spellEnd"/>
      <w:r>
        <w:t xml:space="preserve"> probably just run one load of simulations with very rare risk allele just </w:t>
      </w:r>
      <w:proofErr w:type="spellStart"/>
      <w:r>
        <w:t>tocheck</w:t>
      </w:r>
      <w:proofErr w:type="spellEnd"/>
      <w:r>
        <w:t>…</w:t>
      </w:r>
    </w:p>
  </w:comment>
  <w:comment w:id="11" w:author="KM Tilling" w:date="2017-02-06T15:55:00Z" w:initials="KT">
    <w:p w14:paraId="290ACC9F" w14:textId="09690F0A" w:rsidR="00582953" w:rsidRDefault="00582953">
      <w:pPr>
        <w:pStyle w:val="CommentText"/>
      </w:pPr>
      <w:r>
        <w:rPr>
          <w:rStyle w:val="CommentReference"/>
        </w:rPr>
        <w:annotationRef/>
      </w:r>
      <w:r>
        <w:t xml:space="preserve">Just needs the terminology tightening </w:t>
      </w:r>
      <w:proofErr w:type="spellStart"/>
      <w:r>
        <w:t>upa</w:t>
      </w:r>
      <w:proofErr w:type="spellEnd"/>
      <w:r>
        <w:t xml:space="preserve"> bit here </w:t>
      </w:r>
      <w:proofErr w:type="spellStart"/>
      <w:r>
        <w:t>i.e.why</w:t>
      </w:r>
      <w:proofErr w:type="spellEnd"/>
      <w:r>
        <w:t xml:space="preserve"> </w:t>
      </w:r>
      <w:proofErr w:type="spellStart"/>
      <w:r>
        <w:t>notsay</w:t>
      </w:r>
      <w:proofErr w:type="spellEnd"/>
      <w:r>
        <w:t xml:space="preserve"> for Model 1 (x causes </w:t>
      </w:r>
      <w:proofErr w:type="gramStart"/>
      <w:r>
        <w:t>y)and</w:t>
      </w:r>
      <w:proofErr w:type="gramEnd"/>
      <w:r>
        <w:t xml:space="preserve"> model2 (y causes x) and same below</w:t>
      </w:r>
    </w:p>
  </w:comment>
  <w:comment w:id="12" w:author="KM Tilling" w:date="2017-02-06T23:58:00Z" w:initials="KT">
    <w:p w14:paraId="777C7B98" w14:textId="019F43A5" w:rsidR="00582953" w:rsidRDefault="00582953">
      <w:pPr>
        <w:pStyle w:val="CommentText"/>
      </w:pPr>
      <w:r>
        <w:rPr>
          <w:rStyle w:val="CommentReference"/>
        </w:rPr>
        <w:annotationRef/>
      </w:r>
      <w:proofErr w:type="spellStart"/>
      <w:r>
        <w:t>Ithink</w:t>
      </w:r>
      <w:proofErr w:type="spellEnd"/>
      <w:r>
        <w:t xml:space="preserve"> need </w:t>
      </w:r>
      <w:proofErr w:type="spellStart"/>
      <w:r>
        <w:t>tobe</w:t>
      </w:r>
      <w:proofErr w:type="spellEnd"/>
      <w:r>
        <w:t xml:space="preserve"> more specific here – </w:t>
      </w:r>
      <w:proofErr w:type="spellStart"/>
      <w:r>
        <w:t>surelyyou</w:t>
      </w:r>
      <w:proofErr w:type="spellEnd"/>
      <w:r>
        <w:t xml:space="preserve"> need </w:t>
      </w:r>
      <w:proofErr w:type="spellStart"/>
      <w:r>
        <w:t>toinfersomething</w:t>
      </w:r>
      <w:proofErr w:type="spellEnd"/>
      <w:r>
        <w:t>-even if it is just that you don’t have enough evidence to decide which model is most likely?</w:t>
      </w:r>
    </w:p>
  </w:comment>
  <w:comment w:id="14" w:author="KM Tilling" w:date="2017-02-07T00:02:00Z" w:initials="KT">
    <w:p w14:paraId="4CD73531" w14:textId="15F6DED9" w:rsidR="00582953" w:rsidRDefault="00582953">
      <w:pPr>
        <w:pStyle w:val="CommentText"/>
      </w:pPr>
      <w:r>
        <w:rPr>
          <w:rStyle w:val="CommentReference"/>
        </w:rPr>
        <w:annotationRef/>
      </w:r>
      <w:r>
        <w:t>Refer to previous equations by number</w:t>
      </w:r>
    </w:p>
  </w:comment>
  <w:comment w:id="15" w:author="KM Tilling" w:date="2017-02-06T16:18:00Z" w:initials="KT">
    <w:p w14:paraId="085A119C" w14:textId="49754076" w:rsidR="00582953" w:rsidRDefault="00582953">
      <w:pPr>
        <w:pStyle w:val="CommentText"/>
      </w:pPr>
      <w:r>
        <w:rPr>
          <w:rStyle w:val="CommentReference"/>
        </w:rPr>
        <w:annotationRef/>
      </w:r>
      <w:r>
        <w:t xml:space="preserve">You must make </w:t>
      </w:r>
      <w:proofErr w:type="spellStart"/>
      <w:r>
        <w:t>somesort</w:t>
      </w:r>
      <w:proofErr w:type="spellEnd"/>
      <w:r>
        <w:t xml:space="preserve"> of inference-even if it is </w:t>
      </w:r>
      <w:proofErr w:type="spellStart"/>
      <w:r>
        <w:t>onlythat</w:t>
      </w:r>
      <w:proofErr w:type="spellEnd"/>
      <w:r>
        <w:t xml:space="preserve"> there is </w:t>
      </w:r>
      <w:proofErr w:type="spellStart"/>
      <w:r>
        <w:t>unsufficient</w:t>
      </w:r>
      <w:proofErr w:type="spellEnd"/>
      <w:r>
        <w:t xml:space="preserve"> evidence to reject either of the models (i.e. you are saying </w:t>
      </w:r>
      <w:proofErr w:type="spellStart"/>
      <w:r>
        <w:t>xcouldcause</w:t>
      </w:r>
      <w:proofErr w:type="spellEnd"/>
      <w:r>
        <w:t xml:space="preserve"> </w:t>
      </w:r>
      <w:proofErr w:type="spellStart"/>
      <w:r>
        <w:t>y</w:t>
      </w:r>
      <w:proofErr w:type="gramStart"/>
      <w:r>
        <w:t>,or</w:t>
      </w:r>
      <w:proofErr w:type="spellEnd"/>
      <w:proofErr w:type="gramEnd"/>
      <w:r>
        <w:t xml:space="preserve"> y </w:t>
      </w:r>
      <w:proofErr w:type="spellStart"/>
      <w:r>
        <w:t>couldcause</w:t>
      </w:r>
      <w:proofErr w:type="spellEnd"/>
      <w:r>
        <w:t xml:space="preserve"> x) –</w:t>
      </w:r>
      <w:proofErr w:type="spellStart"/>
      <w:r>
        <w:t>Iguess</w:t>
      </w:r>
      <w:proofErr w:type="spellEnd"/>
      <w:r>
        <w:t xml:space="preserve"> this would be if PMR&lt;alpha but </w:t>
      </w:r>
      <w:proofErr w:type="spellStart"/>
      <w:r>
        <w:t>psteiger</w:t>
      </w:r>
      <w:proofErr w:type="spellEnd"/>
      <w:r>
        <w:t xml:space="preserve">&gt;alpha. If </w:t>
      </w:r>
      <w:proofErr w:type="spellStart"/>
      <w:r>
        <w:t>pMR</w:t>
      </w:r>
      <w:proofErr w:type="spellEnd"/>
      <w:r>
        <w:t xml:space="preserve">&gt;alpha does that imply </w:t>
      </w:r>
      <w:proofErr w:type="spellStart"/>
      <w:r>
        <w:t>psteigermust</w:t>
      </w:r>
      <w:proofErr w:type="spellEnd"/>
      <w:r>
        <w:t xml:space="preserve"> be &gt;alpha?</w:t>
      </w:r>
    </w:p>
    <w:p w14:paraId="73316825" w14:textId="450B18AC" w:rsidR="00582953" w:rsidRDefault="00582953">
      <w:pPr>
        <w:pStyle w:val="CommentText"/>
      </w:pPr>
      <w:r>
        <w:t>Basically I think you need to say something more specific than “no inference is made”.</w:t>
      </w:r>
    </w:p>
    <w:p w14:paraId="7C09C91F" w14:textId="02749826" w:rsidR="00582953" w:rsidRDefault="00582953">
      <w:pPr>
        <w:pStyle w:val="CommentText"/>
      </w:pPr>
    </w:p>
  </w:comment>
  <w:comment w:id="17" w:author="KM Tilling" w:date="2017-02-06T16:51:00Z" w:initials="KT">
    <w:p w14:paraId="34987C61" w14:textId="6F8009F5" w:rsidR="00582953" w:rsidRDefault="00582953">
      <w:pPr>
        <w:pStyle w:val="CommentText"/>
      </w:pPr>
      <w:r>
        <w:rPr>
          <w:rStyle w:val="CommentReference"/>
        </w:rPr>
        <w:annotationRef/>
      </w:r>
      <w:r>
        <w:t xml:space="preserve">I think you need </w:t>
      </w:r>
      <w:proofErr w:type="spellStart"/>
      <w:r>
        <w:t>toclarify</w:t>
      </w:r>
      <w:proofErr w:type="spellEnd"/>
      <w:r>
        <w:t xml:space="preserve"> here that </w:t>
      </w:r>
      <w:proofErr w:type="spellStart"/>
      <w:r>
        <w:t>rgxo</w:t>
      </w:r>
      <w:proofErr w:type="spellEnd"/>
      <w:r>
        <w:t xml:space="preserve"> </w:t>
      </w:r>
      <w:proofErr w:type="spellStart"/>
      <w:r>
        <w:t>willunderestimate</w:t>
      </w:r>
      <w:proofErr w:type="spellEnd"/>
      <w:r>
        <w:t xml:space="preserve"> </w:t>
      </w:r>
      <w:proofErr w:type="spellStart"/>
      <w:r>
        <w:t>rgx</w:t>
      </w:r>
      <w:proofErr w:type="spellEnd"/>
      <w:r>
        <w:t xml:space="preserve"> if xo is x measured with </w:t>
      </w:r>
      <w:proofErr w:type="spellStart"/>
      <w:r>
        <w:t>error.Sothus</w:t>
      </w:r>
      <w:proofErr w:type="spellEnd"/>
      <w:r>
        <w:t xml:space="preserve"> even if </w:t>
      </w:r>
      <w:proofErr w:type="spellStart"/>
      <w:r>
        <w:t>rgx</w:t>
      </w:r>
      <w:proofErr w:type="spellEnd"/>
      <w:r>
        <w:t>&lt;</w:t>
      </w:r>
      <w:proofErr w:type="spellStart"/>
      <w:r>
        <w:t>rgy</w:t>
      </w:r>
      <w:proofErr w:type="spellEnd"/>
      <w:r>
        <w:t xml:space="preserve"> you might observe </w:t>
      </w:r>
      <w:proofErr w:type="spellStart"/>
      <w:r>
        <w:t>rgxo</w:t>
      </w:r>
      <w:proofErr w:type="spellEnd"/>
      <w:r>
        <w:t>&gt;</w:t>
      </w:r>
      <w:proofErr w:type="spellStart"/>
      <w:r>
        <w:t>rgyo</w:t>
      </w:r>
      <w:proofErr w:type="spellEnd"/>
      <w:r>
        <w:t>.</w:t>
      </w:r>
    </w:p>
  </w:comment>
  <w:comment w:id="19" w:author="KM Tilling" w:date="2017-02-06T16:21:00Z" w:initials="KT">
    <w:p w14:paraId="21049CCB" w14:textId="3AF5E6FE" w:rsidR="00582953" w:rsidRDefault="00582953">
      <w:pPr>
        <w:pStyle w:val="CommentText"/>
      </w:pPr>
      <w:r>
        <w:rPr>
          <w:rStyle w:val="CommentReference"/>
        </w:rPr>
        <w:annotationRef/>
      </w:r>
      <w:r>
        <w:t xml:space="preserve">What </w:t>
      </w:r>
      <w:proofErr w:type="spellStart"/>
      <w:r>
        <w:t>exactlydoyou</w:t>
      </w:r>
      <w:proofErr w:type="spellEnd"/>
      <w:r>
        <w:t xml:space="preserve"> mean by “</w:t>
      </w:r>
      <w:proofErr w:type="spellStart"/>
      <w:r>
        <w:t>maximummeasurement</w:t>
      </w:r>
      <w:proofErr w:type="spellEnd"/>
      <w:r>
        <w:t xml:space="preserve"> error”-</w:t>
      </w:r>
      <w:proofErr w:type="spellStart"/>
      <w:r>
        <w:t>errorin</w:t>
      </w:r>
      <w:proofErr w:type="spellEnd"/>
      <w:r>
        <w:t xml:space="preserve"> what?</w:t>
      </w:r>
    </w:p>
  </w:comment>
  <w:comment w:id="18" w:author="KM Tilling" w:date="2017-02-06T16:46:00Z" w:initials="KT">
    <w:p w14:paraId="7E225986" w14:textId="5B9A71C5" w:rsidR="00582953" w:rsidRDefault="00582953">
      <w:pPr>
        <w:pStyle w:val="CommentText"/>
      </w:pPr>
      <w:r>
        <w:rPr>
          <w:rStyle w:val="CommentReference"/>
        </w:rPr>
        <w:annotationRef/>
      </w:r>
      <w:r>
        <w:t xml:space="preserve">I </w:t>
      </w:r>
      <w:proofErr w:type="spellStart"/>
      <w:r>
        <w:t>stilldon’t</w:t>
      </w:r>
      <w:proofErr w:type="spellEnd"/>
      <w:r>
        <w:t xml:space="preserve"> quite get this… sorry. </w:t>
      </w:r>
    </w:p>
  </w:comment>
  <w:comment w:id="22" w:author="KM Tilling" w:date="2017-02-06T16:47:00Z" w:initials="KT">
    <w:p w14:paraId="5BEFC906" w14:textId="26758B28" w:rsidR="00582953" w:rsidRDefault="00582953">
      <w:pPr>
        <w:pStyle w:val="CommentText"/>
      </w:pPr>
      <w:r>
        <w:rPr>
          <w:rStyle w:val="CommentReference"/>
        </w:rPr>
        <w:annotationRef/>
      </w:r>
      <w:r>
        <w:t>I am not sure R is saying the same thing in both these cases?</w:t>
      </w:r>
    </w:p>
  </w:comment>
  <w:comment w:id="20" w:author="KM Tilling" w:date="2017-02-06T16:48:00Z" w:initials="KT">
    <w:p w14:paraId="06683821" w14:textId="3EE4D34C" w:rsidR="00582953" w:rsidRDefault="00582953">
      <w:pPr>
        <w:pStyle w:val="CommentText"/>
      </w:pPr>
      <w:r>
        <w:rPr>
          <w:rStyle w:val="CommentReference"/>
        </w:rPr>
        <w:annotationRef/>
      </w:r>
      <w:r>
        <w:t xml:space="preserve">I </w:t>
      </w:r>
      <w:proofErr w:type="spellStart"/>
      <w:r>
        <w:t>amsorry</w:t>
      </w:r>
      <w:proofErr w:type="spellEnd"/>
      <w:r>
        <w:t xml:space="preserve"> but I don’t quite get this either… </w:t>
      </w:r>
      <w:proofErr w:type="spellStart"/>
      <w:r>
        <w:t>don’tyou</w:t>
      </w:r>
      <w:proofErr w:type="spellEnd"/>
      <w:r>
        <w:t xml:space="preserve"> just draw from the correlation space lots </w:t>
      </w:r>
      <w:proofErr w:type="spellStart"/>
      <w:r>
        <w:t>oftimes</w:t>
      </w:r>
      <w:proofErr w:type="spellEnd"/>
      <w:r>
        <w:t xml:space="preserve"> and see how many times the </w:t>
      </w:r>
      <w:proofErr w:type="spellStart"/>
      <w:r>
        <w:t>steiger</w:t>
      </w:r>
      <w:proofErr w:type="spellEnd"/>
      <w:r>
        <w:t xml:space="preserve"> test deduces that x causes </w:t>
      </w:r>
      <w:proofErr w:type="spellStart"/>
      <w:r>
        <w:t>y</w:t>
      </w:r>
      <w:proofErr w:type="gramStart"/>
      <w:r>
        <w:t>,and</w:t>
      </w:r>
      <w:proofErr w:type="spellEnd"/>
      <w:proofErr w:type="gramEnd"/>
      <w:r>
        <w:t xml:space="preserve"> </w:t>
      </w:r>
      <w:proofErr w:type="spellStart"/>
      <w:r>
        <w:t>howmany</w:t>
      </w:r>
      <w:proofErr w:type="spellEnd"/>
      <w:r>
        <w:t xml:space="preserve"> times it deduces that Y causes </w:t>
      </w:r>
      <w:proofErr w:type="spellStart"/>
      <w:r>
        <w:t>x,and</w:t>
      </w:r>
      <w:proofErr w:type="spellEnd"/>
      <w:r>
        <w:t xml:space="preserve"> then ratio those two? (</w:t>
      </w:r>
      <w:proofErr w:type="gramStart"/>
      <w:r>
        <w:t>and</w:t>
      </w:r>
      <w:proofErr w:type="gramEnd"/>
      <w:r>
        <w:t xml:space="preserve"> </w:t>
      </w:r>
      <w:proofErr w:type="spellStart"/>
      <w:r>
        <w:t>doyou</w:t>
      </w:r>
      <w:proofErr w:type="spellEnd"/>
      <w:r>
        <w:t xml:space="preserve"> discard </w:t>
      </w:r>
      <w:proofErr w:type="spellStart"/>
      <w:r>
        <w:t>allthose</w:t>
      </w:r>
      <w:proofErr w:type="spellEnd"/>
      <w:r>
        <w:t xml:space="preserve"> where you would infer something </w:t>
      </w:r>
      <w:proofErr w:type="spellStart"/>
      <w:r>
        <w:t>different,i.e</w:t>
      </w:r>
      <w:proofErr w:type="spellEnd"/>
      <w:r>
        <w:t xml:space="preserve">. where you would say you don’t have enough evidence </w:t>
      </w:r>
      <w:proofErr w:type="spellStart"/>
      <w:r>
        <w:t>todistinguish</w:t>
      </w:r>
      <w:proofErr w:type="spellEnd"/>
      <w:r>
        <w:t xml:space="preserve"> between these two?)</w:t>
      </w:r>
    </w:p>
  </w:comment>
  <w:comment w:id="21" w:author="KM Tilling" w:date="2017-02-07T00:03:00Z" w:initials="KT">
    <w:p w14:paraId="6FD22AAD" w14:textId="1BAE4346" w:rsidR="00582953" w:rsidRDefault="00582953">
      <w:pPr>
        <w:pStyle w:val="CommentText"/>
      </w:pPr>
      <w:r>
        <w:rPr>
          <w:rStyle w:val="CommentReference"/>
        </w:rPr>
        <w:annotationRef/>
      </w:r>
      <w:r>
        <w:t xml:space="preserve">But isn’t the </w:t>
      </w:r>
      <w:proofErr w:type="spellStart"/>
      <w:r>
        <w:t>Steiger</w:t>
      </w:r>
      <w:proofErr w:type="spellEnd"/>
      <w:r>
        <w:t xml:space="preserve"> </w:t>
      </w:r>
      <w:proofErr w:type="spellStart"/>
      <w:r>
        <w:t>testtodowith</w:t>
      </w:r>
      <w:proofErr w:type="spellEnd"/>
      <w:r>
        <w:t xml:space="preserve"> p-values </w:t>
      </w:r>
      <w:proofErr w:type="spellStart"/>
      <w:r>
        <w:t>aswell</w:t>
      </w:r>
      <w:proofErr w:type="spellEnd"/>
      <w:r>
        <w:t>?</w:t>
      </w:r>
    </w:p>
  </w:comment>
  <w:comment w:id="28" w:author="KM Tilling" w:date="2017-02-06T20:48:00Z" w:initials="KT">
    <w:p w14:paraId="53610FC8" w14:textId="4AED8DD3" w:rsidR="00582953" w:rsidRDefault="00582953">
      <w:pPr>
        <w:pStyle w:val="CommentText"/>
      </w:pPr>
      <w:r>
        <w:rPr>
          <w:rStyle w:val="CommentReference"/>
        </w:rPr>
        <w:annotationRef/>
      </w:r>
      <w:r>
        <w:t>This will be affected by measurement error in x too</w:t>
      </w:r>
    </w:p>
  </w:comment>
  <w:comment w:id="27" w:author="KM Tilling" w:date="2017-02-07T00:05:00Z" w:initials="KT">
    <w:p w14:paraId="075785BC" w14:textId="054D9281" w:rsidR="00582953" w:rsidRDefault="00582953">
      <w:pPr>
        <w:pStyle w:val="CommentText"/>
      </w:pPr>
      <w:r>
        <w:rPr>
          <w:rStyle w:val="CommentReference"/>
        </w:rPr>
        <w:annotationRef/>
      </w:r>
      <w:r>
        <w:t xml:space="preserve">This should </w:t>
      </w:r>
      <w:proofErr w:type="spellStart"/>
      <w:r>
        <w:t>allbe</w:t>
      </w:r>
      <w:proofErr w:type="spellEnd"/>
      <w:r>
        <w:t xml:space="preserve"> in methods I think.</w:t>
      </w:r>
    </w:p>
  </w:comment>
  <w:comment w:id="30" w:author="KM Tilling" w:date="2017-02-07T00:05:00Z" w:initials="KT">
    <w:p w14:paraId="0BFA096D" w14:textId="7FF2998C" w:rsidR="00582953" w:rsidRDefault="00582953">
      <w:pPr>
        <w:pStyle w:val="CommentText"/>
      </w:pPr>
      <w:r>
        <w:rPr>
          <w:rStyle w:val="CommentReference"/>
        </w:rPr>
        <w:annotationRef/>
      </w:r>
      <w:r>
        <w:t>Methods too</w:t>
      </w:r>
    </w:p>
  </w:comment>
  <w:comment w:id="34" w:author="KM Tilling" w:date="2017-02-06T22:13:00Z" w:initials="KT">
    <w:p w14:paraId="02FA988D" w14:textId="3CEFBC8B" w:rsidR="00582953" w:rsidRDefault="00582953">
      <w:pPr>
        <w:pStyle w:val="CommentText"/>
      </w:pPr>
      <w:r>
        <w:rPr>
          <w:rStyle w:val="CommentReference"/>
        </w:rPr>
        <w:annotationRef/>
      </w:r>
      <w:r>
        <w:t xml:space="preserve">But surely you only observe X in one of the samples, so it doesn’t really make any difference? I.e. two sample can be no </w:t>
      </w:r>
      <w:proofErr w:type="spellStart"/>
      <w:r>
        <w:t>differentfromonesample</w:t>
      </w:r>
      <w:proofErr w:type="spellEnd"/>
      <w:r>
        <w:t xml:space="preserve">, in this respect? </w:t>
      </w:r>
    </w:p>
  </w:comment>
  <w:comment w:id="37" w:author="KM Tilling" w:date="2017-02-06T23:05:00Z" w:initials="KT">
    <w:p w14:paraId="0F6BDE1F" w14:textId="7BD8FA3E" w:rsidR="00582953" w:rsidRDefault="00582953">
      <w:pPr>
        <w:pStyle w:val="CommentText"/>
      </w:pPr>
      <w:r>
        <w:rPr>
          <w:rStyle w:val="CommentReference"/>
        </w:rPr>
        <w:annotationRef/>
      </w:r>
      <w:r>
        <w:t>Need to be clear throughout when you are talking about the true correlations, and when the ones with the error (i.e. the observed correlations)</w:t>
      </w:r>
    </w:p>
  </w:comment>
  <w:comment w:id="38" w:author="KM Tilling" w:date="2017-02-06T23:06:00Z" w:initials="KT">
    <w:p w14:paraId="4E051109" w14:textId="01EC372B" w:rsidR="00582953" w:rsidRDefault="00582953">
      <w:pPr>
        <w:pStyle w:val="CommentText"/>
      </w:pPr>
      <w:r>
        <w:rPr>
          <w:rStyle w:val="CommentReference"/>
        </w:rPr>
        <w:annotationRef/>
      </w:r>
      <w:r>
        <w:t xml:space="preserve">Again it is </w:t>
      </w:r>
      <w:proofErr w:type="spellStart"/>
      <w:r>
        <w:t>nottotallycleartomewhich</w:t>
      </w:r>
      <w:proofErr w:type="spellEnd"/>
      <w:r>
        <w:t xml:space="preserve"> of these are observed </w:t>
      </w:r>
      <w:proofErr w:type="spellStart"/>
      <w:r>
        <w:t>andwhich</w:t>
      </w:r>
      <w:proofErr w:type="spellEnd"/>
      <w:r>
        <w:t xml:space="preserve"> are true correlations. </w:t>
      </w:r>
    </w:p>
  </w:comment>
  <w:comment w:id="41" w:author="KM Tilling" w:date="2017-02-06T23:45:00Z" w:initials="KT">
    <w:p w14:paraId="131517F5" w14:textId="45E3255A" w:rsidR="00582953" w:rsidRDefault="00582953">
      <w:pPr>
        <w:pStyle w:val="CommentText"/>
      </w:pPr>
      <w:r>
        <w:rPr>
          <w:rStyle w:val="CommentReference"/>
        </w:rPr>
        <w:annotationRef/>
      </w:r>
      <w:r>
        <w:t>I don’t get what you mean here sorry</w:t>
      </w:r>
    </w:p>
  </w:comment>
  <w:comment w:id="42" w:author="KM Tilling" w:date="2017-02-06T23:32:00Z" w:initials="KT">
    <w:p w14:paraId="2481A643" w14:textId="7B73E2B1" w:rsidR="00582953" w:rsidRDefault="00582953">
      <w:pPr>
        <w:pStyle w:val="CommentText"/>
      </w:pPr>
      <w:r>
        <w:rPr>
          <w:rStyle w:val="CommentReference"/>
        </w:rPr>
        <w:annotationRef/>
      </w:r>
      <w:r>
        <w:t>Weighted by what?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CB73AD" w15:done="0"/>
  <w15:commentEx w15:paraId="7A218418" w15:done="0"/>
  <w15:commentEx w15:paraId="517425E6" w15:done="0"/>
  <w15:commentEx w15:paraId="6FDECFCE" w15:done="0"/>
  <w15:commentEx w15:paraId="0F72004E" w15:done="0"/>
  <w15:commentEx w15:paraId="7323AC08" w15:done="0"/>
  <w15:commentEx w15:paraId="7E8384C3" w15:done="0"/>
  <w15:commentEx w15:paraId="6CDB2839" w15:done="0"/>
  <w15:commentEx w15:paraId="0C29A7DD" w15:done="0"/>
  <w15:commentEx w15:paraId="3519871A" w15:done="0"/>
  <w15:commentEx w15:paraId="2F60C4AB" w15:done="0"/>
  <w15:commentEx w15:paraId="2E658DE4" w15:done="0"/>
  <w15:commentEx w15:paraId="09013F65" w15:done="0"/>
  <w15:commentEx w15:paraId="0FE9B7D2" w15:done="0"/>
  <w15:commentEx w15:paraId="143DBAA0" w15:done="0"/>
  <w15:commentEx w15:paraId="1F2D3C9B" w15:done="0"/>
  <w15:commentEx w15:paraId="257ACDCB" w15:done="0"/>
  <w15:commentEx w15:paraId="7335A329" w15:done="0"/>
  <w15:commentEx w15:paraId="6BC1417F" w15:done="0"/>
  <w15:commentEx w15:paraId="6FFA8AA9" w15:done="0"/>
  <w15:commentEx w15:paraId="79A67A64" w15:done="0"/>
  <w15:commentEx w15:paraId="02B2380E" w15:done="0"/>
  <w15:commentEx w15:paraId="0A1D2FF4" w15:done="0"/>
  <w15:commentEx w15:paraId="1CC56655" w15:done="0"/>
  <w15:commentEx w15:paraId="5BF3884F" w15:done="0"/>
  <w15:commentEx w15:paraId="28C12D8F" w15:done="0"/>
  <w15:commentEx w15:paraId="4DFD8D9F" w15:done="0"/>
  <w15:commentEx w15:paraId="3ACFF529" w15:done="0"/>
  <w15:commentEx w15:paraId="1DB228B4" w15:done="0"/>
  <w15:commentEx w15:paraId="537E8BED" w15:done="0"/>
  <w15:commentEx w15:paraId="15FD837F" w15:done="0"/>
  <w15:commentEx w15:paraId="39AA499F" w15:done="0"/>
  <w15:commentEx w15:paraId="290ACC9F" w15:done="0"/>
  <w15:commentEx w15:paraId="777C7B98" w15:done="0"/>
  <w15:commentEx w15:paraId="4CD73531" w15:done="0"/>
  <w15:commentEx w15:paraId="7A59F797" w15:done="0"/>
  <w15:commentEx w15:paraId="7C09C91F" w15:done="0"/>
  <w15:commentEx w15:paraId="34987C61" w15:done="0"/>
  <w15:commentEx w15:paraId="21049CCB" w15:done="0"/>
  <w15:commentEx w15:paraId="7E225986" w15:done="0"/>
  <w15:commentEx w15:paraId="5BEFC906" w15:done="0"/>
  <w15:commentEx w15:paraId="687C5FA7" w15:done="0"/>
  <w15:commentEx w15:paraId="06683821" w15:done="0"/>
  <w15:commentEx w15:paraId="6FD22AAD" w15:done="0"/>
  <w15:commentEx w15:paraId="066E76FE" w15:done="0"/>
  <w15:commentEx w15:paraId="53610FC8" w15:done="0"/>
  <w15:commentEx w15:paraId="56D7A246" w15:done="0"/>
  <w15:commentEx w15:paraId="075785BC" w15:done="0"/>
  <w15:commentEx w15:paraId="0BFA096D" w15:done="0"/>
  <w15:commentEx w15:paraId="29793385" w15:done="0"/>
  <w15:commentEx w15:paraId="29BA31DC" w15:done="0"/>
  <w15:commentEx w15:paraId="671795C4" w15:done="0"/>
  <w15:commentEx w15:paraId="0ED98009" w15:done="0"/>
  <w15:commentEx w15:paraId="49118819" w15:done="0"/>
  <w15:commentEx w15:paraId="409F1514" w15:done="0"/>
  <w15:commentEx w15:paraId="31F86C9E" w15:done="0"/>
  <w15:commentEx w15:paraId="226BC6C3" w15:done="0"/>
  <w15:commentEx w15:paraId="1BB4E6C2" w15:done="0"/>
  <w15:commentEx w15:paraId="060551A2" w15:done="0"/>
  <w15:commentEx w15:paraId="02FA988D" w15:done="0"/>
  <w15:commentEx w15:paraId="15196D53" w15:done="0"/>
  <w15:commentEx w15:paraId="0B83C8D8" w15:done="0"/>
  <w15:commentEx w15:paraId="59BCC914" w15:done="0"/>
  <w15:commentEx w15:paraId="0F6BDE1F" w15:done="0"/>
  <w15:commentEx w15:paraId="4E051109" w15:done="0"/>
  <w15:commentEx w15:paraId="131517F5" w15:done="0"/>
  <w15:commentEx w15:paraId="2481A6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B4DDC" w14:textId="77777777" w:rsidR="00582953" w:rsidRDefault="00582953">
      <w:pPr>
        <w:spacing w:after="0"/>
      </w:pPr>
      <w:r>
        <w:separator/>
      </w:r>
    </w:p>
  </w:endnote>
  <w:endnote w:type="continuationSeparator" w:id="0">
    <w:p w14:paraId="312854A9" w14:textId="77777777" w:rsidR="00582953" w:rsidRDefault="00582953">
      <w:pPr>
        <w:spacing w:after="0"/>
      </w:pPr>
      <w:r>
        <w:continuationSeparator/>
      </w:r>
    </w:p>
  </w:endnote>
  <w:endnote w:type="continuationNotice" w:id="1">
    <w:p w14:paraId="2BE8CCA3" w14:textId="77777777" w:rsidR="00582953" w:rsidRDefault="005829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202FE" w14:textId="77777777" w:rsidR="00582953" w:rsidRDefault="005829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B71CC" w14:textId="77777777" w:rsidR="00582953" w:rsidRDefault="00582953">
      <w:r>
        <w:separator/>
      </w:r>
    </w:p>
  </w:footnote>
  <w:footnote w:type="continuationSeparator" w:id="0">
    <w:p w14:paraId="64CC09CE" w14:textId="77777777" w:rsidR="00582953" w:rsidRDefault="00582953">
      <w:r>
        <w:continuationSeparator/>
      </w:r>
    </w:p>
  </w:footnote>
  <w:footnote w:type="continuationNotice" w:id="1">
    <w:p w14:paraId="76027E13" w14:textId="77777777" w:rsidR="00582953" w:rsidRDefault="00582953">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917C8" w14:textId="77777777" w:rsidR="00582953" w:rsidRDefault="005829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FB74D"/>
    <w:multiLevelType w:val="multilevel"/>
    <w:tmpl w:val="C478B8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3086E70"/>
    <w:multiLevelType w:val="multilevel"/>
    <w:tmpl w:val="D7D236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A84A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787297B"/>
    <w:multiLevelType w:val="multilevel"/>
    <w:tmpl w:val="CFF0B1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8A84181"/>
    <w:multiLevelType w:val="multilevel"/>
    <w:tmpl w:val="B78284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DDB9D4E"/>
    <w:multiLevelType w:val="multilevel"/>
    <w:tmpl w:val="5CCC6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EBDD013"/>
    <w:multiLevelType w:val="multilevel"/>
    <w:tmpl w:val="BB5E8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M Tilling">
    <w15:presenceInfo w15:providerId="AD" w15:userId="S-1-5-21-1117850145-1682116191-196506527-47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025377"/>
    <w:rsid w:val="00035B57"/>
    <w:rsid w:val="00035D98"/>
    <w:rsid w:val="000C4D86"/>
    <w:rsid w:val="000D5216"/>
    <w:rsid w:val="00142507"/>
    <w:rsid w:val="001A6BCB"/>
    <w:rsid w:val="001E114C"/>
    <w:rsid w:val="001E2E44"/>
    <w:rsid w:val="001E3FE6"/>
    <w:rsid w:val="0021019E"/>
    <w:rsid w:val="0021209B"/>
    <w:rsid w:val="00240CF3"/>
    <w:rsid w:val="002428CA"/>
    <w:rsid w:val="002917D8"/>
    <w:rsid w:val="002C414B"/>
    <w:rsid w:val="003151AA"/>
    <w:rsid w:val="0035746F"/>
    <w:rsid w:val="00383055"/>
    <w:rsid w:val="0046046D"/>
    <w:rsid w:val="00474FC6"/>
    <w:rsid w:val="0048619F"/>
    <w:rsid w:val="0049634C"/>
    <w:rsid w:val="004C107F"/>
    <w:rsid w:val="004D64AF"/>
    <w:rsid w:val="004E29B3"/>
    <w:rsid w:val="00582953"/>
    <w:rsid w:val="00590D07"/>
    <w:rsid w:val="00606158"/>
    <w:rsid w:val="00693B45"/>
    <w:rsid w:val="007360BF"/>
    <w:rsid w:val="00784905"/>
    <w:rsid w:val="00784D58"/>
    <w:rsid w:val="007D353A"/>
    <w:rsid w:val="00873C79"/>
    <w:rsid w:val="008B1C86"/>
    <w:rsid w:val="008D6863"/>
    <w:rsid w:val="00913614"/>
    <w:rsid w:val="00935E71"/>
    <w:rsid w:val="009C457D"/>
    <w:rsid w:val="009C4968"/>
    <w:rsid w:val="009D1F48"/>
    <w:rsid w:val="00A27BD6"/>
    <w:rsid w:val="00A27C1A"/>
    <w:rsid w:val="00A51C3F"/>
    <w:rsid w:val="00A86D32"/>
    <w:rsid w:val="00B40214"/>
    <w:rsid w:val="00B86B75"/>
    <w:rsid w:val="00BC48D5"/>
    <w:rsid w:val="00BC7F8A"/>
    <w:rsid w:val="00C043D2"/>
    <w:rsid w:val="00C14F1E"/>
    <w:rsid w:val="00C36279"/>
    <w:rsid w:val="00C73A06"/>
    <w:rsid w:val="00CA046E"/>
    <w:rsid w:val="00D12784"/>
    <w:rsid w:val="00D217A9"/>
    <w:rsid w:val="00D4584F"/>
    <w:rsid w:val="00D76BC0"/>
    <w:rsid w:val="00DB7D6E"/>
    <w:rsid w:val="00DE742C"/>
    <w:rsid w:val="00DF287E"/>
    <w:rsid w:val="00E315A3"/>
    <w:rsid w:val="00E90990"/>
    <w:rsid w:val="00EB5052"/>
    <w:rsid w:val="00EE46ED"/>
    <w:rsid w:val="00FC0907"/>
    <w:rsid w:val="00FC6CCA"/>
    <w:rsid w:val="00FF2A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D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iPriority="39" w:unhideWhenUsed="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3055"/>
    <w:pPr>
      <w:spacing w:after="0"/>
    </w:pPr>
    <w:rPr>
      <w:rFonts w:ascii="Lucida Grande" w:hAnsi="Lucida Grande"/>
      <w:sz w:val="18"/>
      <w:szCs w:val="18"/>
    </w:rPr>
  </w:style>
  <w:style w:type="character" w:customStyle="1" w:styleId="BalloonTextChar">
    <w:name w:val="Balloon Text Char"/>
    <w:basedOn w:val="DefaultParagraphFont"/>
    <w:link w:val="BalloonText"/>
    <w:rsid w:val="002917D8"/>
    <w:rPr>
      <w:rFonts w:ascii="Lucida Grande" w:hAnsi="Lucida Grande"/>
      <w:sz w:val="18"/>
      <w:szCs w:val="18"/>
    </w:rPr>
  </w:style>
  <w:style w:type="character" w:styleId="CommentReference">
    <w:name w:val="annotation reference"/>
    <w:basedOn w:val="DefaultParagraphFont"/>
    <w:unhideWhenUsed/>
    <w:rsid w:val="00383055"/>
    <w:rPr>
      <w:sz w:val="16"/>
      <w:szCs w:val="16"/>
    </w:rPr>
  </w:style>
  <w:style w:type="paragraph" w:styleId="CommentText">
    <w:name w:val="annotation text"/>
    <w:basedOn w:val="Normal"/>
    <w:link w:val="CommentTextChar"/>
    <w:unhideWhenUsed/>
    <w:rsid w:val="00383055"/>
    <w:rPr>
      <w:sz w:val="20"/>
      <w:szCs w:val="20"/>
    </w:rPr>
  </w:style>
  <w:style w:type="character" w:customStyle="1" w:styleId="CommentTextChar">
    <w:name w:val="Comment Text Char"/>
    <w:basedOn w:val="DefaultParagraphFont"/>
    <w:link w:val="CommentText"/>
    <w:rsid w:val="00383055"/>
    <w:rPr>
      <w:sz w:val="20"/>
      <w:szCs w:val="20"/>
    </w:rPr>
  </w:style>
  <w:style w:type="paragraph" w:styleId="CommentSubject">
    <w:name w:val="annotation subject"/>
    <w:basedOn w:val="CommentText"/>
    <w:next w:val="CommentText"/>
    <w:link w:val="CommentSubjectChar"/>
    <w:unhideWhenUsed/>
    <w:rsid w:val="00383055"/>
    <w:rPr>
      <w:b/>
      <w:bCs/>
    </w:rPr>
  </w:style>
  <w:style w:type="character" w:customStyle="1" w:styleId="CommentSubjectChar">
    <w:name w:val="Comment Subject Char"/>
    <w:basedOn w:val="CommentTextChar"/>
    <w:link w:val="CommentSubject"/>
    <w:rsid w:val="00383055"/>
    <w:rPr>
      <w:b/>
      <w:bCs/>
      <w:sz w:val="20"/>
      <w:szCs w:val="20"/>
    </w:rPr>
  </w:style>
  <w:style w:type="paragraph" w:styleId="Header">
    <w:name w:val="header"/>
    <w:basedOn w:val="Normal"/>
    <w:link w:val="HeaderChar"/>
    <w:rsid w:val="00383055"/>
    <w:pPr>
      <w:tabs>
        <w:tab w:val="center" w:pos="4320"/>
        <w:tab w:val="right" w:pos="8640"/>
      </w:tabs>
      <w:spacing w:after="0"/>
    </w:pPr>
  </w:style>
  <w:style w:type="character" w:customStyle="1" w:styleId="HeaderChar">
    <w:name w:val="Header Char"/>
    <w:basedOn w:val="DefaultParagraphFont"/>
    <w:link w:val="Header"/>
    <w:rsid w:val="00383055"/>
  </w:style>
  <w:style w:type="paragraph" w:styleId="Footer">
    <w:name w:val="footer"/>
    <w:basedOn w:val="Normal"/>
    <w:link w:val="FooterChar"/>
    <w:rsid w:val="00383055"/>
    <w:pPr>
      <w:tabs>
        <w:tab w:val="center" w:pos="4320"/>
        <w:tab w:val="right" w:pos="8640"/>
      </w:tabs>
      <w:spacing w:after="0"/>
    </w:pPr>
  </w:style>
  <w:style w:type="character" w:customStyle="1" w:styleId="FooterChar">
    <w:name w:val="Footer Char"/>
    <w:basedOn w:val="DefaultParagraphFont"/>
    <w:link w:val="Footer"/>
    <w:rsid w:val="00383055"/>
  </w:style>
  <w:style w:type="paragraph" w:styleId="Revision">
    <w:name w:val="Revision"/>
    <w:hidden/>
    <w:rsid w:val="0048619F"/>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iPriority="39" w:unhideWhenUsed="1"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83055"/>
    <w:pPr>
      <w:spacing w:after="0"/>
    </w:pPr>
    <w:rPr>
      <w:rFonts w:ascii="Lucida Grande" w:hAnsi="Lucida Grande"/>
      <w:sz w:val="18"/>
      <w:szCs w:val="18"/>
    </w:rPr>
  </w:style>
  <w:style w:type="character" w:customStyle="1" w:styleId="BalloonTextChar">
    <w:name w:val="Balloon Text Char"/>
    <w:basedOn w:val="DefaultParagraphFont"/>
    <w:link w:val="BalloonText"/>
    <w:rsid w:val="002917D8"/>
    <w:rPr>
      <w:rFonts w:ascii="Lucida Grande" w:hAnsi="Lucida Grande"/>
      <w:sz w:val="18"/>
      <w:szCs w:val="18"/>
    </w:rPr>
  </w:style>
  <w:style w:type="character" w:styleId="CommentReference">
    <w:name w:val="annotation reference"/>
    <w:basedOn w:val="DefaultParagraphFont"/>
    <w:unhideWhenUsed/>
    <w:rsid w:val="00383055"/>
    <w:rPr>
      <w:sz w:val="16"/>
      <w:szCs w:val="16"/>
    </w:rPr>
  </w:style>
  <w:style w:type="paragraph" w:styleId="CommentText">
    <w:name w:val="annotation text"/>
    <w:basedOn w:val="Normal"/>
    <w:link w:val="CommentTextChar"/>
    <w:unhideWhenUsed/>
    <w:rsid w:val="00383055"/>
    <w:rPr>
      <w:sz w:val="20"/>
      <w:szCs w:val="20"/>
    </w:rPr>
  </w:style>
  <w:style w:type="character" w:customStyle="1" w:styleId="CommentTextChar">
    <w:name w:val="Comment Text Char"/>
    <w:basedOn w:val="DefaultParagraphFont"/>
    <w:link w:val="CommentText"/>
    <w:rsid w:val="00383055"/>
    <w:rPr>
      <w:sz w:val="20"/>
      <w:szCs w:val="20"/>
    </w:rPr>
  </w:style>
  <w:style w:type="paragraph" w:styleId="CommentSubject">
    <w:name w:val="annotation subject"/>
    <w:basedOn w:val="CommentText"/>
    <w:next w:val="CommentText"/>
    <w:link w:val="CommentSubjectChar"/>
    <w:unhideWhenUsed/>
    <w:rsid w:val="00383055"/>
    <w:rPr>
      <w:b/>
      <w:bCs/>
    </w:rPr>
  </w:style>
  <w:style w:type="character" w:customStyle="1" w:styleId="CommentSubjectChar">
    <w:name w:val="Comment Subject Char"/>
    <w:basedOn w:val="CommentTextChar"/>
    <w:link w:val="CommentSubject"/>
    <w:rsid w:val="00383055"/>
    <w:rPr>
      <w:b/>
      <w:bCs/>
      <w:sz w:val="20"/>
      <w:szCs w:val="20"/>
    </w:rPr>
  </w:style>
  <w:style w:type="paragraph" w:styleId="Header">
    <w:name w:val="header"/>
    <w:basedOn w:val="Normal"/>
    <w:link w:val="HeaderChar"/>
    <w:rsid w:val="00383055"/>
    <w:pPr>
      <w:tabs>
        <w:tab w:val="center" w:pos="4320"/>
        <w:tab w:val="right" w:pos="8640"/>
      </w:tabs>
      <w:spacing w:after="0"/>
    </w:pPr>
  </w:style>
  <w:style w:type="character" w:customStyle="1" w:styleId="HeaderChar">
    <w:name w:val="Header Char"/>
    <w:basedOn w:val="DefaultParagraphFont"/>
    <w:link w:val="Header"/>
    <w:rsid w:val="00383055"/>
  </w:style>
  <w:style w:type="paragraph" w:styleId="Footer">
    <w:name w:val="footer"/>
    <w:basedOn w:val="Normal"/>
    <w:link w:val="FooterChar"/>
    <w:rsid w:val="00383055"/>
    <w:pPr>
      <w:tabs>
        <w:tab w:val="center" w:pos="4320"/>
        <w:tab w:val="right" w:pos="8640"/>
      </w:tabs>
      <w:spacing w:after="0"/>
    </w:pPr>
  </w:style>
  <w:style w:type="character" w:customStyle="1" w:styleId="FooterChar">
    <w:name w:val="Footer Char"/>
    <w:basedOn w:val="DefaultParagraphFont"/>
    <w:link w:val="Footer"/>
    <w:rsid w:val="00383055"/>
  </w:style>
  <w:style w:type="paragraph" w:styleId="Revision">
    <w:name w:val="Revision"/>
    <w:hidden/>
    <w:rsid w:val="004861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g.hemani@bristol.ac.uk" TargetMode="External"/><Relationship Id="rId20" Type="http://schemas.openxmlformats.org/officeDocument/2006/relationships/hyperlink" Target="https://www.r-project.org/" TargetMode="External"/><Relationship Id="rId21" Type="http://schemas.openxmlformats.org/officeDocument/2006/relationships/hyperlink" Target="http://cran.r-project.org/package=psych"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9" Type="http://schemas.microsoft.com/office/2011/relationships/people" Target="people.xml"/><Relationship Id="rId3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wwww.mrbase.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cran.r-project.org/package=cit" TargetMode="External"/><Relationship Id="rId19" Type="http://schemas.openxmlformats.org/officeDocument/2006/relationships/hyperlink" Target="https://books.google.com/books?id=8SLUCgAAQBAJ%7b\&amp;%7dpgis=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5744B-B2BF-F640-8B85-FFDD1947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8563</Words>
  <Characters>48814</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Inferring the existence and direction of causal associations in the face of measurement error</vt:lpstr>
    </vt:vector>
  </TitlesOfParts>
  <Company>University of Bristol</Company>
  <LinksUpToDate>false</LinksUpToDate>
  <CharactersWithSpaces>57263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Gibran Hemani</dc:creator>
  <cp:lastModifiedBy>Gib Hemani</cp:lastModifiedBy>
  <cp:revision>3</cp:revision>
  <dcterms:created xsi:type="dcterms:W3CDTF">2017-02-09T18:08:00Z</dcterms:created>
  <dcterms:modified xsi:type="dcterms:W3CDTF">2017-02-19T01:43:00Z</dcterms:modified>
</cp:coreProperties>
</file>