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683" w:rsidRDefault="000B60FB">
      <w:r>
        <w:t>Colin Grundey</w:t>
      </w:r>
    </w:p>
    <w:p w:rsidR="000B60FB" w:rsidRDefault="000B60FB">
      <w:r>
        <w:t>Transactional Programming</w:t>
      </w:r>
    </w:p>
    <w:p w:rsidR="000B60FB" w:rsidRDefault="000B60FB">
      <w:r>
        <w:t>First STM</w:t>
      </w:r>
    </w:p>
    <w:p w:rsidR="006D3CBB" w:rsidRDefault="006D3CBB"/>
    <w:p w:rsidR="006D3CBB" w:rsidRDefault="006D3CBB">
      <w:r>
        <w:t xml:space="preserve">My implementation of the software transactional memory compiles and runs. It occasionally, however, does not maintain the correct amount of money across all accounts, meaning it leaks money in or out. </w:t>
      </w:r>
      <w:r w:rsidR="000673EE">
        <w:t xml:space="preserve">It is always a </w:t>
      </w:r>
      <w:r w:rsidR="0099621C">
        <w:t xml:space="preserve">small </w:t>
      </w:r>
      <w:r w:rsidR="000673EE">
        <w:t xml:space="preserve">difference. </w:t>
      </w:r>
      <w:r w:rsidR="00AB0F8B">
        <w:t xml:space="preserve">I believe this is the cause of my commit not working properly and allowing transactions to commit when they should not. </w:t>
      </w:r>
      <w:r w:rsidR="004F79DA">
        <w:t xml:space="preserve">I have tried incrementing the version number differently but that causes the program to spin forever. </w:t>
      </w:r>
      <w:r w:rsidR="005116A2">
        <w:t>After looking in gdb, the program gets caught up in pthread_join.</w:t>
      </w:r>
      <w:r w:rsidR="00917526">
        <w:t xml:space="preserve"> This shows that commit is not working as the program will never exit and successfully commit. </w:t>
      </w:r>
      <w:r w:rsidR="00A141B1">
        <w:t xml:space="preserve">So my results below </w:t>
      </w:r>
      <w:r w:rsidR="00EB0B43">
        <w:t xml:space="preserve">and the code submitted </w:t>
      </w:r>
      <w:r w:rsidR="00A141B1">
        <w:t xml:space="preserve">represent my program with </w:t>
      </w:r>
      <w:r w:rsidR="00910362">
        <w:t xml:space="preserve">minimal </w:t>
      </w:r>
      <w:r w:rsidR="00A141B1">
        <w:t xml:space="preserve">money leaks. </w:t>
      </w:r>
      <w:r w:rsidR="00A80112">
        <w:t>My disjoint access implementation works perfec</w:t>
      </w:r>
      <w:r w:rsidR="00B31C10">
        <w:t>tly and those results are below as well</w:t>
      </w:r>
      <w:r w:rsidR="00D71331">
        <w:t>.</w:t>
      </w:r>
      <w:bookmarkStart w:id="0" w:name="_GoBack"/>
      <w:bookmarkEnd w:id="0"/>
    </w:p>
    <w:p w:rsidR="000B60FB" w:rsidRDefault="000B60FB"/>
    <w:p w:rsidR="000B60FB" w:rsidRDefault="000B60FB"/>
    <w:p w:rsidR="000B60FB" w:rsidRDefault="000B60FB"/>
    <w:tbl>
      <w:tblPr>
        <w:tblW w:w="7866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954"/>
        <w:gridCol w:w="1954"/>
        <w:gridCol w:w="2254"/>
      </w:tblGrid>
      <w:tr w:rsidR="000B60FB" w:rsidRPr="000B60FB" w:rsidTr="000B60FB">
        <w:tblPrEx>
          <w:tblCellMar>
            <w:top w:w="0" w:type="dxa"/>
            <w:bottom w:w="0" w:type="dxa"/>
          </w:tblCellMar>
        </w:tblPrEx>
        <w:tc>
          <w:tcPr>
            <w:tcW w:w="1704" w:type="dxa"/>
            <w:vAlign w:val="bottom"/>
          </w:tcPr>
          <w:p w:rsidR="000B60FB" w:rsidRPr="000B60FB" w:rsidRDefault="000B60FB" w:rsidP="000B60FB">
            <w:pPr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</w:p>
        </w:tc>
        <w:tc>
          <w:tcPr>
            <w:tcW w:w="1954" w:type="dxa"/>
            <w:vAlign w:val="bottom"/>
          </w:tcPr>
          <w:p w:rsidR="000B60FB" w:rsidRPr="000B60FB" w:rsidRDefault="000B60FB" w:rsidP="000B60FB">
            <w:pPr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0B60FB">
              <w:rPr>
                <w:rFonts w:ascii="Arial" w:hAnsi="Arial" w:cs="Arial"/>
                <w:b/>
                <w:color w:val="000000"/>
                <w:sz w:val="26"/>
                <w:szCs w:val="26"/>
              </w:rPr>
              <w:t>1000000</w:t>
            </w:r>
          </w:p>
        </w:tc>
        <w:tc>
          <w:tcPr>
            <w:tcW w:w="1954" w:type="dxa"/>
            <w:vAlign w:val="bottom"/>
          </w:tcPr>
          <w:p w:rsidR="000B60FB" w:rsidRPr="000B60FB" w:rsidRDefault="000B60FB" w:rsidP="000B60FB">
            <w:pPr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0B60FB">
              <w:rPr>
                <w:rFonts w:ascii="Arial" w:hAnsi="Arial" w:cs="Arial"/>
                <w:b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2254" w:type="dxa"/>
            <w:vAlign w:val="bottom"/>
          </w:tcPr>
          <w:p w:rsidR="000B60FB" w:rsidRPr="000B60FB" w:rsidRDefault="000B60FB" w:rsidP="000B60FB">
            <w:pPr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0B60FB">
              <w:rPr>
                <w:rFonts w:ascii="Arial" w:hAnsi="Arial" w:cs="Arial"/>
                <w:b/>
                <w:color w:val="000000"/>
                <w:sz w:val="26"/>
                <w:szCs w:val="26"/>
              </w:rPr>
              <w:t>1000000 disjoint</w:t>
            </w:r>
          </w:p>
        </w:tc>
      </w:tr>
      <w:tr w:rsidR="000B60FB" w:rsidTr="000B60F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4" w:type="dxa"/>
            <w:vAlign w:val="bottom"/>
          </w:tcPr>
          <w:p w:rsidR="000B60FB" w:rsidRPr="000B60FB" w:rsidRDefault="000B60FB">
            <w:pPr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0B60FB">
              <w:rPr>
                <w:rFonts w:ascii="Arial" w:hAnsi="Arial" w:cs="Arial"/>
                <w:b/>
                <w:color w:val="000000"/>
                <w:sz w:val="26"/>
                <w:szCs w:val="26"/>
              </w:rPr>
              <w:t>1 Thread</w:t>
            </w:r>
          </w:p>
        </w:tc>
        <w:tc>
          <w:tcPr>
            <w:tcW w:w="1954" w:type="dxa"/>
            <w:vAlign w:val="bottom"/>
          </w:tcPr>
          <w:p w:rsidR="000B60FB" w:rsidRPr="000B60FB" w:rsidRDefault="000B60FB">
            <w:pPr>
              <w:autoSpaceDE w:val="0"/>
              <w:autoSpaceDN w:val="0"/>
              <w:adjustRightInd w:val="0"/>
              <w:spacing w:line="300" w:lineRule="atLeast"/>
              <w:jc w:val="right"/>
              <w:rPr>
                <w:rFonts w:ascii="Arial" w:hAnsi="Arial" w:cs="Arial"/>
                <w:i/>
                <w:color w:val="000000"/>
                <w:sz w:val="26"/>
                <w:szCs w:val="26"/>
              </w:rPr>
            </w:pPr>
            <w:r w:rsidRPr="000B60FB">
              <w:rPr>
                <w:rFonts w:ascii="Arial" w:hAnsi="Arial" w:cs="Arial"/>
                <w:i/>
                <w:color w:val="000000"/>
                <w:sz w:val="26"/>
                <w:szCs w:val="26"/>
              </w:rPr>
              <w:t>10163764487</w:t>
            </w:r>
          </w:p>
        </w:tc>
        <w:tc>
          <w:tcPr>
            <w:tcW w:w="1954" w:type="dxa"/>
            <w:vAlign w:val="bottom"/>
          </w:tcPr>
          <w:p w:rsidR="000B60FB" w:rsidRPr="000B60FB" w:rsidRDefault="000B60FB">
            <w:pPr>
              <w:autoSpaceDE w:val="0"/>
              <w:autoSpaceDN w:val="0"/>
              <w:adjustRightInd w:val="0"/>
              <w:spacing w:line="300" w:lineRule="atLeast"/>
              <w:jc w:val="right"/>
              <w:rPr>
                <w:rFonts w:ascii="Arial" w:hAnsi="Arial" w:cs="Arial"/>
                <w:i/>
                <w:color w:val="000000"/>
                <w:sz w:val="26"/>
                <w:szCs w:val="26"/>
              </w:rPr>
            </w:pPr>
            <w:r w:rsidRPr="000B60FB">
              <w:rPr>
                <w:rFonts w:ascii="Arial" w:hAnsi="Arial" w:cs="Arial"/>
                <w:i/>
                <w:color w:val="000000"/>
                <w:sz w:val="26"/>
                <w:szCs w:val="26"/>
              </w:rPr>
              <w:t>18986260832</w:t>
            </w:r>
          </w:p>
        </w:tc>
        <w:tc>
          <w:tcPr>
            <w:tcW w:w="2254" w:type="dxa"/>
            <w:vAlign w:val="bottom"/>
          </w:tcPr>
          <w:p w:rsidR="000B60FB" w:rsidRPr="000B60FB" w:rsidRDefault="000B60FB">
            <w:pPr>
              <w:autoSpaceDE w:val="0"/>
              <w:autoSpaceDN w:val="0"/>
              <w:adjustRightInd w:val="0"/>
              <w:spacing w:line="300" w:lineRule="atLeast"/>
              <w:jc w:val="right"/>
              <w:rPr>
                <w:rFonts w:ascii="Arial" w:hAnsi="Arial" w:cs="Arial"/>
                <w:i/>
                <w:color w:val="000000"/>
                <w:sz w:val="26"/>
                <w:szCs w:val="26"/>
              </w:rPr>
            </w:pPr>
            <w:r w:rsidRPr="000B60FB">
              <w:rPr>
                <w:rFonts w:ascii="Arial" w:hAnsi="Arial" w:cs="Arial"/>
                <w:i/>
                <w:color w:val="000000"/>
                <w:sz w:val="26"/>
                <w:szCs w:val="26"/>
              </w:rPr>
              <w:t>9657113612</w:t>
            </w:r>
          </w:p>
        </w:tc>
      </w:tr>
      <w:tr w:rsidR="000B60FB" w:rsidTr="000B60F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4" w:type="dxa"/>
            <w:vAlign w:val="bottom"/>
          </w:tcPr>
          <w:p w:rsidR="000B60FB" w:rsidRPr="000B60FB" w:rsidRDefault="000B60FB">
            <w:pPr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0B60FB">
              <w:rPr>
                <w:rFonts w:ascii="Arial" w:hAnsi="Arial" w:cs="Arial"/>
                <w:b/>
                <w:color w:val="000000"/>
                <w:sz w:val="26"/>
                <w:szCs w:val="26"/>
              </w:rPr>
              <w:t>2 Thread</w:t>
            </w:r>
          </w:p>
        </w:tc>
        <w:tc>
          <w:tcPr>
            <w:tcW w:w="1954" w:type="dxa"/>
            <w:vAlign w:val="bottom"/>
          </w:tcPr>
          <w:p w:rsidR="000B60FB" w:rsidRPr="000B60FB" w:rsidRDefault="000B60FB">
            <w:pPr>
              <w:autoSpaceDE w:val="0"/>
              <w:autoSpaceDN w:val="0"/>
              <w:adjustRightInd w:val="0"/>
              <w:spacing w:line="300" w:lineRule="atLeast"/>
              <w:jc w:val="right"/>
              <w:rPr>
                <w:rFonts w:ascii="Arial" w:hAnsi="Arial" w:cs="Arial"/>
                <w:i/>
                <w:color w:val="000000"/>
                <w:sz w:val="26"/>
                <w:szCs w:val="26"/>
              </w:rPr>
            </w:pPr>
            <w:r w:rsidRPr="000B60FB">
              <w:rPr>
                <w:rFonts w:ascii="Arial" w:hAnsi="Arial" w:cs="Arial"/>
                <w:i/>
                <w:color w:val="000000"/>
                <w:sz w:val="26"/>
                <w:szCs w:val="26"/>
              </w:rPr>
              <w:t>5150047091</w:t>
            </w:r>
          </w:p>
        </w:tc>
        <w:tc>
          <w:tcPr>
            <w:tcW w:w="1954" w:type="dxa"/>
            <w:vAlign w:val="bottom"/>
          </w:tcPr>
          <w:p w:rsidR="000B60FB" w:rsidRPr="000B60FB" w:rsidRDefault="000B60FB">
            <w:pPr>
              <w:autoSpaceDE w:val="0"/>
              <w:autoSpaceDN w:val="0"/>
              <w:adjustRightInd w:val="0"/>
              <w:spacing w:line="300" w:lineRule="atLeast"/>
              <w:jc w:val="right"/>
              <w:rPr>
                <w:rFonts w:ascii="Arial" w:hAnsi="Arial" w:cs="Arial"/>
                <w:i/>
                <w:color w:val="000000"/>
                <w:sz w:val="26"/>
                <w:szCs w:val="26"/>
              </w:rPr>
            </w:pPr>
            <w:r w:rsidRPr="000B60FB">
              <w:rPr>
                <w:rFonts w:ascii="Arial" w:hAnsi="Arial" w:cs="Arial"/>
                <w:i/>
                <w:color w:val="000000"/>
                <w:sz w:val="26"/>
                <w:szCs w:val="26"/>
              </w:rPr>
              <w:t>11970552227</w:t>
            </w:r>
          </w:p>
        </w:tc>
        <w:tc>
          <w:tcPr>
            <w:tcW w:w="2254" w:type="dxa"/>
            <w:vAlign w:val="bottom"/>
          </w:tcPr>
          <w:p w:rsidR="000B60FB" w:rsidRPr="000B60FB" w:rsidRDefault="000B60FB">
            <w:pPr>
              <w:autoSpaceDE w:val="0"/>
              <w:autoSpaceDN w:val="0"/>
              <w:adjustRightInd w:val="0"/>
              <w:spacing w:line="300" w:lineRule="atLeast"/>
              <w:jc w:val="right"/>
              <w:rPr>
                <w:rFonts w:ascii="Arial" w:hAnsi="Arial" w:cs="Arial"/>
                <w:i/>
                <w:color w:val="000000"/>
                <w:sz w:val="26"/>
                <w:szCs w:val="26"/>
              </w:rPr>
            </w:pPr>
            <w:r w:rsidRPr="000B60FB">
              <w:rPr>
                <w:rFonts w:ascii="Arial" w:hAnsi="Arial" w:cs="Arial"/>
                <w:i/>
                <w:color w:val="000000"/>
                <w:sz w:val="26"/>
                <w:szCs w:val="26"/>
              </w:rPr>
              <w:t>5027802844</w:t>
            </w:r>
          </w:p>
        </w:tc>
      </w:tr>
      <w:tr w:rsidR="000B60FB" w:rsidTr="000B60FB">
        <w:tblPrEx>
          <w:tblCellMar>
            <w:top w:w="0" w:type="dxa"/>
            <w:bottom w:w="0" w:type="dxa"/>
          </w:tblCellMar>
        </w:tblPrEx>
        <w:tc>
          <w:tcPr>
            <w:tcW w:w="1704" w:type="dxa"/>
            <w:vAlign w:val="bottom"/>
          </w:tcPr>
          <w:p w:rsidR="000B60FB" w:rsidRPr="000B60FB" w:rsidRDefault="000B60FB">
            <w:pPr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0B60FB">
              <w:rPr>
                <w:rFonts w:ascii="Arial" w:hAnsi="Arial" w:cs="Arial"/>
                <w:b/>
                <w:color w:val="000000"/>
                <w:sz w:val="26"/>
                <w:szCs w:val="26"/>
              </w:rPr>
              <w:t>4 Thread</w:t>
            </w:r>
          </w:p>
        </w:tc>
        <w:tc>
          <w:tcPr>
            <w:tcW w:w="1954" w:type="dxa"/>
            <w:vAlign w:val="bottom"/>
          </w:tcPr>
          <w:p w:rsidR="000B60FB" w:rsidRPr="000B60FB" w:rsidRDefault="000B60FB">
            <w:pPr>
              <w:autoSpaceDE w:val="0"/>
              <w:autoSpaceDN w:val="0"/>
              <w:adjustRightInd w:val="0"/>
              <w:spacing w:line="300" w:lineRule="atLeast"/>
              <w:jc w:val="right"/>
              <w:rPr>
                <w:rFonts w:ascii="Arial" w:hAnsi="Arial" w:cs="Arial"/>
                <w:i/>
                <w:color w:val="000000"/>
                <w:sz w:val="26"/>
                <w:szCs w:val="26"/>
              </w:rPr>
            </w:pPr>
            <w:r w:rsidRPr="000B60FB">
              <w:rPr>
                <w:rFonts w:ascii="Arial" w:hAnsi="Arial" w:cs="Arial"/>
                <w:i/>
                <w:color w:val="000000"/>
                <w:sz w:val="26"/>
                <w:szCs w:val="26"/>
              </w:rPr>
              <w:t>2646235622</w:t>
            </w:r>
          </w:p>
        </w:tc>
        <w:tc>
          <w:tcPr>
            <w:tcW w:w="1954" w:type="dxa"/>
            <w:vAlign w:val="bottom"/>
          </w:tcPr>
          <w:p w:rsidR="000B60FB" w:rsidRPr="000B60FB" w:rsidRDefault="000B60FB">
            <w:pPr>
              <w:autoSpaceDE w:val="0"/>
              <w:autoSpaceDN w:val="0"/>
              <w:adjustRightInd w:val="0"/>
              <w:spacing w:line="300" w:lineRule="atLeast"/>
              <w:jc w:val="right"/>
              <w:rPr>
                <w:rFonts w:ascii="Arial" w:hAnsi="Arial" w:cs="Arial"/>
                <w:i/>
                <w:color w:val="000000"/>
                <w:sz w:val="26"/>
                <w:szCs w:val="26"/>
              </w:rPr>
            </w:pPr>
            <w:r w:rsidRPr="000B60FB">
              <w:rPr>
                <w:rFonts w:ascii="Arial" w:hAnsi="Arial" w:cs="Arial"/>
                <w:i/>
                <w:color w:val="000000"/>
                <w:sz w:val="26"/>
                <w:szCs w:val="26"/>
              </w:rPr>
              <w:t>10656977694</w:t>
            </w:r>
          </w:p>
        </w:tc>
        <w:tc>
          <w:tcPr>
            <w:tcW w:w="2254" w:type="dxa"/>
            <w:vAlign w:val="bottom"/>
          </w:tcPr>
          <w:p w:rsidR="000B60FB" w:rsidRPr="000B60FB" w:rsidRDefault="000B60FB">
            <w:pPr>
              <w:autoSpaceDE w:val="0"/>
              <w:autoSpaceDN w:val="0"/>
              <w:adjustRightInd w:val="0"/>
              <w:spacing w:line="300" w:lineRule="atLeast"/>
              <w:jc w:val="right"/>
              <w:rPr>
                <w:rFonts w:ascii="Arial" w:hAnsi="Arial" w:cs="Arial"/>
                <w:i/>
                <w:color w:val="000000"/>
                <w:sz w:val="26"/>
                <w:szCs w:val="26"/>
              </w:rPr>
            </w:pPr>
            <w:r w:rsidRPr="000B60FB">
              <w:rPr>
                <w:rFonts w:ascii="Arial" w:hAnsi="Arial" w:cs="Arial"/>
                <w:i/>
                <w:color w:val="000000"/>
                <w:sz w:val="26"/>
                <w:szCs w:val="26"/>
              </w:rPr>
              <w:t>2554466505</w:t>
            </w:r>
          </w:p>
        </w:tc>
      </w:tr>
    </w:tbl>
    <w:p w:rsidR="000B60FB" w:rsidRDefault="000B60FB"/>
    <w:p w:rsidR="000B60FB" w:rsidRDefault="000B60FB"/>
    <w:p w:rsidR="000B60FB" w:rsidRDefault="000B60FB"/>
    <w:p w:rsidR="000B60FB" w:rsidRDefault="000B60FB">
      <w:r>
        <w:rPr>
          <w:noProof/>
        </w:rPr>
        <w:drawing>
          <wp:inline distT="0" distB="0" distL="0" distR="0" wp14:anchorId="1F99447E" wp14:editId="62B77FCD">
            <wp:extent cx="5943600" cy="3482340"/>
            <wp:effectExtent l="0" t="0" r="12700" b="1016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649A003-4EF2-B84D-837F-5A9993F91A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0B60FB" w:rsidSect="00C2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FB"/>
    <w:rsid w:val="000673EE"/>
    <w:rsid w:val="000B60FB"/>
    <w:rsid w:val="002179DB"/>
    <w:rsid w:val="004F79DA"/>
    <w:rsid w:val="005116A2"/>
    <w:rsid w:val="005914F1"/>
    <w:rsid w:val="006D3CBB"/>
    <w:rsid w:val="00910362"/>
    <w:rsid w:val="00917526"/>
    <w:rsid w:val="0099621C"/>
    <w:rsid w:val="00A141B1"/>
    <w:rsid w:val="00A80112"/>
    <w:rsid w:val="00AB0F8B"/>
    <w:rsid w:val="00B31C10"/>
    <w:rsid w:val="00C26312"/>
    <w:rsid w:val="00C4572D"/>
    <w:rsid w:val="00D71331"/>
    <w:rsid w:val="00EB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4A607"/>
  <w14:defaultImageDpi w14:val="32767"/>
  <w15:chartTrackingRefBased/>
  <w15:docId w15:val="{38781710-95A7-EE40-9846-250B9311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jgrundey/Documents/Senior/Transactional_Programming/FirstSTM/Execution_Time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1000000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Sheet1!$C$4:$C$6</c:f>
              <c:strCache>
                <c:ptCount val="3"/>
                <c:pt idx="0">
                  <c:v>1 Thread</c:v>
                </c:pt>
                <c:pt idx="1">
                  <c:v>2 Thread</c:v>
                </c:pt>
                <c:pt idx="2">
                  <c:v>4 Thread</c:v>
                </c:pt>
              </c:strCache>
            </c:strRef>
          </c:cat>
          <c:val>
            <c:numRef>
              <c:f>Sheet1!$D$4:$D$6</c:f>
              <c:numCache>
                <c:formatCode>General</c:formatCode>
                <c:ptCount val="3"/>
                <c:pt idx="0">
                  <c:v>10163764487</c:v>
                </c:pt>
                <c:pt idx="1">
                  <c:v>5150047091</c:v>
                </c:pt>
                <c:pt idx="2">
                  <c:v>2646235622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E5-3E42-B25B-DD930F127D5C}"/>
            </c:ext>
          </c:extLst>
        </c:ser>
        <c:ser>
          <c:idx val="1"/>
          <c:order val="1"/>
          <c:tx>
            <c:strRef>
              <c:f>Sheet1!$E$3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Sheet1!$C$4:$C$6</c:f>
              <c:strCache>
                <c:ptCount val="3"/>
                <c:pt idx="0">
                  <c:v>1 Thread</c:v>
                </c:pt>
                <c:pt idx="1">
                  <c:v>2 Thread</c:v>
                </c:pt>
                <c:pt idx="2">
                  <c:v>4 Thread</c:v>
                </c:pt>
              </c:strCache>
            </c:strRef>
          </c:cat>
          <c:val>
            <c:numRef>
              <c:f>Sheet1!$E$4:$E$6</c:f>
              <c:numCache>
                <c:formatCode>General</c:formatCode>
                <c:ptCount val="3"/>
                <c:pt idx="0">
                  <c:v>18986260832</c:v>
                </c:pt>
                <c:pt idx="1">
                  <c:v>11970552227</c:v>
                </c:pt>
                <c:pt idx="2">
                  <c:v>10656977694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3E5-3E42-B25B-DD930F127D5C}"/>
            </c:ext>
          </c:extLst>
        </c:ser>
        <c:ser>
          <c:idx val="2"/>
          <c:order val="2"/>
          <c:tx>
            <c:strRef>
              <c:f>Sheet1!$F$3</c:f>
              <c:strCache>
                <c:ptCount val="1"/>
                <c:pt idx="0">
                  <c:v>1000000 disjoint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Sheet1!$C$4:$C$6</c:f>
              <c:strCache>
                <c:ptCount val="3"/>
                <c:pt idx="0">
                  <c:v>1 Thread</c:v>
                </c:pt>
                <c:pt idx="1">
                  <c:v>2 Thread</c:v>
                </c:pt>
                <c:pt idx="2">
                  <c:v>4 Thread</c:v>
                </c:pt>
              </c:strCache>
            </c:strRef>
          </c:cat>
          <c:val>
            <c:numRef>
              <c:f>Sheet1!$F$4:$F$6</c:f>
              <c:numCache>
                <c:formatCode>General</c:formatCode>
                <c:ptCount val="3"/>
                <c:pt idx="0">
                  <c:v>9657113612</c:v>
                </c:pt>
                <c:pt idx="1">
                  <c:v>5027802844</c:v>
                </c:pt>
                <c:pt idx="2">
                  <c:v>2554466505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3E5-3E42-B25B-DD930F127D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93975423"/>
        <c:axId val="1793977119"/>
      </c:barChart>
      <c:catAx>
        <c:axId val="17939754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3977119"/>
        <c:crosses val="autoZero"/>
        <c:auto val="1"/>
        <c:lblAlgn val="ctr"/>
        <c:lblOffset val="100"/>
        <c:noMultiLvlLbl val="0"/>
      </c:catAx>
      <c:valAx>
        <c:axId val="1793977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nano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39754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2018-02-19T16:24:00Z</dcterms:created>
  <dcterms:modified xsi:type="dcterms:W3CDTF">2018-02-19T16:35:00Z</dcterms:modified>
</cp:coreProperties>
</file>