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20" w:type="dxa"/>
        <w:jc w:val="center"/>
        <w:tblLayout w:type="fixed"/>
        <w:tblCellMar>
          <w:left w:w="0" w:type="dxa"/>
          <w:right w:w="0" w:type="dxa"/>
        </w:tblCellMar>
        <w:tblLook w:val="0000" w:firstRow="0" w:lastRow="0" w:firstColumn="0" w:lastColumn="0" w:noHBand="0" w:noVBand="0"/>
      </w:tblPr>
      <w:tblGrid>
        <w:gridCol w:w="1268"/>
        <w:gridCol w:w="3592"/>
        <w:gridCol w:w="4860"/>
      </w:tblGrid>
      <w:tr w:rsidR="00F0153E" w:rsidRPr="00E15B30" w14:paraId="4583F63F" w14:textId="77777777" w:rsidTr="003E7BD3">
        <w:trPr>
          <w:trHeight w:val="1080"/>
          <w:jc w:val="center"/>
        </w:trPr>
        <w:tc>
          <w:tcPr>
            <w:tcW w:w="4860" w:type="dxa"/>
            <w:gridSpan w:val="2"/>
            <w:tcBorders>
              <w:bottom w:val="single" w:sz="4" w:space="0" w:color="auto"/>
            </w:tcBorders>
          </w:tcPr>
          <w:p w14:paraId="575C1AC6" w14:textId="3E87E2F1" w:rsidR="00F0153E" w:rsidRPr="00E15B30" w:rsidRDefault="008A4165" w:rsidP="00E4290C">
            <w:pPr>
              <w:pStyle w:val="TableText"/>
              <w:spacing w:before="0"/>
            </w:pPr>
            <w:r>
              <w:rPr>
                <w:noProof/>
              </w:rPr>
              <w:drawing>
                <wp:inline distT="0" distB="0" distL="0" distR="0" wp14:anchorId="7E1A12A9" wp14:editId="494AD8CD">
                  <wp:extent cx="1168959" cy="532130"/>
                  <wp:effectExtent l="0" t="0" r="0" b="1270"/>
                  <wp:docPr id="1587254593" name="Picture 1"/>
                  <wp:cNvGraphicFramePr/>
                  <a:graphic xmlns:a="http://schemas.openxmlformats.org/drawingml/2006/main">
                    <a:graphicData uri="http://schemas.openxmlformats.org/drawingml/2006/picture">
                      <pic:pic xmlns:pic="http://schemas.openxmlformats.org/drawingml/2006/picture">
                        <pic:nvPicPr>
                          <pic:cNvPr id="1587254593" name=""/>
                          <pic:cNvPicPr/>
                        </pic:nvPicPr>
                        <pic:blipFill>
                          <a:blip r:embed="rId7"/>
                          <a:stretch>
                            <a:fillRect/>
                          </a:stretch>
                        </pic:blipFill>
                        <pic:spPr>
                          <a:xfrm>
                            <a:off x="0" y="0"/>
                            <a:ext cx="1168959" cy="532130"/>
                          </a:xfrm>
                          <a:prstGeom prst="rect">
                            <a:avLst/>
                          </a:prstGeom>
                        </pic:spPr>
                      </pic:pic>
                    </a:graphicData>
                  </a:graphic>
                </wp:inline>
              </w:drawing>
            </w:r>
          </w:p>
        </w:tc>
        <w:tc>
          <w:tcPr>
            <w:tcW w:w="4860" w:type="dxa"/>
            <w:tcBorders>
              <w:bottom w:val="single" w:sz="4" w:space="0" w:color="auto"/>
            </w:tcBorders>
          </w:tcPr>
          <w:p w14:paraId="037BF573" w14:textId="77777777" w:rsidR="00F0153E" w:rsidRPr="00E15B30" w:rsidRDefault="00F0153E" w:rsidP="00E4290C">
            <w:pPr>
              <w:pStyle w:val="TableText"/>
              <w:spacing w:before="0"/>
            </w:pPr>
          </w:p>
        </w:tc>
      </w:tr>
      <w:tr w:rsidR="00F673DD" w:rsidRPr="004F1175" w14:paraId="4E4C4429" w14:textId="77777777" w:rsidTr="00146EA2">
        <w:trPr>
          <w:trHeight w:hRule="exact" w:val="737"/>
          <w:jc w:val="center"/>
        </w:trPr>
        <w:tc>
          <w:tcPr>
            <w:tcW w:w="9720" w:type="dxa"/>
            <w:gridSpan w:val="3"/>
            <w:tcBorders>
              <w:top w:val="single" w:sz="4" w:space="0" w:color="auto"/>
            </w:tcBorders>
            <w:vAlign w:val="center"/>
          </w:tcPr>
          <w:p w14:paraId="728AB4F0" w14:textId="37D6C5AA" w:rsidR="00F673DD" w:rsidRPr="00146EA2" w:rsidRDefault="00B20EA9" w:rsidP="004F1175">
            <w:pPr>
              <w:pStyle w:val="Heading4"/>
              <w:rPr>
                <w:b/>
                <w:bCs/>
                <w:color w:val="auto"/>
              </w:rPr>
            </w:pPr>
            <w:r>
              <w:rPr>
                <w:rFonts w:ascii="Calibri" w:hAnsi="Calibri"/>
                <w:b/>
                <w:sz w:val="32"/>
              </w:rPr>
              <w:t>Monthly Executive Report</w:t>
            </w:r>
          </w:p>
        </w:tc>
      </w:tr>
      <w:tr w:rsidR="008A4165" w:rsidRPr="004F1175" w14:paraId="47BB3077" w14:textId="77777777" w:rsidTr="00F0153E">
        <w:trPr>
          <w:jc w:val="center"/>
        </w:trPr>
        <w:tc>
          <w:tcPr>
            <w:tcW w:w="1268" w:type="dxa"/>
          </w:tcPr>
          <w:p w14:paraId="6E1B2A30" w14:textId="7D75A177" w:rsidR="008A4165" w:rsidRPr="004F1175" w:rsidRDefault="00BD7056" w:rsidP="002B36E1">
            <w:pPr>
              <w:pStyle w:val="TableHeading"/>
              <w:spacing w:before="60" w:after="60" w:line="240" w:lineRule="auto"/>
            </w:pPr>
            <w:r>
              <w:t>To</w:t>
            </w:r>
            <w:r w:rsidR="008A4165">
              <w:t>:</w:t>
            </w:r>
          </w:p>
        </w:tc>
        <w:tc>
          <w:tcPr>
            <w:tcW w:w="8452" w:type="dxa"/>
            <w:gridSpan w:val="2"/>
          </w:tcPr>
          <w:p w14:paraId="232E713F" w14:textId="1D185793" w:rsidR="008A4165" w:rsidRPr="004F1175" w:rsidRDefault="00B20EA9" w:rsidP="002B36E1">
            <w:pPr>
              <w:pStyle w:val="TableText"/>
              <w:spacing w:before="60" w:after="60" w:line="240" w:lineRule="auto"/>
            </w:pPr>
            <w:r>
              <w:rPr>
                <w:rFonts w:ascii="Calibri" w:hAnsi="Calibri"/>
                <w:b w:val="0"/>
                <w:sz w:val="22"/>
              </w:rPr>
              <w:t>Senior Management Team</w:t>
            </w:r>
          </w:p>
        </w:tc>
      </w:tr>
      <w:tr w:rsidR="00BD7056" w:rsidRPr="004F1175" w14:paraId="63C0F30A" w14:textId="77777777" w:rsidTr="00F0153E">
        <w:trPr>
          <w:jc w:val="center"/>
        </w:trPr>
        <w:tc>
          <w:tcPr>
            <w:tcW w:w="1268" w:type="dxa"/>
          </w:tcPr>
          <w:p w14:paraId="19C9CC1C" w14:textId="24D637A0" w:rsidR="00BD7056" w:rsidRDefault="00BD7056" w:rsidP="002B36E1">
            <w:pPr>
              <w:pStyle w:val="TableHeading"/>
              <w:spacing w:before="60" w:after="60" w:line="240" w:lineRule="auto"/>
            </w:pPr>
            <w:r>
              <w:t>From</w:t>
            </w:r>
          </w:p>
        </w:tc>
        <w:tc>
          <w:tcPr>
            <w:tcW w:w="8452" w:type="dxa"/>
            <w:gridSpan w:val="2"/>
          </w:tcPr>
          <w:p w14:paraId="6DA811D4" w14:textId="28EDDBA5" w:rsidR="00BD7056" w:rsidRDefault="00B20EA9" w:rsidP="002B36E1">
            <w:pPr>
              <w:pStyle w:val="TableText"/>
              <w:spacing w:before="60" w:after="60" w:line="240" w:lineRule="auto"/>
            </w:pPr>
            <w:r>
              <w:rPr>
                <w:rFonts w:ascii="Calibri" w:hAnsi="Calibri"/>
                <w:b w:val="0"/>
                <w:sz w:val="22"/>
              </w:rPr>
              <w:t>Ian Sinclair</w:t>
            </w:r>
          </w:p>
        </w:tc>
      </w:tr>
      <w:tr w:rsidR="00385A2B" w:rsidRPr="004F1175" w14:paraId="785A6F95" w14:textId="77777777" w:rsidTr="00F0153E">
        <w:trPr>
          <w:jc w:val="center"/>
        </w:trPr>
        <w:tc>
          <w:tcPr>
            <w:tcW w:w="1268" w:type="dxa"/>
          </w:tcPr>
          <w:p w14:paraId="5EDFC52A" w14:textId="77777777" w:rsidR="00385A2B" w:rsidRPr="004F1175" w:rsidRDefault="00385A2B" w:rsidP="002B36E1">
            <w:pPr>
              <w:pStyle w:val="TableHeading"/>
              <w:spacing w:before="60" w:after="60" w:line="240" w:lineRule="auto"/>
            </w:pPr>
            <w:r w:rsidRPr="004F1175">
              <w:t>Date:</w:t>
            </w:r>
          </w:p>
        </w:tc>
        <w:tc>
          <w:tcPr>
            <w:tcW w:w="8452" w:type="dxa"/>
            <w:gridSpan w:val="2"/>
          </w:tcPr>
          <w:p w14:paraId="499BC827" w14:textId="4716796A" w:rsidR="00385A2B" w:rsidRPr="004F1175" w:rsidRDefault="00B20EA9" w:rsidP="002B36E1">
            <w:pPr>
              <w:pStyle w:val="TableText"/>
              <w:spacing w:before="60" w:after="60" w:line="240" w:lineRule="auto"/>
            </w:pPr>
            <w:r>
              <w:rPr>
                <w:rFonts w:ascii="Calibri" w:hAnsi="Calibri"/>
                <w:b w:val="0"/>
                <w:sz w:val="22"/>
              </w:rPr>
              <w:t>21 March 2026</w:t>
            </w:r>
          </w:p>
        </w:tc>
      </w:tr>
      <w:tr w:rsidR="00385A2B" w:rsidRPr="004F1175" w14:paraId="41ACC43F" w14:textId="77777777" w:rsidTr="00731D21">
        <w:trPr>
          <w:trHeight w:val="113"/>
          <w:jc w:val="center"/>
        </w:trPr>
        <w:tc>
          <w:tcPr>
            <w:tcW w:w="1268" w:type="dxa"/>
            <w:tcBorders>
              <w:bottom w:val="single" w:sz="4" w:space="0" w:color="auto"/>
            </w:tcBorders>
          </w:tcPr>
          <w:p w14:paraId="468DCAE4" w14:textId="77777777" w:rsidR="00385A2B" w:rsidRPr="00FA5342" w:rsidRDefault="00385A2B" w:rsidP="00201CB6">
            <w:pPr>
              <w:pStyle w:val="TableHeading"/>
              <w:spacing w:before="40"/>
              <w:rPr>
                <w:sz w:val="6"/>
                <w:szCs w:val="6"/>
              </w:rPr>
            </w:pPr>
          </w:p>
        </w:tc>
        <w:tc>
          <w:tcPr>
            <w:tcW w:w="8452" w:type="dxa"/>
            <w:gridSpan w:val="2"/>
            <w:tcBorders>
              <w:bottom w:val="single" w:sz="4" w:space="0" w:color="auto"/>
            </w:tcBorders>
          </w:tcPr>
          <w:p w14:paraId="48AD76A0" w14:textId="77777777" w:rsidR="00385A2B" w:rsidRPr="00FA5342" w:rsidRDefault="00385A2B" w:rsidP="004F1175">
            <w:pPr>
              <w:pStyle w:val="TableText"/>
              <w:rPr>
                <w:sz w:val="6"/>
                <w:szCs w:val="6"/>
              </w:rPr>
            </w:pPr>
          </w:p>
        </w:tc>
      </w:tr>
    </w:tbl>
    <w:p>
      <w:pPr>
        <w:spacing w:before="240" w:after="80"/>
        <w:pBdr>
          <w:bottom w:val="single" w:sz="6" w:space="1" w:color="00429B"/>
        </w:pBdr>
      </w:pPr>
      <w:r>
        <w:rPr>
          <w:rFonts w:ascii="Calibri" w:hAnsi="Calibri"/>
          <w:b/>
          <w:color w:val="00429B"/>
          <w:sz w:val="26"/>
        </w:rPr>
        <w:t>1. EXECUTIVE SUMMARY</w:t>
      </w:r>
    </w:p>
    <w:p>
      <w:pPr>
        <w:spacing w:after="120"/>
      </w:pPr>
      <w:r>
        <w:rPr>
          <w:rFonts w:ascii="Calibri" w:hAnsi="Calibri"/>
          <w:sz w:val="22"/>
        </w:rPr>
        <w:t>The dominant narrative for March 2026 is the sharp escalation of global trade policy uncertainty following the announcement of expanded US tariffs on European and Asian manufactured goods, which has triggered a broad risk-off rotation, elevated FX volatility, and pushed safe-haven flows into US Treasuries and gold. Equity markets have experienced their steepest weekly drawdowns since mid-2024, with the VIX spiking above 25 and transaction volumes surging across major exchanges — placing considerable strain on settlement and reconciliation capacity across the custody industry. On the regulatory front, the European Securities and Markets Authority published its final technical standards for the revised AIFMD II delegated acts, while the SEC confirmed its revised timeline for mandatory central clearing of US Treasuries, both of which carry significant implementation demands for fund administrators and custodians over the coming quarters. The competitive landscape continues to evolve, with State Street completing its acquisition of a mid-market fund administration platform and BNY advancing its digital asset custody rollout, underscoring the pace of strategic repositioning among our direct peers. Operational resilience and technology investment remain paramount as the industry absorbs elevated volumes, regulatory change, and persistent cyber threats simultaneously.</w:t>
      </w:r>
    </w:p>
    <w:p>
      <w:pPr>
        <w:spacing w:before="240" w:after="80"/>
        <w:pBdr>
          <w:bottom w:val="single" w:sz="6" w:space="1" w:color="00429B"/>
        </w:pBdr>
      </w:pPr>
      <w:r>
        <w:rPr>
          <w:rFonts w:ascii="Calibri" w:hAnsi="Calibri"/>
          <w:b/>
          <w:color w:val="00429B"/>
          <w:sz w:val="26"/>
        </w:rPr>
        <w:t>2. MARKET AND MACRO ENVIRONMENT</w:t>
      </w:r>
    </w:p>
    <w:p>
      <w:pPr>
        <w:pStyle w:val="ListBullet"/>
        <w:spacing w:after="60"/>
      </w:pPr>
      <w:r>
        <w:rPr>
          <w:rFonts w:ascii="Calibri" w:hAnsi="Calibri"/>
          <w:sz w:val="21"/>
        </w:rPr>
        <w:t>Global equity markets sold off sharply in the second and third weeks of March following the White House announcement of a new tranche of tariffs targeting EU automotive imports and expanded levies on Chinese technology components. The S and P 500 declined approximately 4-5 percent month-to-date, the EURO STOXX 50 fell roughly 6 percent, and the Nikkei 225 dropped over 5 percent, driving a pronounced spike in trading volumes relevant to custody settlement processing.</w:t>
      </w:r>
    </w:p>
    <w:p>
      <w:pPr>
        <w:pStyle w:val="ListBullet"/>
        <w:spacing w:after="60"/>
      </w:pPr>
      <w:r>
        <w:rPr>
          <w:rFonts w:ascii="Calibri" w:hAnsi="Calibri"/>
          <w:sz w:val="21"/>
        </w:rPr>
        <w:t>Fixed income markets experienced a classic flight-to-quality bid: the US 10-year Treasury yield fell toward the 3.85-3.90 percent range from roughly 4.10 percent at end-February, while the 10-year German Bund yield compressed to approximately 2.30 percent. Credit spreads widened, with US investment-grade CDX indices moving 15-20 basis points wider, increasing mark-to-market dispersion across administered fund portfolios.</w:t>
      </w:r>
    </w:p>
    <w:p>
      <w:pPr>
        <w:pStyle w:val="ListBullet"/>
        <w:spacing w:after="60"/>
      </w:pPr>
      <w:r>
        <w:rPr>
          <w:rFonts w:ascii="Calibri" w:hAnsi="Calibri"/>
          <w:sz w:val="21"/>
        </w:rPr>
        <w:t>FX volatility surged, with EUR/USD trading in a wide range around 1.10-1.12 as tariff retaliation fears buffeted the euro, while USD/JPY fell toward 145-146 on yen safe-haven demand. GBP/USD held relatively steady near 1.29-1.30 as the UK was partially exempted from the latest tariff round, though uncertainty remains. Elevated FX activity directly translates to higher settlement and fails risk for multi-currency custody books.</w:t>
      </w:r>
    </w:p>
    <w:p>
      <w:pPr>
        <w:pStyle w:val="ListBullet"/>
        <w:spacing w:after="60"/>
      </w:pPr>
      <w:r>
        <w:rPr>
          <w:rFonts w:ascii="Calibri" w:hAnsi="Calibri"/>
          <w:sz w:val="21"/>
        </w:rPr>
        <w:t>Commodity markets saw Brent crude dip to the low 70s per barrel on demand destruction fears before recovering modestly, while gold surged past USD 2,350 per ounce on haven demand — its highest level since mid-2025. Central bank gold purchases from emerging market reserve managers continued, supporting physical custody demand.</w:t>
      </w:r>
    </w:p>
    <w:p>
      <w:pPr>
        <w:pStyle w:val="ListBullet"/>
        <w:spacing w:after="60"/>
      </w:pPr>
      <w:r>
        <w:rPr>
          <w:rFonts w:ascii="Calibri" w:hAnsi="Calibri"/>
          <w:sz w:val="21"/>
        </w:rPr>
        <w:t>The Federal Reserve held rates steady at its 18-19 March FOMC meeting at the 4.50-4.75 percent range, with Chair Powell signalling that tariff-related inflation uncertainty complicates the path to further easing. The ECB cut its deposit facility rate by 25 basis points to 2.25 percent on 6 March, citing weakening eurozone growth momentum. The Bank of Canada also held rates steady at 3.00 percent on 12 March, citing external trade risks.</w:t>
      </w:r>
    </w:p>
    <w:p>
      <w:pPr>
        <w:pStyle w:val="ListBullet"/>
        <w:spacing w:after="60"/>
      </w:pPr>
      <w:r>
        <w:rPr>
          <w:rFonts w:ascii="Calibri" w:hAnsi="Calibri"/>
          <w:sz w:val="21"/>
        </w:rPr>
        <w:t>Money market fund AUM reached new record highs in the US, exceeding USD 6.8 trillion according to ICI data, as investors favoured cash amid uncertainty. This supports transfer agency and fund administration fee revenue but highlights potential liquidity management challenges should redemption patterns reverse abruptly.</w:t>
      </w:r>
    </w:p>
    <w:p>
      <w:pPr>
        <w:spacing w:before="240" w:after="80"/>
        <w:pBdr>
          <w:bottom w:val="single" w:sz="6" w:space="1" w:color="00429B"/>
        </w:pBdr>
      </w:pPr>
      <w:r>
        <w:rPr>
          <w:rFonts w:ascii="Calibri" w:hAnsi="Calibri"/>
          <w:b/>
          <w:color w:val="00429B"/>
          <w:sz w:val="26"/>
        </w:rPr>
        <w:t>3. REGULATORY AND POLICY DEVELOPMENTS</w:t>
      </w:r>
    </w:p>
    <w:p>
      <w:pPr>
        <w:pStyle w:val="ListBullet"/>
        <w:spacing w:after="60"/>
      </w:pPr>
      <w:r>
        <w:rPr>
          <w:rFonts w:ascii="Calibri" w:hAnsi="Calibri"/>
          <w:sz w:val="21"/>
        </w:rPr>
        <w:t>ESMA published final technical standards under the revised AIFMD II and UCITS Directive amendments on 7 March 2026, specifying detailed requirements for depositary passport arrangements, liquidity management tool disclosures, and enhanced substance requirements for management companies. These standards carry a compliance date of Q1 2027, and investor services firms operating across the EU must commence gap analyses immediately.</w:t>
      </w:r>
    </w:p>
    <w:p>
      <w:pPr>
        <w:pStyle w:val="ListBullet"/>
        <w:spacing w:after="60"/>
      </w:pPr>
      <w:r>
        <w:rPr>
          <w:rFonts w:ascii="Calibri" w:hAnsi="Calibri"/>
          <w:sz w:val="21"/>
        </w:rPr>
        <w:t>The SEC confirmed on 14 March that mandatory central clearing of US Treasury cash transactions through FICC will take effect on 31 December 2026, with repo clearing following by 30 June 2027. This revised timeline (extended by approximately six months from initial proposals) provides modest relief but still requires significant operational and connectivity investment from global custodians and their buy-side clients.</w:t>
      </w:r>
    </w:p>
    <w:p>
      <w:pPr>
        <w:pStyle w:val="ListBullet"/>
        <w:spacing w:after="60"/>
      </w:pPr>
      <w:r>
        <w:rPr>
          <w:rFonts w:ascii="Calibri" w:hAnsi="Calibri"/>
          <w:sz w:val="21"/>
        </w:rPr>
        <w:t>The CSSF in Luxembourg issued updated guidance on delegation and outsourcing arrangements for fund administrators, reinforcing expectations around local substance, senior management oversight, and business continuity testing for critical outsourced functions. The guidance aligns with broader ESMA supervisory convergence efforts and is relevant to our Luxembourg operations.</w:t>
      </w:r>
    </w:p>
    <w:p>
      <w:pPr>
        <w:pStyle w:val="ListBullet"/>
        <w:spacing w:after="60"/>
      </w:pPr>
      <w:r>
        <w:rPr>
          <w:rFonts w:ascii="Calibri" w:hAnsi="Calibri"/>
          <w:sz w:val="21"/>
        </w:rPr>
        <w:t>The UK FCA launched a formal consultation on a bespoke regulatory framework for cryptoasset custodians and staking services, with a response deadline of 30 May 2026. The proposed regime would require FCA authorisation, prescriptive segregation of client assets, and enhanced operational resilience standards — broadly mirroring elements of the EU MiCA framework but with UK-specific calibrations.</w:t>
      </w:r>
    </w:p>
    <w:p>
      <w:pPr>
        <w:pStyle w:val="ListBullet"/>
        <w:spacing w:after="60"/>
      </w:pPr>
      <w:r>
        <w:rPr>
          <w:rFonts w:ascii="Calibri" w:hAnsi="Calibri"/>
          <w:sz w:val="21"/>
        </w:rPr>
        <w:t>The Ontario Securities Commission and Canadian Securities Administrators published for comment proposed amendments to National Instrument 24-102, extending T plus 1 settlement obligations to additional fixed income and derivatives products, with a targeted implementation date of Q3 2027. This is directly relevant to CIBC Mellon and Canadian custody operations.</w:t>
      </w:r>
    </w:p>
    <w:p>
      <w:pPr>
        <w:pStyle w:val="ListBullet"/>
        <w:spacing w:after="60"/>
      </w:pPr>
      <w:r>
        <w:rPr>
          <w:rFonts w:ascii="Calibri" w:hAnsi="Calibri"/>
          <w:sz w:val="21"/>
        </w:rPr>
        <w:t>IOSCO released a consultation report on global standards for AI-driven investment advice and automated portfolio management, with implications for fund administrators providing NAV oversight and risk analytics on AI-managed fund strategies. The report recommends enhanced disclosure, explainability requirements, and supervisory access to algorithm documentation.</w:t>
      </w:r>
    </w:p>
    <w:p>
      <w:pPr>
        <w:spacing w:before="240" w:after="80"/>
        <w:pBdr>
          <w:bottom w:val="single" w:sz="6" w:space="1" w:color="00429B"/>
        </w:pBdr>
      </w:pPr>
      <w:r>
        <w:rPr>
          <w:rFonts w:ascii="Calibri" w:hAnsi="Calibri"/>
          <w:b/>
          <w:color w:val="00429B"/>
          <w:sz w:val="26"/>
        </w:rPr>
        <w:t>4. INDUSTRY AND COMPETITIVE LANDSCAPE</w:t>
      </w:r>
    </w:p>
    <w:p>
      <w:pPr>
        <w:pStyle w:val="ListBullet"/>
        <w:spacing w:after="60"/>
      </w:pPr>
      <w:r>
        <w:rPr>
          <w:rFonts w:ascii="Calibri" w:hAnsi="Calibri"/>
          <w:sz w:val="21"/>
        </w:rPr>
        <w:t>State Street completed the acquisition of Clearwater Analytics' fund administration servicing unit in early March, adding approximately USD 150 billion in administered assets concentrated in the US insurance and mid-market alternatives space. This positions State Street more aggressively in alternatives administration, a segment of strategic importance to all major custodians including RBC IS.</w:t>
      </w:r>
    </w:p>
    <w:p>
      <w:pPr>
        <w:pStyle w:val="ListBullet"/>
        <w:spacing w:after="60"/>
      </w:pPr>
      <w:r>
        <w:rPr>
          <w:rFonts w:ascii="Calibri" w:hAnsi="Calibri"/>
          <w:sz w:val="21"/>
        </w:rPr>
        <w:t>BNY expanded its digital asset custody platform to support tokenised money market fund shares in partnership with a major US asset manager, building on its existing role as transfer agent and fund accountant. The initiative reportedly leverages a permissioned Ethereum-compatible blockchain and is aimed at institutional cash management clients.</w:t>
      </w:r>
    </w:p>
    <w:p>
      <w:pPr>
        <w:pStyle w:val="ListBullet"/>
        <w:spacing w:after="60"/>
      </w:pPr>
      <w:r>
        <w:rPr>
          <w:rFonts w:ascii="Calibri" w:hAnsi="Calibri"/>
          <w:sz w:val="21"/>
        </w:rPr>
        <w:t>Northern Trust announced a strategic partnership with a leading private markets data vendor to enhance its private equity and real asset fund administration capabilities, with a focus on automated capital call processing, investor reporting, and ESG data integration for alternative fund clients.</w:t>
      </w:r>
    </w:p>
    <w:p>
      <w:pPr>
        <w:pStyle w:val="ListBullet"/>
        <w:spacing w:after="60"/>
      </w:pPr>
      <w:r>
        <w:rPr>
          <w:rFonts w:ascii="Calibri" w:hAnsi="Calibri"/>
          <w:sz w:val="21"/>
        </w:rPr>
        <w:t>HSBC Securities Services disclosed plans to consolidate its sub-custody network in Asia-Pacific, migrating from a multi-vendor model to a single proprietary platform across 10 markets by end-2026. This is intended to reduce operational complexity and improve real-time data availability, and it may alter the competitive dynamics for global custody mandates in the region.</w:t>
      </w:r>
    </w:p>
    <w:p>
      <w:pPr>
        <w:pStyle w:val="ListBullet"/>
        <w:spacing w:after="60"/>
      </w:pPr>
      <w:r>
        <w:rPr>
          <w:rFonts w:ascii="Calibri" w:hAnsi="Calibri"/>
          <w:sz w:val="21"/>
        </w:rPr>
        <w:t>Citi Securities Services reported strong pipeline momentum in its Q4 2025 earnings supplement (released in January, with further commentary at its March investor day), highlighting wins in ETF servicing and depositary receipt mandates. Citi's ongoing investment in its Citi Token Services platform for cross-border payments is creating adjacency opportunities in its custody business.</w:t>
      </w:r>
    </w:p>
    <w:p>
      <w:pPr>
        <w:pStyle w:val="ListBullet"/>
        <w:spacing w:after="60"/>
      </w:pPr>
      <w:r>
        <w:rPr>
          <w:rFonts w:ascii="Calibri" w:hAnsi="Calibri"/>
          <w:sz w:val="21"/>
        </w:rPr>
        <w:t>Among FinTech challengers, Broadridge completed the migration of its largest European client onto its next-generation distributed ledger-enabled post-trade platform, processing over one million fixed income transactions in the first full month of live operation. Meanwhile, Fnality International continued progressing toward operational launch of its sterling utility settlement coin for wholesale payment-versus-payment settlement.</w:t>
      </w:r>
    </w:p>
    <w:p>
      <w:pPr>
        <w:spacing w:before="240" w:after="80"/>
        <w:pBdr>
          <w:bottom w:val="single" w:sz="6" w:space="1" w:color="00429B"/>
        </w:pBdr>
      </w:pPr>
      <w:r>
        <w:rPr>
          <w:rFonts w:ascii="Calibri" w:hAnsi="Calibri"/>
          <w:b/>
          <w:color w:val="00429B"/>
          <w:sz w:val="26"/>
        </w:rPr>
        <w:t>5. RISK DASHBOARD</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Risk Title</w:t>
            </w:r>
          </w:p>
        </w:tc>
        <w:tc>
          <w:tcPr>
            <w:tcW w:type="dxa" w:w="2437"/>
            <w:shd w:val="clear" w:color="auto" w:fill="00429B"/>
          </w:tcPr>
          <w:p>
            <w:pPr>
              <w:spacing w:after="40" w:before="40"/>
            </w:pPr>
            <w:r>
              <w:rPr>
                <w:rFonts w:ascii="Calibri" w:hAnsi="Calibri"/>
                <w:b/>
                <w:color w:val="FFFFFF"/>
                <w:sz w:val="20"/>
              </w:rPr>
              <w:t>Category</w:t>
            </w:r>
          </w:p>
        </w:tc>
        <w:tc>
          <w:tcPr>
            <w:tcW w:type="dxa" w:w="2437"/>
            <w:shd w:val="clear" w:color="auto" w:fill="00429B"/>
          </w:tcPr>
          <w:p>
            <w:pPr>
              <w:spacing w:after="40" w:before="40"/>
            </w:pPr>
            <w:r>
              <w:rPr>
                <w:rFonts w:ascii="Calibri" w:hAnsi="Calibri"/>
                <w:b/>
                <w:color w:val="FFFFFF"/>
                <w:sz w:val="20"/>
              </w:rPr>
              <w:t>Description</w:t>
            </w:r>
          </w:p>
        </w:tc>
        <w:tc>
          <w:tcPr>
            <w:tcW w:type="dxa" w:w="2437"/>
            <w:shd w:val="clear" w:color="auto" w:fill="00429B"/>
          </w:tcPr>
          <w:p>
            <w:pPr>
              <w:spacing w:after="40" w:before="40"/>
            </w:pPr>
            <w:r>
              <w:rPr>
                <w:rFonts w:ascii="Calibri" w:hAnsi="Calibri"/>
                <w:b/>
                <w:color w:val="FFFFFF"/>
                <w:sz w:val="20"/>
              </w:rPr>
              <w:t>Direction</w:t>
            </w:r>
          </w:p>
        </w:tc>
      </w:tr>
      <w:tr>
        <w:tc>
          <w:tcPr>
            <w:tcW w:type="dxa" w:w="2437"/>
          </w:tcPr>
          <w:p>
            <w:pPr>
              <w:spacing w:after="40" w:before="40"/>
            </w:pPr>
            <w:r>
              <w:rPr>
                <w:rFonts w:ascii="Calibri" w:hAnsi="Calibri"/>
                <w:b w:val="0"/>
                <w:sz w:val="20"/>
              </w:rPr>
              <w:t>Trade Policy Escalation and Market Volatility</w:t>
            </w:r>
          </w:p>
        </w:tc>
        <w:tc>
          <w:tcPr>
            <w:tcW w:type="dxa" w:w="2437"/>
          </w:tcPr>
          <w:p>
            <w:pPr>
              <w:spacing w:after="40" w:before="40"/>
            </w:pPr>
            <w:r>
              <w:rPr>
                <w:rFonts w:ascii="Calibri" w:hAnsi="Calibri"/>
                <w:b w:val="0"/>
                <w:sz w:val="20"/>
              </w:rPr>
              <w:t>MARKET</w:t>
            </w:r>
          </w:p>
        </w:tc>
        <w:tc>
          <w:tcPr>
            <w:tcW w:type="dxa" w:w="2437"/>
          </w:tcPr>
          <w:p>
            <w:pPr>
              <w:spacing w:after="40" w:before="40"/>
            </w:pPr>
            <w:r>
              <w:rPr>
                <w:rFonts w:ascii="Calibri" w:hAnsi="Calibri"/>
                <w:b w:val="0"/>
                <w:sz w:val="20"/>
              </w:rPr>
              <w:t>Expanded US tariffs on EU and Asian goods are driving equity drawdowns, FX volatility, and surging transaction volumes that stress settlement operations and increase fails risk.</w:t>
            </w:r>
          </w:p>
        </w:tc>
        <w:tc>
          <w:tcPr>
            <w:tcW w:type="dxa" w:w="2437"/>
          </w:tcPr>
          <w:p>
            <w:pPr>
              <w:spacing w:after="40" w:before="40"/>
            </w:pPr>
            <w:r>
              <w:rPr>
                <w:rFonts w:ascii="Calibri" w:hAnsi="Calibri"/>
                <w:b/>
                <w:color w:val="CC0000"/>
                <w:sz w:val="20"/>
              </w:rPr>
              <w:t>↑ INCREASING</w:t>
            </w:r>
          </w:p>
        </w:tc>
      </w:tr>
      <w:tr>
        <w:tc>
          <w:tcPr>
            <w:tcW w:type="dxa" w:w="2437"/>
            <w:shd w:val="clear" w:color="auto" w:fill="EEF3FA"/>
          </w:tcPr>
          <w:p>
            <w:pPr>
              <w:spacing w:after="40" w:before="40"/>
            </w:pPr>
            <w:r>
              <w:rPr>
                <w:rFonts w:ascii="Calibri" w:hAnsi="Calibri"/>
                <w:b w:val="0"/>
                <w:sz w:val="20"/>
              </w:rPr>
              <w:t>Regulatory Implementation Burden</w:t>
            </w:r>
          </w:p>
        </w:tc>
        <w:tc>
          <w:tcPr>
            <w:tcW w:type="dxa" w:w="2437"/>
            <w:shd w:val="clear" w:color="auto" w:fill="EEF3FA"/>
          </w:tcPr>
          <w:p>
            <w:pPr>
              <w:spacing w:after="40" w:before="40"/>
            </w:pPr>
            <w:r>
              <w:rPr>
                <w:rFonts w:ascii="Calibri" w:hAnsi="Calibri"/>
                <w:b w:val="0"/>
                <w:sz w:val="20"/>
              </w:rPr>
              <w:t>REGULATORY</w:t>
            </w:r>
          </w:p>
        </w:tc>
        <w:tc>
          <w:tcPr>
            <w:tcW w:type="dxa" w:w="2437"/>
            <w:shd w:val="clear" w:color="auto" w:fill="EEF3FA"/>
          </w:tcPr>
          <w:p>
            <w:pPr>
              <w:spacing w:after="40" w:before="40"/>
            </w:pPr>
            <w:r>
              <w:rPr>
                <w:rFonts w:ascii="Calibri" w:hAnsi="Calibri"/>
                <w:b w:val="0"/>
                <w:sz w:val="20"/>
              </w:rPr>
              <w:t>Concurrent compliance demands from AIFMD II technical standards, US Treasury clearing mandates, and evolving digital asset frameworks create resourcing and prioritisation challenges across jurisdictions.</w:t>
            </w:r>
          </w:p>
        </w:tc>
        <w:tc>
          <w:tcPr>
            <w:tcW w:type="dxa" w:w="2437"/>
            <w:shd w:val="clear" w:color="auto" w:fill="EEF3FA"/>
          </w:tcPr>
          <w:p>
            <w:pPr>
              <w:spacing w:after="40" w:before="40"/>
            </w:pPr>
            <w:r>
              <w:rPr>
                <w:rFonts w:ascii="Calibri" w:hAnsi="Calibri"/>
                <w:b/>
                <w:color w:val="CC0000"/>
                <w:sz w:val="20"/>
              </w:rPr>
              <w:t>↑ INCREASING</w:t>
            </w:r>
          </w:p>
        </w:tc>
      </w:tr>
      <w:tr>
        <w:tc>
          <w:tcPr>
            <w:tcW w:type="dxa" w:w="2437"/>
          </w:tcPr>
          <w:p>
            <w:pPr>
              <w:spacing w:after="40" w:before="40"/>
            </w:pPr>
            <w:r>
              <w:rPr>
                <w:rFonts w:ascii="Calibri" w:hAnsi="Calibri"/>
                <w:b w:val="0"/>
                <w:sz w:val="20"/>
              </w:rPr>
              <w:t>Counterparty and Credit Spread Widening</w:t>
            </w:r>
          </w:p>
        </w:tc>
        <w:tc>
          <w:tcPr>
            <w:tcW w:type="dxa" w:w="2437"/>
          </w:tcPr>
          <w:p>
            <w:pPr>
              <w:spacing w:after="40" w:before="40"/>
            </w:pPr>
            <w:r>
              <w:rPr>
                <w:rFonts w:ascii="Calibri" w:hAnsi="Calibri"/>
                <w:b w:val="0"/>
                <w:sz w:val="20"/>
              </w:rPr>
              <w:t>CREDIT</w:t>
            </w:r>
          </w:p>
        </w:tc>
        <w:tc>
          <w:tcPr>
            <w:tcW w:type="dxa" w:w="2437"/>
          </w:tcPr>
          <w:p>
            <w:pPr>
              <w:spacing w:after="40" w:before="40"/>
            </w:pPr>
            <w:r>
              <w:rPr>
                <w:rFonts w:ascii="Calibri" w:hAnsi="Calibri"/>
                <w:b w:val="0"/>
                <w:sz w:val="20"/>
              </w:rPr>
              <w:t>Investment-grade and high-yield spreads have widened materially, increasing collateral margin call frequency and mark-to-market volatility across administered portfolios, particularly in leveraged alternative funds.</w:t>
            </w:r>
          </w:p>
        </w:tc>
        <w:tc>
          <w:tcPr>
            <w:tcW w:type="dxa" w:w="2437"/>
          </w:tcPr>
          <w:p>
            <w:pPr>
              <w:spacing w:after="40" w:before="40"/>
            </w:pPr>
            <w:r>
              <w:rPr>
                <w:rFonts w:ascii="Calibri" w:hAnsi="Calibri"/>
                <w:b/>
                <w:color w:val="CC0000"/>
                <w:sz w:val="20"/>
              </w:rPr>
              <w:t>↑ INCREASING</w:t>
            </w:r>
          </w:p>
        </w:tc>
      </w:tr>
      <w:tr>
        <w:tc>
          <w:tcPr>
            <w:tcW w:type="dxa" w:w="2437"/>
            <w:shd w:val="clear" w:color="auto" w:fill="EEF3FA"/>
          </w:tcPr>
          <w:p>
            <w:pPr>
              <w:spacing w:after="40" w:before="40"/>
            </w:pPr>
            <w:r>
              <w:rPr>
                <w:rFonts w:ascii="Calibri" w:hAnsi="Calibri"/>
                <w:b w:val="0"/>
                <w:sz w:val="20"/>
              </w:rPr>
              <w:t>Cyber Threats Targeting Financial Infrastructure</w:t>
            </w:r>
          </w:p>
        </w:tc>
        <w:tc>
          <w:tcPr>
            <w:tcW w:type="dxa" w:w="2437"/>
            <w:shd w:val="clear" w:color="auto" w:fill="EEF3FA"/>
          </w:tcPr>
          <w:p>
            <w:pPr>
              <w:spacing w:after="40" w:before="40"/>
            </w:pPr>
            <w:r>
              <w:rPr>
                <w:rFonts w:ascii="Calibri" w:hAnsi="Calibri"/>
                <w:b w:val="0"/>
                <w:sz w:val="20"/>
              </w:rPr>
              <w:t>CYBER</w:t>
            </w:r>
          </w:p>
        </w:tc>
        <w:tc>
          <w:tcPr>
            <w:tcW w:type="dxa" w:w="2437"/>
            <w:shd w:val="clear" w:color="auto" w:fill="EEF3FA"/>
          </w:tcPr>
          <w:p>
            <w:pPr>
              <w:spacing w:after="40" w:before="40"/>
            </w:pPr>
            <w:r>
              <w:rPr>
                <w:rFonts w:ascii="Calibri" w:hAnsi="Calibri"/>
                <w:b w:val="0"/>
                <w:sz w:val="20"/>
              </w:rPr>
              <w:t>Industry threat intelligence reports a sustained increase in sophisticated phishing and supply-chain attacks targeting securities services firms and their vendor ecosystems, including SWIFT-connected infrastructure.</w:t>
            </w:r>
          </w:p>
        </w:tc>
        <w:tc>
          <w:tcPr>
            <w:tcW w:type="dxa" w:w="2437"/>
            <w:shd w:val="clear" w:color="auto" w:fill="EEF3FA"/>
          </w:tcPr>
          <w:p>
            <w:pPr>
              <w:spacing w:after="40" w:before="40"/>
            </w:pPr>
            <w:r>
              <w:rPr>
                <w:rFonts w:ascii="Calibri" w:hAnsi="Calibri"/>
                <w:b/>
                <w:color w:val="CC0000"/>
                <w:sz w:val="20"/>
              </w:rPr>
              <w:t>↑ INCREASING</w:t>
            </w:r>
          </w:p>
        </w:tc>
      </w:tr>
      <w:tr>
        <w:tc>
          <w:tcPr>
            <w:tcW w:type="dxa" w:w="2437"/>
          </w:tcPr>
          <w:p>
            <w:pPr>
              <w:spacing w:after="40" w:before="40"/>
            </w:pPr>
            <w:r>
              <w:rPr>
                <w:rFonts w:ascii="Calibri" w:hAnsi="Calibri"/>
                <w:b w:val="0"/>
                <w:sz w:val="20"/>
              </w:rPr>
              <w:t>Operational Resilience Under Volume Stress</w:t>
            </w:r>
          </w:p>
        </w:tc>
        <w:tc>
          <w:tcPr>
            <w:tcW w:type="dxa" w:w="2437"/>
          </w:tcPr>
          <w:p>
            <w:pPr>
              <w:spacing w:after="40" w:before="40"/>
            </w:pPr>
            <w:r>
              <w:rPr>
                <w:rFonts w:ascii="Calibri" w:hAnsi="Calibri"/>
                <w:b w:val="0"/>
                <w:sz w:val="20"/>
              </w:rPr>
              <w:t>OPERATIONAL</w:t>
            </w:r>
          </w:p>
        </w:tc>
        <w:tc>
          <w:tcPr>
            <w:tcW w:type="dxa" w:w="2437"/>
          </w:tcPr>
          <w:p>
            <w:pPr>
              <w:spacing w:after="40" w:before="40"/>
            </w:pPr>
            <w:r>
              <w:rPr>
                <w:rFonts w:ascii="Calibri" w:hAnsi="Calibri"/>
                <w:b w:val="0"/>
                <w:sz w:val="20"/>
              </w:rPr>
              <w:t>Record equity and FX trading volumes are testing settlement, reconciliation, and corporate action processing capacity, with elevated risk of processing backlogs and failed trades during peak days.</w:t>
            </w:r>
          </w:p>
        </w:tc>
        <w:tc>
          <w:tcPr>
            <w:tcW w:type="dxa" w:w="2437"/>
          </w:tcPr>
          <w:p>
            <w:pPr>
              <w:spacing w:after="40" w:before="40"/>
            </w:pPr>
            <w:r>
              <w:rPr>
                <w:rFonts w:ascii="Calibri" w:hAnsi="Calibri"/>
                <w:b/>
                <w:color w:val="CC0000"/>
                <w:sz w:val="20"/>
              </w:rPr>
              <w:t>↑ INCREASING</w:t>
            </w:r>
          </w:p>
        </w:tc>
      </w:tr>
    </w:tbl>
    <w:p>
      <w:pPr>
        <w:spacing w:before="240" w:after="80"/>
        <w:pBdr>
          <w:bottom w:val="single" w:sz="6" w:space="1" w:color="00429B"/>
        </w:pBdr>
      </w:pPr>
      <w:r>
        <w:rPr>
          <w:rFonts w:ascii="Calibri" w:hAnsi="Calibri"/>
          <w:b/>
          <w:color w:val="00429B"/>
          <w:sz w:val="26"/>
        </w:rPr>
        <w:t>6. TECHNOLOGY AND DIGITAL ASSETS</w:t>
      </w:r>
    </w:p>
    <w:p>
      <w:pPr>
        <w:pStyle w:val="ListBullet"/>
        <w:spacing w:after="60"/>
      </w:pPr>
      <w:r>
        <w:rPr>
          <w:rFonts w:ascii="Calibri" w:hAnsi="Calibri"/>
          <w:sz w:val="21"/>
        </w:rPr>
        <w:t>AI adoption in fund administration continued to accelerate, with multiple large administrators now deploying large language model-based tools for automated NAV commentary generation, anomaly detection in pricing feeds, and investor query triage. Industry surveys by Deloitte and the Funds Partnership suggest over 60 percent of top-20 fund administrators have active generative AI pilots in production or late-stage testing as of Q1 2026.</w:t>
      </w:r>
    </w:p>
    <w:p>
      <w:pPr>
        <w:pStyle w:val="ListBullet"/>
        <w:spacing w:after="60"/>
      </w:pPr>
      <w:r>
        <w:rPr>
          <w:rFonts w:ascii="Calibri" w:hAnsi="Calibri"/>
          <w:sz w:val="21"/>
        </w:rPr>
        <w:t>The tokenisation of funds advanced meaningfully: in addition to BNY's money market fund tokenisation initiative, Franklin Templeton expanded its on-chain US government money fund to a second blockchain platform, and BlackRock's BUIDL tokenised fund surpassed USD 1.5 billion in AUM. These developments are creating new demands on transfer agency, reconciliation, and regulatory reporting infrastructure for custodians.</w:t>
      </w:r>
    </w:p>
    <w:p>
      <w:pPr>
        <w:pStyle w:val="ListBullet"/>
        <w:spacing w:after="60"/>
      </w:pPr>
      <w:r>
        <w:rPr>
          <w:rFonts w:ascii="Calibri" w:hAnsi="Calibri"/>
          <w:sz w:val="21"/>
        </w:rPr>
        <w:t>SWIFT's live multi-bank pilot for tokenised asset settlement interoperability entered its second phase in March, now encompassing over 20 global financial institutions testing atomic delivery-versus-payment settlement of tokenised bonds across heterogeneous DLT platforms. Results from Phase 1, published in late February, demonstrated successful settlement in under 30 minutes across six different ledger technologies.</w:t>
      </w:r>
    </w:p>
    <w:p>
      <w:pPr>
        <w:pStyle w:val="ListBullet"/>
        <w:spacing w:after="60"/>
      </w:pPr>
      <w:r>
        <w:rPr>
          <w:rFonts w:ascii="Calibri" w:hAnsi="Calibri"/>
          <w:sz w:val="21"/>
        </w:rPr>
        <w:t>T plus 1 settlement, now live in North America since May 2024, continued to show improved settlement efficiency, with DTCC reporting fails rates stabilising near 2.0 percent for equities, down from the initial post-transition spike. The UK Accelerated Settlement Taskforce confirmed in its March update that the UK target date for T plus 1 migration is Q4 2027, with the EU expected to follow by late 2028 or early 2029 under ESMA coordination.</w:t>
      </w:r>
    </w:p>
    <w:p>
      <w:pPr>
        <w:pStyle w:val="ListBullet"/>
        <w:spacing w:after="60"/>
      </w:pPr>
      <w:r>
        <w:rPr>
          <w:rFonts w:ascii="Calibri" w:hAnsi="Calibri"/>
          <w:sz w:val="21"/>
        </w:rPr>
        <w:t>Cyber threats specific to the securities services sector intensified, with FS-ISAC issuing two high-priority advisories in March: one concerning a zero-day vulnerability in a widely used treasury management system, and another flagging advanced persistent threat activity targeting custodian SWIFT gateways. These alerts underscore the criticality of vendor patch management and network segmentation.</w:t>
      </w:r>
    </w:p>
    <w:p>
      <w:pPr>
        <w:pStyle w:val="ListBullet"/>
        <w:spacing w:after="60"/>
      </w:pPr>
      <w:r>
        <w:rPr>
          <w:rFonts w:ascii="Calibri" w:hAnsi="Calibri"/>
          <w:sz w:val="21"/>
        </w:rPr>
        <w:t>Central bank digital currency developments continued with the Bank of England publishing its updated technical design paper for a potential digital pound wholesale variant, explicitly contemplating integration with securities settlement infrastructure. The ECB's digital euro project also moved into its preparation phase, with implications for collateral management and payment-versus-delivery workflows in European custody.</w:t>
      </w:r>
    </w:p>
    <w:p>
      <w:pPr>
        <w:spacing w:before="240" w:after="80"/>
        <w:pBdr>
          <w:bottom w:val="single" w:sz="6" w:space="1" w:color="00429B"/>
        </w:pBdr>
      </w:pPr>
      <w:r>
        <w:rPr>
          <w:rFonts w:ascii="Calibri" w:hAnsi="Calibri"/>
          <w:b/>
          <w:color w:val="00429B"/>
          <w:sz w:val="26"/>
        </w:rPr>
        <w:t>7. KEY UPCOMING EVENTS — APRIL 2026</w:t>
      </w:r>
    </w:p>
    <w:p>
      <w:pPr>
        <w:spacing w:after="60"/>
      </w:pPr>
      <w:r>
        <w:rPr>
          <w:rFonts w:ascii="Calibri" w:hAnsi="Calibri"/>
          <w:sz w:val="21"/>
        </w:rPr>
        <w:t>01 Apr — ESMA Q1 2026 reporting deadline for SFTR (Securities Financing Transactions Regulation) data submissions by EU-based custodians and prime brokers.</w:t>
      </w:r>
    </w:p>
    <w:p>
      <w:pPr>
        <w:spacing w:after="60"/>
      </w:pPr>
      <w:r>
        <w:rPr>
          <w:rFonts w:ascii="Calibri" w:hAnsi="Calibri"/>
          <w:sz w:val="21"/>
        </w:rPr>
        <w:t>02 Apr — US nonfarm payrolls release (March data), a key macro indicator for rate expectations and market volatility outlook.</w:t>
      </w:r>
    </w:p>
    <w:p>
      <w:pPr>
        <w:spacing w:after="60"/>
      </w:pPr>
      <w:r>
        <w:rPr>
          <w:rFonts w:ascii="Calibri" w:hAnsi="Calibri"/>
          <w:sz w:val="21"/>
        </w:rPr>
        <w:t>08 Apr — Bank of Canada interest rate decision, with markets watching for any shift in forward guidance amid trade policy uncertainty.</w:t>
      </w:r>
    </w:p>
    <w:p>
      <w:pPr>
        <w:spacing w:after="60"/>
      </w:pPr>
      <w:r>
        <w:rPr>
          <w:rFonts w:ascii="Calibri" w:hAnsi="Calibri"/>
          <w:sz w:val="21"/>
        </w:rPr>
        <w:t>14 Apr — IMF and World Bank Spring Meetings commence in Washington DC, with sessions on global financial stability, digital assets regulation, and trade policy implications for capital markets.</w:t>
      </w:r>
    </w:p>
    <w:p>
      <w:pPr>
        <w:spacing w:after="60"/>
      </w:pPr>
      <w:r>
        <w:rPr>
          <w:rFonts w:ascii="Calibri" w:hAnsi="Calibri"/>
          <w:sz w:val="21"/>
        </w:rPr>
        <w:t>17 Apr — ECB Governing Council interest rate decision, with further easing expected amid soft eurozone growth data.</w:t>
      </w:r>
    </w:p>
    <w:p>
      <w:pPr>
        <w:spacing w:after="60"/>
      </w:pPr>
      <w:r>
        <w:rPr>
          <w:rFonts w:ascii="Calibri" w:hAnsi="Calibri"/>
          <w:sz w:val="21"/>
        </w:rPr>
        <w:t>22-24 Apr — FundForum International (Monaco), the largest European fund industry conference, with key sessions on alternatives servicing, AI in asset management, and fund tokenisation.</w:t>
      </w:r>
    </w:p>
    <w:p>
      <w:pPr>
        <w:spacing w:after="60"/>
      </w:pPr>
      <w:r>
        <w:rPr>
          <w:rFonts w:ascii="Calibri" w:hAnsi="Calibri"/>
          <w:sz w:val="21"/>
        </w:rPr>
        <w:t>28-29 Apr — ISDA Annual General Meeting (Madrid), covering derivatives clearing reform, margin requirements, and digital asset derivatives infrastructure.</w:t>
      </w:r>
    </w:p>
    <w:p>
      <w:pPr>
        <w:spacing w:after="60"/>
      </w:pPr>
      <w:r>
        <w:rPr>
          <w:rFonts w:ascii="Calibri" w:hAnsi="Calibri"/>
          <w:sz w:val="21"/>
        </w:rPr>
        <w:t>30 Apr — Deadline for responses to OSC/CSA consultation on proposed T plus 1 extensions for Canadian fixed income products under NI 24-102.</w:t>
      </w:r>
    </w:p>
    <w:p>
      <w:pPr>
        <w:spacing w:before="240" w:after="80"/>
        <w:pBdr>
          <w:bottom w:val="single" w:sz="6" w:space="1" w:color="00429B"/>
        </w:pBdr>
      </w:pPr>
      <w:r>
        <w:rPr>
          <w:rFonts w:ascii="Calibri" w:hAnsi="Calibri"/>
          <w:b/>
          <w:color w:val="00429B"/>
          <w:sz w:val="26"/>
        </w:rPr>
        <w:t>8. SMT WATCH LIST</w:t>
      </w:r>
    </w:p>
    <w:p>
      <w:pPr>
        <w:spacing w:after="60"/>
      </w:pPr>
      <w:r>
        <w:rPr>
          <w:rFonts w:ascii="Calibri" w:hAnsi="Calibri"/>
          <w:sz w:val="21"/>
        </w:rPr>
        <w:t>Theme 1: Operational Capacity Under Sustained Volume Surge</w:t>
      </w:r>
    </w:p>
    <w:p>
      <w:pPr>
        <w:spacing w:after="60"/>
      </w:pPr>
      <w:r>
        <w:rPr>
          <w:rFonts w:ascii="Calibri" w:hAnsi="Calibri"/>
          <w:sz w:val="21"/>
        </w:rPr>
        <w:t>The combination of tariff-driven equity volatility, FX volume spikes, and elevated corporate action activity in March is testing processing infrastructure across all major custody centres. Recommended Action: Conduct an immediate capacity stress test of settlement, reconciliation, and fails management systems across all operating centres, with results reported to the Operations Risk Committee by mid-April.</w:t>
      </w:r>
    </w:p>
    <w:p>
      <w:pPr>
        <w:spacing w:after="60"/>
      </w:pPr>
      <w:r>
        <w:rPr>
          <w:rFonts w:ascii="Calibri" w:hAnsi="Calibri"/>
          <w:sz w:val="21"/>
        </w:rPr>
        <w:t>Theme 2: AIFMD II Implementation Readiness</w:t>
      </w:r>
    </w:p>
    <w:p>
      <w:pPr>
        <w:spacing w:after="60"/>
      </w:pPr>
      <w:r>
        <w:rPr>
          <w:rFonts w:ascii="Calibri" w:hAnsi="Calibri"/>
          <w:sz w:val="21"/>
        </w:rPr>
        <w:t>The publication of ESMA's final technical standards triggers a compliance timeline that will require coordinated effort across our Luxembourg, Dublin, and London operations, particularly regarding depositary passport arrangements, liquidity management tool integration, and delegation substance requirements. Recommended Action: Convene a cross-jurisdictional AIFMD II implementation working group by early April, chaired by the Head of Regulatory Change, with a preliminary gap analysis and resource plan due to SMT by end of May.</w:t>
      </w:r>
    </w:p>
    <w:p>
      <w:pPr>
        <w:spacing w:after="60"/>
      </w:pPr>
      <w:r>
        <w:rPr>
          <w:rFonts w:ascii="Calibri" w:hAnsi="Calibri"/>
          <w:sz w:val="21"/>
        </w:rPr>
        <w:t>Theme 3: Digital Asset Custody Strategic Positioning</w:t>
      </w:r>
    </w:p>
    <w:p>
      <w:pPr>
        <w:spacing w:after="60"/>
      </w:pPr>
      <w:r>
        <w:rPr>
          <w:rFonts w:ascii="Calibri" w:hAnsi="Calibri"/>
          <w:sz w:val="21"/>
        </w:rPr>
        <w:t>Peer institutions, notably BNY and Citi, are moving aggressively into tokenised fund servicing and digital asset custody. The UK FCA's consultation and ongoing MiCA implementation in the EU are establishing clear regulatory frameworks that may lower barriers to institutional adoption. Recommended Action: Commission an updated strategic options paper from the Digital Assets team, evaluating build, partner, and acquire scenarios for tokenised securities servicing capabilities, for SMT review at the May strategy session.</w:t>
      </w:r>
    </w:p>
    <w:p>
      <w:pPr>
        <w:spacing w:before="240" w:after="80"/>
        <w:pBdr>
          <w:bottom w:val="single" w:sz="6" w:space="1" w:color="00429B"/>
        </w:pBdr>
      </w:pPr>
      <w:r>
        <w:rPr>
          <w:rFonts w:ascii="Calibri" w:hAnsi="Calibri"/>
          <w:b/>
          <w:color w:val="00429B"/>
          <w:sz w:val="26"/>
        </w:rPr>
        <w:t>9. TECHNOLOGY VENDOR LANDSCAPE</w:t>
      </w:r>
    </w:p>
    <w:p>
      <w:pPr>
        <w:pStyle w:val="ListBullet"/>
        <w:spacing w:after="60"/>
      </w:pPr>
      <w:r>
        <w:rPr>
          <w:rFonts w:ascii="Calibri" w:hAnsi="Calibri"/>
          <w:sz w:val="21"/>
        </w:rPr>
        <w:t>SimCorp (now part of Deutsche Boerse Group) announced the general availability release of SimCorp One version 2026.1 in March, featuring enhanced private markets portfolio management, integrated ESG data feeds, and a new AI-powered reconciliation module. The platform's positioning as a unified front-to-back solution continues to gain traction among large asset managers, with direct implications for fund administrators who must interface with or compete against integrated platforms.</w:t>
      </w:r>
    </w:p>
    <w:p>
      <w:pPr>
        <w:pStyle w:val="ListBullet"/>
        <w:spacing w:after="60"/>
      </w:pPr>
      <w:r>
        <w:rPr>
          <w:rFonts w:ascii="Calibri" w:hAnsi="Calibri"/>
          <w:sz w:val="21"/>
        </w:rPr>
        <w:t>SS and C Technologies launched a new cloud-native alternatives fund administration module within its GlobeOp platform, specifically targeting private credit and infrastructure fund accounting workflows. SS and C also announced expanded API connectivity with major custodian platforms, including direct SWIFT ISO 20022 messaging integration, aimed at reducing reconciliation breaks and accelerating NAV delivery.</w:t>
      </w:r>
    </w:p>
    <w:p>
      <w:pPr>
        <w:pStyle w:val="ListBullet"/>
        <w:spacing w:after="60"/>
      </w:pPr>
      <w:r>
        <w:rPr>
          <w:rFonts w:ascii="Calibri" w:hAnsi="Calibri"/>
          <w:sz w:val="21"/>
        </w:rPr>
        <w:t>Broadridge reported the successful live migration of its largest European fixed income client onto its DLT-enabled post-trade platform and announced a new partnership with a major Asian exchange to provide proxy voting and corporate actions technology. Broadridge's continued investment in distributed ledger settlement infrastructure positions it as a key technology partner for custodians exploring next-generation settlement models.</w:t>
      </w:r>
    </w:p>
    <w:p>
      <w:pPr>
        <w:pStyle w:val="ListBullet"/>
        <w:spacing w:after="60"/>
      </w:pPr>
      <w:r>
        <w:rPr>
          <w:rFonts w:ascii="Calibri" w:hAnsi="Calibri"/>
          <w:sz w:val="21"/>
        </w:rPr>
        <w:t>FIS Global completed the divestiture of its Worldpay payments unit and confirmed that the proceeds would be redirected toward its capital markets and securities services technology division, with planned investments in real-time settlement orchestration, collateral optimisation engines, and regulatory reporting automation. This renewed focus on capital markets technology warrants monitoring as FIS may become a more aggressive competitor in the post-trade technology space.</w:t>
      </w:r>
    </w:p>
    <w:p>
      <w:pPr>
        <w:pStyle w:val="ListBullet"/>
        <w:spacing w:after="60"/>
      </w:pPr>
      <w:r>
        <w:rPr>
          <w:rFonts w:ascii="Calibri" w:hAnsi="Calibri"/>
          <w:sz w:val="21"/>
        </w:rPr>
        <w:t>Temenos expanded its fund administration offering through a partnership with a specialist alternative data provider, enabling automated ingestion of satellite imagery, web-scraped data, and alternative credit signals into its fund accounting and risk analytics workflows. While primarily relevant to hedge fund administrators, this signals the direction of data-driven fund servicing innovation.</w:t>
      </w:r>
    </w:p>
    <w:p>
      <w:pPr>
        <w:pStyle w:val="ListBullet"/>
        <w:spacing w:after="60"/>
      </w:pPr>
      <w:r>
        <w:rPr>
          <w:rFonts w:ascii="Calibri" w:hAnsi="Calibri"/>
          <w:sz w:val="21"/>
        </w:rPr>
        <w:t>Charles River Development (an MSCI subsidiary) released an updated version of its investment management platform with enhanced multi-asset class order management and compliance features, alongside deeper integration with MSCI's ESG and climate risk analytics. For custodians acting as middle-office outsource providers, Charles River's expanding footprint on the buy side creates both integration opportunities and competitive overlap.</w:t>
      </w:r>
    </w:p>
    <w:p>
      <w:pPr>
        <w:pStyle w:val="ListBullet"/>
        <w:spacing w:after="60"/>
      </w:pPr>
      <w:r>
        <w:rPr>
          <w:rFonts w:ascii="Calibri" w:hAnsi="Calibri"/>
          <w:sz w:val="21"/>
        </w:rPr>
        <w:t>SWIFT published its updated ISO 20022 migration progress report, confirming that over 85 percent of cross-border payment traffic on the SWIFT network is now compliant with the ISO 20022 standard. SWIFT also expanded its Securities View service with real-time settlement status tracking for an additional 12 markets, directly supporting custodians' efforts to reduce settlement fails in a T plus 1 environment. Separately, Nasdaq Financial Technology announced enhanced integration between its Calypso trading and risk platform and its post-trade clearing solutions, targeting derivatives clearing participants adapting to expanded central clearing mandates.</w:t>
      </w:r>
    </w:p>
    <w:p>
      <w:pPr>
        <w:spacing w:before="240" w:after="80"/>
        <w:pBdr>
          <w:bottom w:val="single" w:sz="6" w:space="1" w:color="00429B"/>
        </w:pBdr>
      </w:pPr>
      <w:r>
        <w:rPr>
          <w:rFonts w:ascii="Calibri" w:hAnsi="Calibri"/>
          <w:b/>
          <w:color w:val="00429B"/>
          <w:sz w:val="26"/>
        </w:rPr>
        <w:t>10. KEY MACRO ECONOMIC INDICES</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Index</w:t>
            </w:r>
          </w:p>
        </w:tc>
        <w:tc>
          <w:tcPr>
            <w:tcW w:type="dxa" w:w="2437"/>
            <w:shd w:val="clear" w:color="auto" w:fill="00429B"/>
          </w:tcPr>
          <w:p>
            <w:pPr>
              <w:spacing w:after="40" w:before="40"/>
            </w:pPr>
            <w:r>
              <w:rPr>
                <w:rFonts w:ascii="Calibri" w:hAnsi="Calibri"/>
                <w:b/>
                <w:color w:val="FFFFFF"/>
                <w:sz w:val="20"/>
              </w:rPr>
              <w:t>Level</w:t>
            </w:r>
          </w:p>
        </w:tc>
        <w:tc>
          <w:tcPr>
            <w:tcW w:type="dxa" w:w="2437"/>
            <w:shd w:val="clear" w:color="auto" w:fill="00429B"/>
          </w:tcPr>
          <w:p>
            <w:pPr>
              <w:spacing w:after="40" w:before="40"/>
            </w:pPr>
            <w:r>
              <w:rPr>
                <w:rFonts w:ascii="Calibri" w:hAnsi="Calibri"/>
                <w:b/>
                <w:color w:val="FFFFFF"/>
                <w:sz w:val="20"/>
              </w:rPr>
              <w:t>Month Change</w:t>
            </w:r>
          </w:p>
        </w:tc>
        <w:tc>
          <w:tcPr>
            <w:tcW w:type="dxa" w:w="2437"/>
            <w:shd w:val="clear" w:color="auto" w:fill="00429B"/>
          </w:tcPr>
          <w:p>
            <w:pPr>
              <w:spacing w:after="40" w:before="40"/>
            </w:pPr>
            <w:r>
              <w:rPr>
                <w:rFonts w:ascii="Calibri" w:hAnsi="Calibri"/>
                <w:b/>
                <w:color w:val="FFFFFF"/>
                <w:sz w:val="20"/>
              </w:rPr>
              <w:t>YTD Change</w:t>
            </w:r>
          </w:p>
        </w:tc>
      </w:tr>
      <w:tr>
        <w:tc>
          <w:tcPr>
            <w:tcW w:type="dxa" w:w="2437"/>
          </w:tcPr>
          <w:p>
            <w:pPr>
              <w:spacing w:after="40" w:before="40"/>
            </w:pPr>
            <w:r>
              <w:rPr>
                <w:rFonts w:ascii="Calibri" w:hAnsi="Calibri"/>
                <w:b w:val="0"/>
                <w:sz w:val="20"/>
              </w:rPr>
              <w:t>S&amp;P 500</w:t>
            </w:r>
          </w:p>
        </w:tc>
        <w:tc>
          <w:tcPr>
            <w:tcW w:type="dxa" w:w="2437"/>
          </w:tcPr>
          <w:p>
            <w:pPr>
              <w:spacing w:after="40" w:before="40"/>
            </w:pPr>
            <w:r>
              <w:rPr>
                <w:rFonts w:ascii="Calibri" w:hAnsi="Calibri"/>
                <w:b w:val="0"/>
                <w:sz w:val="20"/>
              </w:rPr>
              <w:t>5,480</w:t>
            </w:r>
          </w:p>
        </w:tc>
        <w:tc>
          <w:tcPr>
            <w:tcW w:type="dxa" w:w="2437"/>
          </w:tcPr>
          <w:p>
            <w:pPr>
              <w:spacing w:after="40" w:before="40"/>
            </w:pPr>
            <w:r>
              <w:rPr>
                <w:rFonts w:ascii="Calibri" w:hAnsi="Calibri"/>
                <w:b w:val="0"/>
                <w:color w:val="CC0000"/>
                <w:sz w:val="20"/>
              </w:rPr>
              <w:t>-4.5%</w:t>
            </w:r>
          </w:p>
        </w:tc>
        <w:tc>
          <w:tcPr>
            <w:tcW w:type="dxa" w:w="2437"/>
          </w:tcPr>
          <w:p>
            <w:pPr>
              <w:spacing w:after="40" w:before="40"/>
            </w:pPr>
            <w:r>
              <w:rPr>
                <w:rFonts w:ascii="Calibri" w:hAnsi="Calibri"/>
                <w:b w:val="0"/>
                <w:color w:val="CC0000"/>
                <w:sz w:val="20"/>
              </w:rPr>
              <w:t>-3.0%</w:t>
            </w:r>
          </w:p>
        </w:tc>
      </w:tr>
      <w:tr>
        <w:tc>
          <w:tcPr>
            <w:tcW w:type="dxa" w:w="2437"/>
            <w:shd w:val="clear" w:color="auto" w:fill="EEF3FA"/>
          </w:tcPr>
          <w:p>
            <w:pPr>
              <w:spacing w:after="40" w:before="40"/>
            </w:pPr>
            <w:r>
              <w:rPr>
                <w:rFonts w:ascii="Calibri" w:hAnsi="Calibri"/>
                <w:b w:val="0"/>
                <w:sz w:val="20"/>
              </w:rPr>
              <w:t>FTSE 100</w:t>
            </w:r>
          </w:p>
        </w:tc>
        <w:tc>
          <w:tcPr>
            <w:tcW w:type="dxa" w:w="2437"/>
            <w:shd w:val="clear" w:color="auto" w:fill="EEF3FA"/>
          </w:tcPr>
          <w:p>
            <w:pPr>
              <w:spacing w:after="40" w:before="40"/>
            </w:pPr>
            <w:r>
              <w:rPr>
                <w:rFonts w:ascii="Calibri" w:hAnsi="Calibri"/>
                <w:b w:val="0"/>
                <w:sz w:val="20"/>
              </w:rPr>
              <w:t>8,050</w:t>
            </w:r>
          </w:p>
        </w:tc>
        <w:tc>
          <w:tcPr>
            <w:tcW w:type="dxa" w:w="2437"/>
            <w:shd w:val="clear" w:color="auto" w:fill="EEF3FA"/>
          </w:tcPr>
          <w:p>
            <w:pPr>
              <w:spacing w:after="40" w:before="40"/>
            </w:pPr>
            <w:r>
              <w:rPr>
                <w:rFonts w:ascii="Calibri" w:hAnsi="Calibri"/>
                <w:b w:val="0"/>
                <w:color w:val="CC0000"/>
                <w:sz w:val="20"/>
              </w:rPr>
              <w:t>-3.2%</w:t>
            </w:r>
          </w:p>
        </w:tc>
        <w:tc>
          <w:tcPr>
            <w:tcW w:type="dxa" w:w="2437"/>
            <w:shd w:val="clear" w:color="auto" w:fill="EEF3FA"/>
          </w:tcPr>
          <w:p>
            <w:pPr>
              <w:spacing w:after="40" w:before="40"/>
            </w:pPr>
            <w:r>
              <w:rPr>
                <w:rFonts w:ascii="Calibri" w:hAnsi="Calibri"/>
                <w:b w:val="0"/>
                <w:color w:val="CC0000"/>
                <w:sz w:val="20"/>
              </w:rPr>
              <w:t>-1.5%</w:t>
            </w:r>
          </w:p>
        </w:tc>
      </w:tr>
      <w:tr>
        <w:tc>
          <w:tcPr>
            <w:tcW w:type="dxa" w:w="2437"/>
          </w:tcPr>
          <w:p>
            <w:pPr>
              <w:spacing w:after="40" w:before="40"/>
            </w:pPr>
            <w:r>
              <w:rPr>
                <w:rFonts w:ascii="Calibri" w:hAnsi="Calibri"/>
                <w:b w:val="0"/>
                <w:sz w:val="20"/>
              </w:rPr>
              <w:t>EURO STOXX 50</w:t>
            </w:r>
          </w:p>
        </w:tc>
        <w:tc>
          <w:tcPr>
            <w:tcW w:type="dxa" w:w="2437"/>
          </w:tcPr>
          <w:p>
            <w:pPr>
              <w:spacing w:after="40" w:before="40"/>
            </w:pPr>
            <w:r>
              <w:rPr>
                <w:rFonts w:ascii="Calibri" w:hAnsi="Calibri"/>
                <w:b w:val="0"/>
                <w:sz w:val="20"/>
              </w:rPr>
              <w:t>4,750</w:t>
            </w:r>
          </w:p>
        </w:tc>
        <w:tc>
          <w:tcPr>
            <w:tcW w:type="dxa" w:w="2437"/>
          </w:tcPr>
          <w:p>
            <w:pPr>
              <w:spacing w:after="40" w:before="40"/>
            </w:pPr>
            <w:r>
              <w:rPr>
                <w:rFonts w:ascii="Calibri" w:hAnsi="Calibri"/>
                <w:b w:val="0"/>
                <w:color w:val="CC0000"/>
                <w:sz w:val="20"/>
              </w:rPr>
              <w:t>-5.8%</w:t>
            </w:r>
          </w:p>
        </w:tc>
        <w:tc>
          <w:tcPr>
            <w:tcW w:type="dxa" w:w="2437"/>
          </w:tcPr>
          <w:p>
            <w:pPr>
              <w:spacing w:after="40" w:before="40"/>
            </w:pPr>
            <w:r>
              <w:rPr>
                <w:rFonts w:ascii="Calibri" w:hAnsi="Calibri"/>
                <w:b w:val="0"/>
                <w:color w:val="CC0000"/>
                <w:sz w:val="20"/>
              </w:rPr>
              <w:t>-2.8%</w:t>
            </w:r>
          </w:p>
        </w:tc>
      </w:tr>
      <w:tr>
        <w:tc>
          <w:tcPr>
            <w:tcW w:type="dxa" w:w="2437"/>
            <w:shd w:val="clear" w:color="auto" w:fill="EEF3FA"/>
          </w:tcPr>
          <w:p>
            <w:pPr>
              <w:spacing w:after="40" w:before="40"/>
            </w:pPr>
            <w:r>
              <w:rPr>
                <w:rFonts w:ascii="Calibri" w:hAnsi="Calibri"/>
                <w:b w:val="0"/>
                <w:sz w:val="20"/>
              </w:rPr>
              <w:t>Nikkei 225</w:t>
            </w:r>
          </w:p>
        </w:tc>
        <w:tc>
          <w:tcPr>
            <w:tcW w:type="dxa" w:w="2437"/>
            <w:shd w:val="clear" w:color="auto" w:fill="EEF3FA"/>
          </w:tcPr>
          <w:p>
            <w:pPr>
              <w:spacing w:after="40" w:before="40"/>
            </w:pPr>
            <w:r>
              <w:rPr>
                <w:rFonts w:ascii="Calibri" w:hAnsi="Calibri"/>
                <w:b w:val="0"/>
                <w:sz w:val="20"/>
              </w:rPr>
              <w:t>37,200</w:t>
            </w:r>
          </w:p>
        </w:tc>
        <w:tc>
          <w:tcPr>
            <w:tcW w:type="dxa" w:w="2437"/>
            <w:shd w:val="clear" w:color="auto" w:fill="EEF3FA"/>
          </w:tcPr>
          <w:p>
            <w:pPr>
              <w:spacing w:after="40" w:before="40"/>
            </w:pPr>
            <w:r>
              <w:rPr>
                <w:rFonts w:ascii="Calibri" w:hAnsi="Calibri"/>
                <w:b w:val="0"/>
                <w:color w:val="CC0000"/>
                <w:sz w:val="20"/>
              </w:rPr>
              <w:t>-5.5%</w:t>
            </w:r>
          </w:p>
        </w:tc>
        <w:tc>
          <w:tcPr>
            <w:tcW w:type="dxa" w:w="2437"/>
            <w:shd w:val="clear" w:color="auto" w:fill="EEF3FA"/>
          </w:tcPr>
          <w:p>
            <w:pPr>
              <w:spacing w:after="40" w:before="40"/>
            </w:pPr>
            <w:r>
              <w:rPr>
                <w:rFonts w:ascii="Calibri" w:hAnsi="Calibri"/>
                <w:b w:val="0"/>
                <w:color w:val="CC0000"/>
                <w:sz w:val="20"/>
              </w:rPr>
              <w:t>-4.0%</w:t>
            </w:r>
          </w:p>
        </w:tc>
      </w:tr>
      <w:tr>
        <w:tc>
          <w:tcPr>
            <w:tcW w:type="dxa" w:w="2437"/>
          </w:tcPr>
          <w:p>
            <w:pPr>
              <w:spacing w:after="40" w:before="40"/>
            </w:pPr>
            <w:r>
              <w:rPr>
                <w:rFonts w:ascii="Calibri" w:hAnsi="Calibri"/>
                <w:b w:val="0"/>
                <w:sz w:val="20"/>
              </w:rPr>
              <w:t>EUR/USD</w:t>
            </w:r>
          </w:p>
        </w:tc>
        <w:tc>
          <w:tcPr>
            <w:tcW w:type="dxa" w:w="2437"/>
          </w:tcPr>
          <w:p>
            <w:pPr>
              <w:spacing w:after="40" w:before="40"/>
            </w:pPr>
            <w:r>
              <w:rPr>
                <w:rFonts w:ascii="Calibri" w:hAnsi="Calibri"/>
                <w:b w:val="0"/>
                <w:sz w:val="20"/>
              </w:rPr>
              <w:t>1.1050</w:t>
            </w:r>
          </w:p>
        </w:tc>
        <w:tc>
          <w:tcPr>
            <w:tcW w:type="dxa" w:w="2437"/>
          </w:tcPr>
          <w:p>
            <w:pPr>
              <w:spacing w:after="40" w:before="40"/>
            </w:pPr>
            <w:r>
              <w:rPr>
                <w:rFonts w:ascii="Calibri" w:hAnsi="Calibri"/>
                <w:b w:val="0"/>
                <w:color w:val="007A33"/>
                <w:sz w:val="20"/>
              </w:rPr>
              <w:t>+1.2%</w:t>
            </w:r>
          </w:p>
        </w:tc>
        <w:tc>
          <w:tcPr>
            <w:tcW w:type="dxa" w:w="2437"/>
          </w:tcPr>
          <w:p>
            <w:pPr>
              <w:spacing w:after="40" w:before="40"/>
            </w:pPr>
            <w:r>
              <w:rPr>
                <w:rFonts w:ascii="Calibri" w:hAnsi="Calibri"/>
                <w:b w:val="0"/>
                <w:color w:val="007A33"/>
                <w:sz w:val="20"/>
              </w:rPr>
              <w:t>+2.0%</w:t>
            </w:r>
          </w:p>
        </w:tc>
      </w:tr>
      <w:tr>
        <w:tc>
          <w:tcPr>
            <w:tcW w:type="dxa" w:w="2437"/>
            <w:shd w:val="clear" w:color="auto" w:fill="EEF3FA"/>
          </w:tcPr>
          <w:p>
            <w:pPr>
              <w:spacing w:after="40" w:before="40"/>
            </w:pPr>
            <w:r>
              <w:rPr>
                <w:rFonts w:ascii="Calibri" w:hAnsi="Calibri"/>
                <w:b w:val="0"/>
                <w:sz w:val="20"/>
              </w:rPr>
              <w:t>GBP/USD</w:t>
            </w:r>
          </w:p>
        </w:tc>
        <w:tc>
          <w:tcPr>
            <w:tcW w:type="dxa" w:w="2437"/>
            <w:shd w:val="clear" w:color="auto" w:fill="EEF3FA"/>
          </w:tcPr>
          <w:p>
            <w:pPr>
              <w:spacing w:after="40" w:before="40"/>
            </w:pPr>
            <w:r>
              <w:rPr>
                <w:rFonts w:ascii="Calibri" w:hAnsi="Calibri"/>
                <w:b w:val="0"/>
                <w:sz w:val="20"/>
              </w:rPr>
              <w:t>1.2920</w:t>
            </w:r>
          </w:p>
        </w:tc>
        <w:tc>
          <w:tcPr>
            <w:tcW w:type="dxa" w:w="2437"/>
            <w:shd w:val="clear" w:color="auto" w:fill="EEF3FA"/>
          </w:tcPr>
          <w:p>
            <w:pPr>
              <w:spacing w:after="40" w:before="40"/>
            </w:pPr>
            <w:r>
              <w:rPr>
                <w:rFonts w:ascii="Calibri" w:hAnsi="Calibri"/>
                <w:b w:val="0"/>
                <w:color w:val="007A33"/>
                <w:sz w:val="20"/>
              </w:rPr>
              <w:t>+0.5%</w:t>
            </w:r>
          </w:p>
        </w:tc>
        <w:tc>
          <w:tcPr>
            <w:tcW w:type="dxa" w:w="2437"/>
            <w:shd w:val="clear" w:color="auto" w:fill="EEF3FA"/>
          </w:tcPr>
          <w:p>
            <w:pPr>
              <w:spacing w:after="40" w:before="40"/>
            </w:pPr>
            <w:r>
              <w:rPr>
                <w:rFonts w:ascii="Calibri" w:hAnsi="Calibri"/>
                <w:b w:val="0"/>
                <w:color w:val="007A33"/>
                <w:sz w:val="20"/>
              </w:rPr>
              <w:t>+1.3%</w:t>
            </w:r>
          </w:p>
        </w:tc>
      </w:tr>
      <w:tr>
        <w:tc>
          <w:tcPr>
            <w:tcW w:type="dxa" w:w="2437"/>
          </w:tcPr>
          <w:p>
            <w:pPr>
              <w:spacing w:after="40" w:before="40"/>
            </w:pPr>
            <w:r>
              <w:rPr>
                <w:rFonts w:ascii="Calibri" w:hAnsi="Calibri"/>
                <w:b w:val="0"/>
                <w:sz w:val="20"/>
              </w:rPr>
              <w:t>USD/JPY</w:t>
            </w:r>
          </w:p>
        </w:tc>
        <w:tc>
          <w:tcPr>
            <w:tcW w:type="dxa" w:w="2437"/>
          </w:tcPr>
          <w:p>
            <w:pPr>
              <w:spacing w:after="40" w:before="40"/>
            </w:pPr>
            <w:r>
              <w:rPr>
                <w:rFonts w:ascii="Calibri" w:hAnsi="Calibri"/>
                <w:b w:val="0"/>
                <w:sz w:val="20"/>
              </w:rPr>
              <w:t>146.00</w:t>
            </w:r>
          </w:p>
        </w:tc>
        <w:tc>
          <w:tcPr>
            <w:tcW w:type="dxa" w:w="2437"/>
          </w:tcPr>
          <w:p>
            <w:pPr>
              <w:spacing w:after="40" w:before="40"/>
            </w:pPr>
            <w:r>
              <w:rPr>
                <w:rFonts w:ascii="Calibri" w:hAnsi="Calibri"/>
                <w:b w:val="0"/>
                <w:color w:val="CC0000"/>
                <w:sz w:val="20"/>
              </w:rPr>
              <w:t>-2.5%</w:t>
            </w:r>
          </w:p>
        </w:tc>
        <w:tc>
          <w:tcPr>
            <w:tcW w:type="dxa" w:w="2437"/>
          </w:tcPr>
          <w:p>
            <w:pPr>
              <w:spacing w:after="40" w:before="40"/>
            </w:pPr>
            <w:r>
              <w:rPr>
                <w:rFonts w:ascii="Calibri" w:hAnsi="Calibri"/>
                <w:b w:val="0"/>
                <w:color w:val="CC0000"/>
                <w:sz w:val="20"/>
              </w:rPr>
              <w:t>-3.0%</w:t>
            </w:r>
          </w:p>
        </w:tc>
      </w:tr>
      <w:tr>
        <w:tc>
          <w:tcPr>
            <w:tcW w:type="dxa" w:w="2437"/>
            <w:shd w:val="clear" w:color="auto" w:fill="EEF3FA"/>
          </w:tcPr>
          <w:p>
            <w:pPr>
              <w:spacing w:after="40" w:before="40"/>
            </w:pPr>
            <w:r>
              <w:rPr>
                <w:rFonts w:ascii="Calibri" w:hAnsi="Calibri"/>
                <w:b w:val="0"/>
                <w:sz w:val="20"/>
              </w:rPr>
              <w:t>10Y UST Yield</w:t>
            </w:r>
          </w:p>
        </w:tc>
        <w:tc>
          <w:tcPr>
            <w:tcW w:type="dxa" w:w="2437"/>
            <w:shd w:val="clear" w:color="auto" w:fill="EEF3FA"/>
          </w:tcPr>
          <w:p>
            <w:pPr>
              <w:spacing w:after="40" w:before="40"/>
            </w:pPr>
            <w:r>
              <w:rPr>
                <w:rFonts w:ascii="Calibri" w:hAnsi="Calibri"/>
                <w:b w:val="0"/>
                <w:sz w:val="20"/>
              </w:rPr>
              <w:t>3.88%</w:t>
            </w:r>
          </w:p>
        </w:tc>
        <w:tc>
          <w:tcPr>
            <w:tcW w:type="dxa" w:w="2437"/>
            <w:shd w:val="clear" w:color="auto" w:fill="EEF3FA"/>
          </w:tcPr>
          <w:p>
            <w:pPr>
              <w:spacing w:after="40" w:before="40"/>
            </w:pPr>
            <w:r>
              <w:rPr>
                <w:rFonts w:ascii="Calibri" w:hAnsi="Calibri"/>
                <w:b w:val="0"/>
                <w:color w:val="CC0000"/>
                <w:sz w:val="20"/>
              </w:rPr>
              <w:t>-22 bps</w:t>
            </w:r>
          </w:p>
        </w:tc>
        <w:tc>
          <w:tcPr>
            <w:tcW w:type="dxa" w:w="2437"/>
            <w:shd w:val="clear" w:color="auto" w:fill="EEF3FA"/>
          </w:tcPr>
          <w:p>
            <w:pPr>
              <w:spacing w:after="40" w:before="40"/>
            </w:pPr>
            <w:r>
              <w:rPr>
                <w:rFonts w:ascii="Calibri" w:hAnsi="Calibri"/>
                <w:b w:val="0"/>
                <w:color w:val="CC0000"/>
                <w:sz w:val="20"/>
              </w:rPr>
              <w:t>-37 bps</w:t>
            </w:r>
          </w:p>
        </w:tc>
      </w:tr>
      <w:tr>
        <w:tc>
          <w:tcPr>
            <w:tcW w:type="dxa" w:w="2437"/>
          </w:tcPr>
          <w:p>
            <w:pPr>
              <w:spacing w:after="40" w:before="40"/>
            </w:pPr>
            <w:r>
              <w:rPr>
                <w:rFonts w:ascii="Calibri" w:hAnsi="Calibri"/>
                <w:b w:val="0"/>
                <w:sz w:val="20"/>
              </w:rPr>
              <w:t>10Y Bund Yield</w:t>
            </w:r>
          </w:p>
        </w:tc>
        <w:tc>
          <w:tcPr>
            <w:tcW w:type="dxa" w:w="2437"/>
          </w:tcPr>
          <w:p>
            <w:pPr>
              <w:spacing w:after="40" w:before="40"/>
            </w:pPr>
            <w:r>
              <w:rPr>
                <w:rFonts w:ascii="Calibri" w:hAnsi="Calibri"/>
                <w:b w:val="0"/>
                <w:sz w:val="20"/>
              </w:rPr>
              <w:t>2.30%</w:t>
            </w:r>
          </w:p>
        </w:tc>
        <w:tc>
          <w:tcPr>
            <w:tcW w:type="dxa" w:w="2437"/>
          </w:tcPr>
          <w:p>
            <w:pPr>
              <w:spacing w:after="40" w:before="40"/>
            </w:pPr>
            <w:r>
              <w:rPr>
                <w:rFonts w:ascii="Calibri" w:hAnsi="Calibri"/>
                <w:b w:val="0"/>
                <w:color w:val="CC0000"/>
                <w:sz w:val="20"/>
              </w:rPr>
              <w:t>-15 bps</w:t>
            </w:r>
          </w:p>
        </w:tc>
        <w:tc>
          <w:tcPr>
            <w:tcW w:type="dxa" w:w="2437"/>
          </w:tcPr>
          <w:p>
            <w:pPr>
              <w:spacing w:after="40" w:before="40"/>
            </w:pPr>
            <w:r>
              <w:rPr>
                <w:rFonts w:ascii="Calibri" w:hAnsi="Calibri"/>
                <w:b w:val="0"/>
                <w:color w:val="CC0000"/>
                <w:sz w:val="20"/>
              </w:rPr>
              <w:t>-25 bps</w:t>
            </w:r>
          </w:p>
        </w:tc>
      </w:tr>
      <w:tr>
        <w:tc>
          <w:tcPr>
            <w:tcW w:type="dxa" w:w="2437"/>
            <w:shd w:val="clear" w:color="auto" w:fill="EEF3FA"/>
          </w:tcPr>
          <w:p>
            <w:pPr>
              <w:spacing w:after="40" w:before="40"/>
            </w:pPr>
            <w:r>
              <w:rPr>
                <w:rFonts w:ascii="Calibri" w:hAnsi="Calibri"/>
                <w:b w:val="0"/>
                <w:sz w:val="20"/>
              </w:rPr>
              <w:t>Brent Crude</w:t>
            </w:r>
          </w:p>
        </w:tc>
        <w:tc>
          <w:tcPr>
            <w:tcW w:type="dxa" w:w="2437"/>
            <w:shd w:val="clear" w:color="auto" w:fill="EEF3FA"/>
          </w:tcPr>
          <w:p>
            <w:pPr>
              <w:spacing w:after="40" w:before="40"/>
            </w:pPr>
            <w:r>
              <w:rPr>
                <w:rFonts w:ascii="Calibri" w:hAnsi="Calibri"/>
                <w:b w:val="0"/>
                <w:sz w:val="20"/>
              </w:rPr>
              <w:t>72.50</w:t>
            </w:r>
          </w:p>
        </w:tc>
        <w:tc>
          <w:tcPr>
            <w:tcW w:type="dxa" w:w="2437"/>
            <w:shd w:val="clear" w:color="auto" w:fill="EEF3FA"/>
          </w:tcPr>
          <w:p>
            <w:pPr>
              <w:spacing w:after="40" w:before="40"/>
            </w:pPr>
            <w:r>
              <w:rPr>
                <w:rFonts w:ascii="Calibri" w:hAnsi="Calibri"/>
                <w:b w:val="0"/>
                <w:color w:val="CC0000"/>
                <w:sz w:val="20"/>
              </w:rPr>
              <w:t>-5.0%</w:t>
            </w:r>
          </w:p>
        </w:tc>
        <w:tc>
          <w:tcPr>
            <w:tcW w:type="dxa" w:w="2437"/>
            <w:shd w:val="clear" w:color="auto" w:fill="EEF3FA"/>
          </w:tcPr>
          <w:p>
            <w:pPr>
              <w:spacing w:after="40" w:before="40"/>
            </w:pPr>
            <w:r>
              <w:rPr>
                <w:rFonts w:ascii="Calibri" w:hAnsi="Calibri"/>
                <w:b w:val="0"/>
                <w:color w:val="CC0000"/>
                <w:sz w:val="20"/>
              </w:rPr>
              <w:t>-6.5%</w:t>
            </w:r>
          </w:p>
        </w:tc>
      </w:tr>
      <w:tr>
        <w:tc>
          <w:tcPr>
            <w:tcW w:type="dxa" w:w="2437"/>
          </w:tcPr>
          <w:p>
            <w:pPr>
              <w:spacing w:after="40" w:before="40"/>
            </w:pPr>
            <w:r>
              <w:rPr>
                <w:rFonts w:ascii="Calibri" w:hAnsi="Calibri"/>
                <w:b w:val="0"/>
                <w:sz w:val="20"/>
              </w:rPr>
              <w:t>Gold</w:t>
            </w:r>
          </w:p>
        </w:tc>
        <w:tc>
          <w:tcPr>
            <w:tcW w:type="dxa" w:w="2437"/>
          </w:tcPr>
          <w:p>
            <w:pPr>
              <w:spacing w:after="40" w:before="40"/>
            </w:pPr>
            <w:r>
              <w:rPr>
                <w:rFonts w:ascii="Calibri" w:hAnsi="Calibri"/>
                <w:b w:val="0"/>
                <w:sz w:val="20"/>
              </w:rPr>
              <w:t>2,360</w:t>
            </w:r>
          </w:p>
        </w:tc>
        <w:tc>
          <w:tcPr>
            <w:tcW w:type="dxa" w:w="2437"/>
          </w:tcPr>
          <w:p>
            <w:pPr>
              <w:spacing w:after="40" w:before="40"/>
            </w:pPr>
            <w:r>
              <w:rPr>
                <w:rFonts w:ascii="Calibri" w:hAnsi="Calibri"/>
                <w:b w:val="0"/>
                <w:color w:val="007A33"/>
                <w:sz w:val="20"/>
              </w:rPr>
              <w:t>+4.5%</w:t>
            </w:r>
          </w:p>
        </w:tc>
        <w:tc>
          <w:tcPr>
            <w:tcW w:type="dxa" w:w="2437"/>
          </w:tcPr>
          <w:p>
            <w:pPr>
              <w:spacing w:after="40" w:before="40"/>
            </w:pPr>
            <w:r>
              <w:rPr>
                <w:rFonts w:ascii="Calibri" w:hAnsi="Calibri"/>
                <w:b w:val="0"/>
                <w:color w:val="007A33"/>
                <w:sz w:val="20"/>
              </w:rPr>
              <w:t>+8.0%</w:t>
            </w:r>
          </w:p>
        </w:tc>
      </w:tr>
      <w:tr>
        <w:tc>
          <w:tcPr>
            <w:tcW w:type="dxa" w:w="2437"/>
            <w:shd w:val="clear" w:color="auto" w:fill="EEF3FA"/>
          </w:tcPr>
          <w:p>
            <w:pPr>
              <w:spacing w:after="40" w:before="40"/>
            </w:pPr>
            <w:r>
              <w:rPr>
                <w:rFonts w:ascii="Calibri" w:hAnsi="Calibri"/>
                <w:b w:val="0"/>
                <w:sz w:val="20"/>
              </w:rPr>
              <w:t>VIX</w:t>
            </w:r>
          </w:p>
        </w:tc>
        <w:tc>
          <w:tcPr>
            <w:tcW w:type="dxa" w:w="2437"/>
            <w:shd w:val="clear" w:color="auto" w:fill="EEF3FA"/>
          </w:tcPr>
          <w:p>
            <w:pPr>
              <w:spacing w:after="40" w:before="40"/>
            </w:pPr>
            <w:r>
              <w:rPr>
                <w:rFonts w:ascii="Calibri" w:hAnsi="Calibri"/>
                <w:b w:val="0"/>
                <w:sz w:val="20"/>
              </w:rPr>
              <w:t>25.5</w:t>
            </w:r>
          </w:p>
        </w:tc>
        <w:tc>
          <w:tcPr>
            <w:tcW w:type="dxa" w:w="2437"/>
            <w:shd w:val="clear" w:color="auto" w:fill="EEF3FA"/>
          </w:tcPr>
          <w:p>
            <w:pPr>
              <w:spacing w:after="40" w:before="40"/>
            </w:pPr>
            <w:r>
              <w:rPr>
                <w:rFonts w:ascii="Calibri" w:hAnsi="Calibri"/>
                <w:b w:val="0"/>
                <w:color w:val="007A33"/>
                <w:sz w:val="20"/>
              </w:rPr>
              <w:t>+45%</w:t>
            </w:r>
          </w:p>
        </w:tc>
        <w:tc>
          <w:tcPr>
            <w:tcW w:type="dxa" w:w="2437"/>
            <w:shd w:val="clear" w:color="auto" w:fill="EEF3FA"/>
          </w:tcPr>
          <w:p>
            <w:pPr>
              <w:spacing w:after="40" w:before="40"/>
            </w:pPr>
            <w:r>
              <w:rPr>
                <w:rFonts w:ascii="Calibri" w:hAnsi="Calibri"/>
                <w:b w:val="0"/>
                <w:color w:val="007A33"/>
                <w:sz w:val="20"/>
              </w:rPr>
              <w:t>+55%</w:t>
            </w:r>
          </w:p>
        </w:tc>
      </w:tr>
    </w:tbl>
    <w:p>
      <w:pPr>
        <w:spacing w:before="240" w:after="80"/>
        <w:pBdr>
          <w:bottom w:val="single" w:sz="6" w:space="1" w:color="00429B"/>
        </w:pBdr>
      </w:pPr>
      <w:r>
        <w:rPr>
          <w:rFonts w:ascii="Calibri" w:hAnsi="Calibri"/>
          <w:b/>
          <w:color w:val="00429B"/>
          <w:sz w:val="26"/>
        </w:rPr>
        <w:t>11. CUSTODIAN AND PEER INSTITUTION NEWS</w:t>
      </w:r>
    </w:p>
    <w:tbl>
      <w:tblPr>
        <w:tblStyle w:val="TableGrid"/>
        <w:tblW w:type="auto" w:w="0"/>
        <w:tblLook w:firstColumn="1" w:firstRow="1" w:lastColumn="0" w:lastRow="0" w:noHBand="0" w:noVBand="1" w:val="04A0"/>
      </w:tblPr>
      <w:tblGrid>
        <w:gridCol w:w="3250"/>
        <w:gridCol w:w="3250"/>
        <w:gridCol w:w="3250"/>
      </w:tblGrid>
      <w:tr>
        <w:tc>
          <w:tcPr>
            <w:tcW w:type="dxa" w:w="3250"/>
            <w:shd w:val="clear" w:color="auto" w:fill="00429B"/>
          </w:tcPr>
          <w:p>
            <w:pPr>
              <w:spacing w:after="40" w:before="40"/>
            </w:pPr>
            <w:r>
              <w:rPr>
                <w:rFonts w:ascii="Calibri" w:hAnsi="Calibri"/>
                <w:b/>
                <w:color w:val="FFFFFF"/>
                <w:sz w:val="20"/>
              </w:rPr>
              <w:t>Institution</w:t>
            </w:r>
          </w:p>
        </w:tc>
        <w:tc>
          <w:tcPr>
            <w:tcW w:type="dxa" w:w="3250"/>
            <w:shd w:val="clear" w:color="auto" w:fill="00429B"/>
          </w:tcPr>
          <w:p>
            <w:pPr>
              <w:spacing w:after="40" w:before="40"/>
            </w:pPr>
            <w:r>
              <w:rPr>
                <w:rFonts w:ascii="Calibri" w:hAnsi="Calibri"/>
                <w:b/>
                <w:color w:val="FFFFFF"/>
                <w:sz w:val="20"/>
              </w:rPr>
              <w:t>Key Development</w:t>
            </w:r>
          </w:p>
        </w:tc>
        <w:tc>
          <w:tcPr>
            <w:tcW w:type="dxa" w:w="3250"/>
            <w:shd w:val="clear" w:color="auto" w:fill="00429B"/>
          </w:tcPr>
          <w:p>
            <w:pPr>
              <w:spacing w:after="40" w:before="40"/>
            </w:pPr>
            <w:r>
              <w:rPr>
                <w:rFonts w:ascii="Calibri" w:hAnsi="Calibri"/>
                <w:b/>
                <w:color w:val="FFFFFF"/>
                <w:sz w:val="20"/>
              </w:rPr>
              <w:t>Significance</w:t>
            </w:r>
          </w:p>
        </w:tc>
      </w:tr>
      <w:tr>
        <w:tc>
          <w:tcPr>
            <w:tcW w:type="dxa" w:w="3250"/>
          </w:tcPr>
          <w:p>
            <w:pPr>
              <w:spacing w:after="40" w:before="40"/>
            </w:pPr>
            <w:r>
              <w:rPr>
                <w:rFonts w:ascii="Calibri" w:hAnsi="Calibri"/>
                <w:b w:val="0"/>
                <w:sz w:val="20"/>
              </w:rPr>
              <w:t>BNY (Bank of New York Mellon)</w:t>
            </w:r>
          </w:p>
        </w:tc>
        <w:tc>
          <w:tcPr>
            <w:tcW w:type="dxa" w:w="3250"/>
          </w:tcPr>
          <w:p>
            <w:pPr>
              <w:spacing w:after="40" w:before="40"/>
            </w:pPr>
            <w:r>
              <w:rPr>
                <w:rFonts w:ascii="Calibri" w:hAnsi="Calibri"/>
                <w:b w:val="0"/>
                <w:sz w:val="20"/>
              </w:rPr>
              <w:t>Launched tokenised money market fund custody and servicing in partnership with a major US asset manager on a permissioned Ethereum-compatible blockchain.</w:t>
            </w:r>
          </w:p>
        </w:tc>
        <w:tc>
          <w:tcPr>
            <w:tcW w:type="dxa" w:w="3250"/>
          </w:tcPr>
          <w:p>
            <w:pPr>
              <w:spacing w:after="40" w:before="40"/>
            </w:pPr>
            <w:r>
              <w:rPr>
                <w:rFonts w:ascii="Calibri" w:hAnsi="Calibri"/>
                <w:b w:val="0"/>
                <w:sz w:val="20"/>
              </w:rPr>
              <w:t>Positions BNY as the first major custodian to offer end-to-end tokenised fund servicing at scale, raising competitive pressure on peers.</w:t>
            </w:r>
          </w:p>
        </w:tc>
      </w:tr>
      <w:tr>
        <w:tc>
          <w:tcPr>
            <w:tcW w:type="dxa" w:w="3250"/>
            <w:shd w:val="clear" w:color="auto" w:fill="EEF3FA"/>
          </w:tcPr>
          <w:p>
            <w:pPr>
              <w:spacing w:after="40" w:before="40"/>
            </w:pPr>
            <w:r>
              <w:rPr>
                <w:rFonts w:ascii="Calibri" w:hAnsi="Calibri"/>
                <w:b w:val="0"/>
                <w:sz w:val="20"/>
              </w:rPr>
              <w:t>State Street Corporation</w:t>
            </w:r>
          </w:p>
        </w:tc>
        <w:tc>
          <w:tcPr>
            <w:tcW w:type="dxa" w:w="3250"/>
            <w:shd w:val="clear" w:color="auto" w:fill="EEF3FA"/>
          </w:tcPr>
          <w:p>
            <w:pPr>
              <w:spacing w:after="40" w:before="40"/>
            </w:pPr>
            <w:r>
              <w:rPr>
                <w:rFonts w:ascii="Calibri" w:hAnsi="Calibri"/>
                <w:b w:val="0"/>
                <w:sz w:val="20"/>
              </w:rPr>
              <w:t>Completed acquisition of Clearwater Analytics' fund administration servicing unit, adding approximately USD 150 billion in administered assets.</w:t>
            </w:r>
          </w:p>
        </w:tc>
        <w:tc>
          <w:tcPr>
            <w:tcW w:type="dxa" w:w="3250"/>
            <w:shd w:val="clear" w:color="auto" w:fill="EEF3FA"/>
          </w:tcPr>
          <w:p>
            <w:pPr>
              <w:spacing w:after="40" w:before="40"/>
            </w:pPr>
            <w:r>
              <w:rPr>
                <w:rFonts w:ascii="Calibri" w:hAnsi="Calibri"/>
                <w:b w:val="0"/>
                <w:sz w:val="20"/>
              </w:rPr>
              <w:t>Strengthens State Street's alternatives administration franchise, particularly in insurance and mid-market segments.</w:t>
            </w:r>
          </w:p>
        </w:tc>
      </w:tr>
      <w:tr>
        <w:tc>
          <w:tcPr>
            <w:tcW w:type="dxa" w:w="3250"/>
          </w:tcPr>
          <w:p>
            <w:pPr>
              <w:spacing w:after="40" w:before="40"/>
            </w:pPr>
            <w:r>
              <w:rPr>
                <w:rFonts w:ascii="Calibri" w:hAnsi="Calibri"/>
                <w:b w:val="0"/>
                <w:sz w:val="20"/>
              </w:rPr>
              <w:t>JPMorgan Chase and Co.</w:t>
            </w:r>
          </w:p>
        </w:tc>
        <w:tc>
          <w:tcPr>
            <w:tcW w:type="dxa" w:w="3250"/>
          </w:tcPr>
          <w:p>
            <w:pPr>
              <w:spacing w:after="40" w:before="40"/>
            </w:pPr>
            <w:r>
              <w:rPr>
                <w:rFonts w:ascii="Calibri" w:hAnsi="Calibri"/>
                <w:b w:val="0"/>
                <w:sz w:val="20"/>
              </w:rPr>
              <w:t>Expanded Kinexys (formerly Onyx) blockchain platform to support intraday repo settlement for institutional clients across three additional currencies.</w:t>
            </w:r>
          </w:p>
        </w:tc>
        <w:tc>
          <w:tcPr>
            <w:tcW w:type="dxa" w:w="3250"/>
          </w:tcPr>
          <w:p>
            <w:pPr>
              <w:spacing w:after="40" w:before="40"/>
            </w:pPr>
            <w:r>
              <w:rPr>
                <w:rFonts w:ascii="Calibri" w:hAnsi="Calibri"/>
                <w:b w:val="0"/>
                <w:sz w:val="20"/>
              </w:rPr>
              <w:t>Advances JPMorgan's DLT-based post-trade infrastructure, with potential to disrupt traditional tri-party repo custody models.</w:t>
            </w:r>
          </w:p>
        </w:tc>
      </w:tr>
      <w:tr>
        <w:tc>
          <w:tcPr>
            <w:tcW w:type="dxa" w:w="3250"/>
            <w:shd w:val="clear" w:color="auto" w:fill="EEF3FA"/>
          </w:tcPr>
          <w:p>
            <w:pPr>
              <w:spacing w:after="40" w:before="40"/>
            </w:pPr>
            <w:r>
              <w:rPr>
                <w:rFonts w:ascii="Calibri" w:hAnsi="Calibri"/>
                <w:b w:val="0"/>
                <w:sz w:val="20"/>
              </w:rPr>
              <w:t>Citigroup Inc. (Citi)</w:t>
            </w:r>
          </w:p>
        </w:tc>
        <w:tc>
          <w:tcPr>
            <w:tcW w:type="dxa" w:w="3250"/>
            <w:shd w:val="clear" w:color="auto" w:fill="EEF3FA"/>
          </w:tcPr>
          <w:p>
            <w:pPr>
              <w:spacing w:after="40" w:before="40"/>
            </w:pPr>
            <w:r>
              <w:rPr>
                <w:rFonts w:ascii="Calibri" w:hAnsi="Calibri"/>
                <w:b w:val="0"/>
                <w:sz w:val="20"/>
              </w:rPr>
              <w:t>Held Citi Securities Services investor day highlighting strong ETF servicing and depositary receipt pipeline, with continued investment in Citi Token Services.</w:t>
            </w:r>
          </w:p>
        </w:tc>
        <w:tc>
          <w:tcPr>
            <w:tcW w:type="dxa" w:w="3250"/>
            <w:shd w:val="clear" w:color="auto" w:fill="EEF3FA"/>
          </w:tcPr>
          <w:p>
            <w:pPr>
              <w:spacing w:after="40" w:before="40"/>
            </w:pPr>
            <w:r>
              <w:rPr>
                <w:rFonts w:ascii="Calibri" w:hAnsi="Calibri"/>
                <w:b w:val="0"/>
                <w:sz w:val="20"/>
              </w:rPr>
              <w:t>Signals Citi's intent to leverage tokenisation adjacency to deepen custody relationships and capture digital-native asset manager mandates.</w:t>
            </w:r>
          </w:p>
        </w:tc>
      </w:tr>
      <w:tr>
        <w:tc>
          <w:tcPr>
            <w:tcW w:type="dxa" w:w="3250"/>
          </w:tcPr>
          <w:p>
            <w:pPr>
              <w:spacing w:after="40" w:before="40"/>
            </w:pPr>
            <w:r>
              <w:rPr>
                <w:rFonts w:ascii="Calibri" w:hAnsi="Calibri"/>
                <w:b w:val="0"/>
                <w:sz w:val="20"/>
              </w:rPr>
              <w:t>HSBC Holdings plc</w:t>
            </w:r>
          </w:p>
        </w:tc>
        <w:tc>
          <w:tcPr>
            <w:tcW w:type="dxa" w:w="3250"/>
          </w:tcPr>
          <w:p>
            <w:pPr>
              <w:spacing w:after="40" w:before="40"/>
            </w:pPr>
            <w:r>
              <w:rPr>
                <w:rFonts w:ascii="Calibri" w:hAnsi="Calibri"/>
                <w:b w:val="0"/>
                <w:sz w:val="20"/>
              </w:rPr>
              <w:t>Announced consolidation of sub-custody network across 10 Asia-Pacific markets onto a single proprietary platform by end-2026.</w:t>
            </w:r>
          </w:p>
        </w:tc>
        <w:tc>
          <w:tcPr>
            <w:tcW w:type="dxa" w:w="3250"/>
          </w:tcPr>
          <w:p>
            <w:pPr>
              <w:spacing w:after="40" w:before="40"/>
            </w:pPr>
            <w:r>
              <w:rPr>
                <w:rFonts w:ascii="Calibri" w:hAnsi="Calibri"/>
                <w:b w:val="0"/>
                <w:sz w:val="20"/>
              </w:rPr>
              <w:t>Aims to reduce operational complexity and improve real-time data capability, potentially altering competitive dynamics for APAC custody mandates.</w:t>
            </w:r>
          </w:p>
        </w:tc>
      </w:tr>
      <w:tr>
        <w:tc>
          <w:tcPr>
            <w:tcW w:type="dxa" w:w="3250"/>
            <w:shd w:val="clear" w:color="auto" w:fill="EEF3FA"/>
          </w:tcPr>
          <w:p>
            <w:pPr>
              <w:spacing w:after="40" w:before="40"/>
            </w:pPr>
            <w:r>
              <w:rPr>
                <w:rFonts w:ascii="Calibri" w:hAnsi="Calibri"/>
                <w:b w:val="0"/>
                <w:sz w:val="20"/>
              </w:rPr>
              <w:t>BNP Paribas</w:t>
            </w:r>
          </w:p>
        </w:tc>
        <w:tc>
          <w:tcPr>
            <w:tcW w:type="dxa" w:w="3250"/>
            <w:shd w:val="clear" w:color="auto" w:fill="EEF3FA"/>
          </w:tcPr>
          <w:p>
            <w:pPr>
              <w:spacing w:after="40" w:before="40"/>
            </w:pPr>
            <w:r>
              <w:rPr>
                <w:rFonts w:ascii="Calibri" w:hAnsi="Calibri"/>
                <w:b w:val="0"/>
                <w:sz w:val="20"/>
              </w:rPr>
              <w:t>Launched an enhanced ESG data and reporting service for institutional investors within its Securities Services division, incorporating SFDR and EU Taxonomy alignment data.</w:t>
            </w:r>
          </w:p>
        </w:tc>
        <w:tc>
          <w:tcPr>
            <w:tcW w:type="dxa" w:w="3250"/>
            <w:shd w:val="clear" w:color="auto" w:fill="EEF3FA"/>
          </w:tcPr>
          <w:p>
            <w:pPr>
              <w:spacing w:after="40" w:before="40"/>
            </w:pPr>
            <w:r>
              <w:rPr>
                <w:rFonts w:ascii="Calibri" w:hAnsi="Calibri"/>
                <w:b w:val="0"/>
                <w:sz w:val="20"/>
              </w:rPr>
              <w:t>Responds to growing regulatory and investor demand for integrated sustainability reporting within custody and fund administration.</w:t>
            </w:r>
          </w:p>
        </w:tc>
      </w:tr>
      <w:tr>
        <w:tc>
          <w:tcPr>
            <w:tcW w:type="dxa" w:w="3250"/>
          </w:tcPr>
          <w:p>
            <w:pPr>
              <w:spacing w:after="40" w:before="40"/>
            </w:pPr>
            <w:r>
              <w:rPr>
                <w:rFonts w:ascii="Calibri" w:hAnsi="Calibri"/>
                <w:b w:val="0"/>
                <w:sz w:val="20"/>
              </w:rPr>
              <w:t>Northern Trust Corporation</w:t>
            </w:r>
          </w:p>
        </w:tc>
        <w:tc>
          <w:tcPr>
            <w:tcW w:type="dxa" w:w="3250"/>
          </w:tcPr>
          <w:p>
            <w:pPr>
              <w:spacing w:after="40" w:before="40"/>
            </w:pPr>
            <w:r>
              <w:rPr>
                <w:rFonts w:ascii="Calibri" w:hAnsi="Calibri"/>
                <w:b w:val="0"/>
                <w:sz w:val="20"/>
              </w:rPr>
              <w:t>Formed strategic partnership with a private markets data vendor to enhance PE and real asset fund administration with automated capital call processing and ESG integration.</w:t>
            </w:r>
          </w:p>
        </w:tc>
        <w:tc>
          <w:tcPr>
            <w:tcW w:type="dxa" w:w="3250"/>
          </w:tcPr>
          <w:p>
            <w:pPr>
              <w:spacing w:after="40" w:before="40"/>
            </w:pPr>
            <w:r>
              <w:rPr>
                <w:rFonts w:ascii="Calibri" w:hAnsi="Calibri"/>
                <w:b w:val="0"/>
                <w:sz w:val="20"/>
              </w:rPr>
              <w:t>Reinforces Northern Trust's focus on alternatives servicing, a high-growth segment where differentiation is increasingly data-driven.</w:t>
            </w:r>
          </w:p>
        </w:tc>
      </w:tr>
      <w:tr>
        <w:tc>
          <w:tcPr>
            <w:tcW w:type="dxa" w:w="3250"/>
            <w:shd w:val="clear" w:color="auto" w:fill="EEF3FA"/>
          </w:tcPr>
          <w:p>
            <w:pPr>
              <w:spacing w:after="40" w:before="40"/>
            </w:pPr>
            <w:r>
              <w:rPr>
                <w:rFonts w:ascii="Calibri" w:hAnsi="Calibri"/>
                <w:b w:val="0"/>
                <w:sz w:val="20"/>
              </w:rPr>
              <w:t>Deutsche Bank AG</w:t>
            </w:r>
          </w:p>
        </w:tc>
        <w:tc>
          <w:tcPr>
            <w:tcW w:type="dxa" w:w="3250"/>
            <w:shd w:val="clear" w:color="auto" w:fill="EEF3FA"/>
          </w:tcPr>
          <w:p>
            <w:pPr>
              <w:spacing w:after="40" w:before="40"/>
            </w:pPr>
            <w:r>
              <w:rPr>
                <w:rFonts w:ascii="Calibri" w:hAnsi="Calibri"/>
                <w:b w:val="0"/>
                <w:sz w:val="20"/>
              </w:rPr>
              <w:t>Securities Services division expanded its agency securities lending programme in the European market, adding new borrower relationships and automated recall capabilities.</w:t>
            </w:r>
          </w:p>
        </w:tc>
        <w:tc>
          <w:tcPr>
            <w:tcW w:type="dxa" w:w="3250"/>
            <w:shd w:val="clear" w:color="auto" w:fill="EEF3FA"/>
          </w:tcPr>
          <w:p>
            <w:pPr>
              <w:spacing w:after="40" w:before="40"/>
            </w:pPr>
            <w:r>
              <w:rPr>
                <w:rFonts w:ascii="Calibri" w:hAnsi="Calibri"/>
                <w:b w:val="0"/>
                <w:sz w:val="20"/>
              </w:rPr>
              <w:t>Grows Deutsche Bank's revenue base in securities lending and enhances its proposition for European institutional custody clients.</w:t>
            </w:r>
          </w:p>
        </w:tc>
      </w:tr>
      <w:tr>
        <w:tc>
          <w:tcPr>
            <w:tcW w:type="dxa" w:w="3250"/>
          </w:tcPr>
          <w:p>
            <w:pPr>
              <w:spacing w:after="40" w:before="40"/>
            </w:pPr>
            <w:r>
              <w:rPr>
                <w:rFonts w:ascii="Calibri" w:hAnsi="Calibri"/>
                <w:b w:val="0"/>
                <w:sz w:val="20"/>
              </w:rPr>
              <w:t>UBS Group AG</w:t>
            </w:r>
          </w:p>
        </w:tc>
        <w:tc>
          <w:tcPr>
            <w:tcW w:type="dxa" w:w="3250"/>
          </w:tcPr>
          <w:p>
            <w:pPr>
              <w:spacing w:after="40" w:before="40"/>
            </w:pPr>
            <w:r>
              <w:rPr>
                <w:rFonts w:ascii="Calibri" w:hAnsi="Calibri"/>
                <w:b w:val="0"/>
                <w:sz w:val="20"/>
              </w:rPr>
              <w:t>Progressed integration of Credit Suisse's fund services book onto UBS's global custody platform, with migration of Swiss-domiciled funds substantially complete.</w:t>
            </w:r>
          </w:p>
        </w:tc>
        <w:tc>
          <w:tcPr>
            <w:tcW w:type="dxa" w:w="3250"/>
          </w:tcPr>
          <w:p>
            <w:pPr>
              <w:spacing w:after="40" w:before="40"/>
            </w:pPr>
            <w:r>
              <w:rPr>
                <w:rFonts w:ascii="Calibri" w:hAnsi="Calibri"/>
                <w:b w:val="0"/>
                <w:sz w:val="20"/>
              </w:rPr>
              <w:t>Critical milestone in the post-merger integration; successful migration reduces operational risk and client attrition probability.</w:t>
            </w:r>
          </w:p>
        </w:tc>
      </w:tr>
      <w:tr>
        <w:tc>
          <w:tcPr>
            <w:tcW w:type="dxa" w:w="3250"/>
            <w:shd w:val="clear" w:color="auto" w:fill="EEF3FA"/>
          </w:tcPr>
          <w:p>
            <w:pPr>
              <w:spacing w:after="40" w:before="40"/>
            </w:pPr>
            <w:r>
              <w:rPr>
                <w:rFonts w:ascii="Calibri" w:hAnsi="Calibri"/>
                <w:b w:val="0"/>
                <w:sz w:val="20"/>
              </w:rPr>
              <w:t>RBC Investor and Treasury Services</w:t>
            </w:r>
          </w:p>
        </w:tc>
        <w:tc>
          <w:tcPr>
            <w:tcW w:type="dxa" w:w="3250"/>
            <w:shd w:val="clear" w:color="auto" w:fill="EEF3FA"/>
          </w:tcPr>
          <w:p>
            <w:pPr>
              <w:spacing w:after="40" w:before="40"/>
            </w:pPr>
            <w:r>
              <w:rPr>
                <w:rFonts w:ascii="Calibri" w:hAnsi="Calibri"/>
                <w:b w:val="0"/>
                <w:sz w:val="20"/>
              </w:rPr>
              <w:t>Announced expansion of data analytics and client reporting capabilities with a new cloud-based platform for institutional fund clients.</w:t>
            </w:r>
          </w:p>
        </w:tc>
        <w:tc>
          <w:tcPr>
            <w:tcW w:type="dxa" w:w="3250"/>
            <w:shd w:val="clear" w:color="auto" w:fill="EEF3FA"/>
          </w:tcPr>
          <w:p>
            <w:pPr>
              <w:spacing w:after="40" w:before="40"/>
            </w:pPr>
            <w:r>
              <w:rPr>
                <w:rFonts w:ascii="Calibri" w:hAnsi="Calibri"/>
                <w:b w:val="0"/>
                <w:sz w:val="20"/>
              </w:rPr>
              <w:t>Strengthens competitive positioning in client experience and digital reporting, an area of increasing differentiation among global custodians.</w:t>
            </w:r>
          </w:p>
        </w:tc>
      </w:tr>
      <w:tr>
        <w:tc>
          <w:tcPr>
            <w:tcW w:type="dxa" w:w="3250"/>
          </w:tcPr>
          <w:p>
            <w:pPr>
              <w:spacing w:after="40" w:before="40"/>
            </w:pPr>
            <w:r>
              <w:rPr>
                <w:rFonts w:ascii="Calibri" w:hAnsi="Calibri"/>
                <w:b w:val="0"/>
                <w:sz w:val="20"/>
              </w:rPr>
              <w:t>Societe Generale Securities Services</w:t>
            </w:r>
          </w:p>
        </w:tc>
        <w:tc>
          <w:tcPr>
            <w:tcW w:type="dxa" w:w="3250"/>
          </w:tcPr>
          <w:p>
            <w:pPr>
              <w:spacing w:after="40" w:before="40"/>
            </w:pPr>
            <w:r>
              <w:rPr>
                <w:rFonts w:ascii="Calibri" w:hAnsi="Calibri"/>
                <w:b w:val="0"/>
                <w:sz w:val="20"/>
              </w:rPr>
              <w:t>Rebranded post-trade services under the unified SGSS brand and announced new middle-office outsourcing mandate wins in the French insurance sector.</w:t>
            </w:r>
          </w:p>
        </w:tc>
        <w:tc>
          <w:tcPr>
            <w:tcW w:type="dxa" w:w="3250"/>
          </w:tcPr>
          <w:p>
            <w:pPr>
              <w:spacing w:after="40" w:before="40"/>
            </w:pPr>
            <w:r>
              <w:rPr>
                <w:rFonts w:ascii="Calibri" w:hAnsi="Calibri"/>
                <w:b w:val="0"/>
                <w:sz w:val="20"/>
              </w:rPr>
              <w:t>Simplifies market positioning and demonstrates continued momentum in the European outsourcing market.</w:t>
            </w:r>
          </w:p>
        </w:tc>
      </w:tr>
      <w:tr>
        <w:tc>
          <w:tcPr>
            <w:tcW w:type="dxa" w:w="3250"/>
            <w:shd w:val="clear" w:color="auto" w:fill="EEF3FA"/>
          </w:tcPr>
          <w:p>
            <w:pPr>
              <w:spacing w:after="40" w:before="40"/>
            </w:pPr>
            <w:r>
              <w:rPr>
                <w:rFonts w:ascii="Calibri" w:hAnsi="Calibri"/>
                <w:b w:val="0"/>
                <w:sz w:val="20"/>
              </w:rPr>
              <w:t>Standard Chartered plc</w:t>
            </w:r>
          </w:p>
        </w:tc>
        <w:tc>
          <w:tcPr>
            <w:tcW w:type="dxa" w:w="3250"/>
            <w:shd w:val="clear" w:color="auto" w:fill="EEF3FA"/>
          </w:tcPr>
          <w:p>
            <w:pPr>
              <w:spacing w:after="40" w:before="40"/>
            </w:pPr>
            <w:r>
              <w:rPr>
                <w:rFonts w:ascii="Calibri" w:hAnsi="Calibri"/>
                <w:b w:val="0"/>
                <w:sz w:val="20"/>
              </w:rPr>
              <w:t>Expanded digital asset custody capabilities in the UAE and Singapore through its Zodia Custody joint venture, adding support for additional token standards.</w:t>
            </w:r>
          </w:p>
        </w:tc>
        <w:tc>
          <w:tcPr>
            <w:tcW w:type="dxa" w:w="3250"/>
            <w:shd w:val="clear" w:color="auto" w:fill="EEF3FA"/>
          </w:tcPr>
          <w:p>
            <w:pPr>
              <w:spacing w:after="40" w:before="40"/>
            </w:pPr>
            <w:r>
              <w:rPr>
                <w:rFonts w:ascii="Calibri" w:hAnsi="Calibri"/>
                <w:b w:val="0"/>
                <w:sz w:val="20"/>
              </w:rPr>
              <w:t>Deepens Standard Chartered's footprint in key digital asset hubs, targeting institutional demand in Asia and the Middle East.</w:t>
            </w:r>
          </w:p>
        </w:tc>
      </w:tr>
      <w:tr>
        <w:tc>
          <w:tcPr>
            <w:tcW w:type="dxa" w:w="3250"/>
          </w:tcPr>
          <w:p>
            <w:pPr>
              <w:spacing w:after="40" w:before="40"/>
            </w:pPr>
            <w:r>
              <w:rPr>
                <w:rFonts w:ascii="Calibri" w:hAnsi="Calibri"/>
                <w:b w:val="0"/>
                <w:sz w:val="20"/>
              </w:rPr>
              <w:t>SIX Group</w:t>
            </w:r>
          </w:p>
        </w:tc>
        <w:tc>
          <w:tcPr>
            <w:tcW w:type="dxa" w:w="3250"/>
          </w:tcPr>
          <w:p>
            <w:pPr>
              <w:spacing w:after="40" w:before="40"/>
            </w:pPr>
            <w:r>
              <w:rPr>
                <w:rFonts w:ascii="Calibri" w:hAnsi="Calibri"/>
                <w:b w:val="0"/>
                <w:sz w:val="20"/>
              </w:rPr>
              <w:t>Swiss Digital Exchange (SDX) processed its first cross-border tokenised bond settlement with a non-Swiss counterparty, in collaboration with a European CSD.</w:t>
            </w:r>
          </w:p>
        </w:tc>
        <w:tc>
          <w:tcPr>
            <w:tcW w:type="dxa" w:w="3250"/>
          </w:tcPr>
          <w:p>
            <w:pPr>
              <w:spacing w:after="40" w:before="40"/>
            </w:pPr>
            <w:r>
              <w:rPr>
                <w:rFonts w:ascii="Calibri" w:hAnsi="Calibri"/>
                <w:b w:val="0"/>
                <w:sz w:val="20"/>
              </w:rPr>
              <w:t>Demonstrates interoperability of DLT-based CSD infrastructure, a precondition for broader adoption of tokenised securities settlement.</w:t>
            </w:r>
          </w:p>
        </w:tc>
      </w:tr>
      <w:tr>
        <w:tc>
          <w:tcPr>
            <w:tcW w:type="dxa" w:w="3250"/>
            <w:shd w:val="clear" w:color="auto" w:fill="EEF3FA"/>
          </w:tcPr>
          <w:p>
            <w:pPr>
              <w:spacing w:after="40" w:before="40"/>
            </w:pPr>
            <w:r>
              <w:rPr>
                <w:rFonts w:ascii="Calibri" w:hAnsi="Calibri"/>
                <w:b w:val="0"/>
                <w:sz w:val="20"/>
              </w:rPr>
              <w:t>Brown Brothers Harriman and Co.</w:t>
            </w:r>
          </w:p>
        </w:tc>
        <w:tc>
          <w:tcPr>
            <w:tcW w:type="dxa" w:w="3250"/>
            <w:shd w:val="clear" w:color="auto" w:fill="EEF3FA"/>
          </w:tcPr>
          <w:p>
            <w:pPr>
              <w:spacing w:after="40" w:before="40"/>
            </w:pPr>
            <w:r>
              <w:rPr>
                <w:rFonts w:ascii="Calibri" w:hAnsi="Calibri"/>
                <w:b w:val="0"/>
                <w:sz w:val="20"/>
              </w:rPr>
              <w:t>Enhanced its Infomediary data management platform with new AI-powered data quality and exception management tools for ETF servicing clients.</w:t>
            </w:r>
          </w:p>
        </w:tc>
        <w:tc>
          <w:tcPr>
            <w:tcW w:type="dxa" w:w="3250"/>
            <w:shd w:val="clear" w:color="auto" w:fill="EEF3FA"/>
          </w:tcPr>
          <w:p>
            <w:pPr>
              <w:spacing w:after="40" w:before="40"/>
            </w:pPr>
            <w:r>
              <w:rPr>
                <w:rFonts w:ascii="Calibri" w:hAnsi="Calibri"/>
                <w:b w:val="0"/>
                <w:sz w:val="20"/>
              </w:rPr>
              <w:t>Positions BBH to capture efficiency gains in ETF administration, a segment experiencing rapid AUM growth globally.</w:t>
            </w:r>
          </w:p>
        </w:tc>
      </w:tr>
      <w:tr>
        <w:tc>
          <w:tcPr>
            <w:tcW w:type="dxa" w:w="3250"/>
          </w:tcPr>
          <w:p>
            <w:pPr>
              <w:spacing w:after="40" w:before="40"/>
            </w:pPr>
            <w:r>
              <w:rPr>
                <w:rFonts w:ascii="Calibri" w:hAnsi="Calibri"/>
                <w:b w:val="0"/>
                <w:sz w:val="20"/>
              </w:rPr>
              <w:t>Clearstream</w:t>
            </w:r>
          </w:p>
        </w:tc>
        <w:tc>
          <w:tcPr>
            <w:tcW w:type="dxa" w:w="3250"/>
          </w:tcPr>
          <w:p>
            <w:pPr>
              <w:spacing w:after="40" w:before="40"/>
            </w:pPr>
            <w:r>
              <w:rPr>
                <w:rFonts w:ascii="Calibri" w:hAnsi="Calibri"/>
                <w:b w:val="0"/>
                <w:sz w:val="20"/>
              </w:rPr>
              <w:t>Announced expanded connectivity for digital asset settlement through its D7 digital post-trade platform, now supporting tokenised corporate bonds from three additional issuers.</w:t>
            </w:r>
          </w:p>
        </w:tc>
        <w:tc>
          <w:tcPr>
            <w:tcW w:type="dxa" w:w="3250"/>
          </w:tcPr>
          <w:p>
            <w:pPr>
              <w:spacing w:after="40" w:before="40"/>
            </w:pPr>
            <w:r>
              <w:rPr>
                <w:rFonts w:ascii="Calibri" w:hAnsi="Calibri"/>
                <w:b w:val="0"/>
                <w:sz w:val="20"/>
              </w:rPr>
              <w:t>Advances Clearstream's strategy to become the CSD of record for tokenised European securities, creating new servicing revenue streams.</w:t>
            </w:r>
          </w:p>
        </w:tc>
      </w:tr>
      <w:tr>
        <w:tc>
          <w:tcPr>
            <w:tcW w:type="dxa" w:w="3250"/>
            <w:shd w:val="clear" w:color="auto" w:fill="EEF3FA"/>
          </w:tcPr>
          <w:p>
            <w:pPr>
              <w:spacing w:after="40" w:before="40"/>
            </w:pPr>
            <w:r>
              <w:rPr>
                <w:rFonts w:ascii="Calibri" w:hAnsi="Calibri"/>
                <w:b w:val="0"/>
                <w:sz w:val="20"/>
              </w:rPr>
              <w:t>Euroclear</w:t>
            </w:r>
          </w:p>
        </w:tc>
        <w:tc>
          <w:tcPr>
            <w:tcW w:type="dxa" w:w="3250"/>
            <w:shd w:val="clear" w:color="auto" w:fill="EEF3FA"/>
          </w:tcPr>
          <w:p>
            <w:pPr>
              <w:spacing w:after="40" w:before="40"/>
            </w:pPr>
            <w:r>
              <w:rPr>
                <w:rFonts w:ascii="Calibri" w:hAnsi="Calibri"/>
                <w:b w:val="0"/>
                <w:sz w:val="20"/>
              </w:rPr>
              <w:t>Published its updated roadmap for CSDR settlement discipline compliance, reporting a further decline in settlement fails penalties across its platform since T plus 1 went live in the US.</w:t>
            </w:r>
          </w:p>
        </w:tc>
        <w:tc>
          <w:tcPr>
            <w:tcW w:type="dxa" w:w="3250"/>
            <w:shd w:val="clear" w:color="auto" w:fill="EEF3FA"/>
          </w:tcPr>
          <w:p>
            <w:pPr>
              <w:spacing w:after="40" w:before="40"/>
            </w:pPr>
            <w:r>
              <w:rPr>
                <w:rFonts w:ascii="Calibri" w:hAnsi="Calibri"/>
                <w:b w:val="0"/>
                <w:sz w:val="20"/>
              </w:rPr>
              <w:t>Demonstrates improving settlement efficiency within Euroclear's ecosystem, though European T plus 1 migration remains years away.</w:t>
            </w:r>
          </w:p>
        </w:tc>
      </w:tr>
      <w:tr>
        <w:tc>
          <w:tcPr>
            <w:tcW w:type="dxa" w:w="3250"/>
          </w:tcPr>
          <w:p>
            <w:pPr>
              <w:spacing w:after="40" w:before="40"/>
            </w:pPr>
            <w:r>
              <w:rPr>
                <w:rFonts w:ascii="Calibri" w:hAnsi="Calibri"/>
                <w:b w:val="0"/>
                <w:sz w:val="20"/>
              </w:rPr>
              <w:t>CIBC Mellon</w:t>
            </w:r>
          </w:p>
        </w:tc>
        <w:tc>
          <w:tcPr>
            <w:tcW w:type="dxa" w:w="3250"/>
          </w:tcPr>
          <w:p>
            <w:pPr>
              <w:spacing w:after="40" w:before="40"/>
            </w:pPr>
            <w:r>
              <w:rPr>
                <w:rFonts w:ascii="Calibri" w:hAnsi="Calibri"/>
                <w:b w:val="0"/>
                <w:sz w:val="20"/>
              </w:rPr>
              <w:t>Responded to OSC/CSA consultation on NI 24-102 amendments extending T plus 1 to Canadian fixed income, flagging operational readiness considerations for market participants.</w:t>
            </w:r>
          </w:p>
        </w:tc>
        <w:tc>
          <w:tcPr>
            <w:tcW w:type="dxa" w:w="3250"/>
          </w:tcPr>
          <w:p>
            <w:pPr>
              <w:spacing w:after="40" w:before="40"/>
            </w:pPr>
            <w:r>
              <w:rPr>
                <w:rFonts w:ascii="Calibri" w:hAnsi="Calibri"/>
                <w:b w:val="0"/>
                <w:sz w:val="20"/>
              </w:rPr>
              <w:t>Highlights CIBC Mellon's role in shaping Canadian market structure policy and its direct exposure to settlement cycle reform implementation.</w:t>
            </w:r>
          </w:p>
        </w:tc>
      </w:tr>
      <w:tr>
        <w:tc>
          <w:tcPr>
            <w:tcW w:type="dxa" w:w="3250"/>
            <w:shd w:val="clear" w:color="auto" w:fill="EEF3FA"/>
          </w:tcPr>
          <w:p>
            <w:pPr>
              <w:spacing w:after="40" w:before="40"/>
            </w:pPr>
            <w:r>
              <w:rPr>
                <w:rFonts w:ascii="Calibri" w:hAnsi="Calibri"/>
                <w:b w:val="0"/>
                <w:sz w:val="20"/>
              </w:rPr>
              <w:t>Coinbase Custody (Coinbase Prime)</w:t>
            </w:r>
          </w:p>
        </w:tc>
        <w:tc>
          <w:tcPr>
            <w:tcW w:type="dxa" w:w="3250"/>
            <w:shd w:val="clear" w:color="auto" w:fill="EEF3FA"/>
          </w:tcPr>
          <w:p>
            <w:pPr>
              <w:spacing w:after="40" w:before="40"/>
            </w:pPr>
            <w:r>
              <w:rPr>
                <w:rFonts w:ascii="Calibri" w:hAnsi="Calibri"/>
                <w:b w:val="0"/>
                <w:sz w:val="20"/>
              </w:rPr>
              <w:t>Secured additional state-level trust licenses in the US and reported record Q1 institutional custody inflows driven by demand for Bitcoin and Ethereum staking services.</w:t>
            </w:r>
          </w:p>
        </w:tc>
        <w:tc>
          <w:tcPr>
            <w:tcW w:type="dxa" w:w="3250"/>
            <w:shd w:val="clear" w:color="auto" w:fill="EEF3FA"/>
          </w:tcPr>
          <w:p>
            <w:pPr>
              <w:spacing w:after="40" w:before="40"/>
            </w:pPr>
            <w:r>
              <w:rPr>
                <w:rFonts w:ascii="Calibri" w:hAnsi="Calibri"/>
                <w:b w:val="0"/>
                <w:sz w:val="20"/>
              </w:rPr>
              <w:t>Reinforces Coinbase's position as the leading US-regulated digital asset custodian, benefiting from clearer regulatory frameworks.</w:t>
            </w:r>
          </w:p>
        </w:tc>
      </w:tr>
      <w:tr>
        <w:tc>
          <w:tcPr>
            <w:tcW w:type="dxa" w:w="3250"/>
          </w:tcPr>
          <w:p>
            <w:pPr>
              <w:spacing w:after="40" w:before="40"/>
            </w:pPr>
            <w:r>
              <w:rPr>
                <w:rFonts w:ascii="Calibri" w:hAnsi="Calibri"/>
                <w:b w:val="0"/>
                <w:sz w:val="20"/>
              </w:rPr>
              <w:t>BitGo</w:t>
            </w:r>
          </w:p>
        </w:tc>
        <w:tc>
          <w:tcPr>
            <w:tcW w:type="dxa" w:w="3250"/>
          </w:tcPr>
          <w:p>
            <w:pPr>
              <w:spacing w:after="40" w:before="40"/>
            </w:pPr>
            <w:r>
              <w:rPr>
                <w:rFonts w:ascii="Calibri" w:hAnsi="Calibri"/>
                <w:b w:val="0"/>
                <w:sz w:val="20"/>
              </w:rPr>
              <w:t>Announced a qualified custodian designation from an additional US state regulator and launched multi-chain staking-as-a-service for institutional clients.</w:t>
            </w:r>
          </w:p>
        </w:tc>
        <w:tc>
          <w:tcPr>
            <w:tcW w:type="dxa" w:w="3250"/>
          </w:tcPr>
          <w:p>
            <w:pPr>
              <w:spacing w:after="40" w:before="40"/>
            </w:pPr>
            <w:r>
              <w:rPr>
                <w:rFonts w:ascii="Calibri" w:hAnsi="Calibri"/>
                <w:b w:val="0"/>
                <w:sz w:val="20"/>
              </w:rPr>
              <w:t>Expands BitGo's regulatory perimeter and revenue diversification, strengthening its challenge to traditional custodians in digital assets.</w:t>
            </w:r>
          </w:p>
        </w:tc>
      </w:tr>
      <w:tr>
        <w:tc>
          <w:tcPr>
            <w:tcW w:type="dxa" w:w="3250"/>
            <w:shd w:val="clear" w:color="auto" w:fill="EEF3FA"/>
          </w:tcPr>
          <w:p>
            <w:pPr>
              <w:spacing w:after="40" w:before="40"/>
            </w:pPr>
            <w:r>
              <w:rPr>
                <w:rFonts w:ascii="Calibri" w:hAnsi="Calibri"/>
                <w:b w:val="0"/>
                <w:sz w:val="20"/>
              </w:rPr>
              <w:t>Fidelity Digital Assets</w:t>
            </w:r>
          </w:p>
        </w:tc>
        <w:tc>
          <w:tcPr>
            <w:tcW w:type="dxa" w:w="3250"/>
            <w:shd w:val="clear" w:color="auto" w:fill="EEF3FA"/>
          </w:tcPr>
          <w:p>
            <w:pPr>
              <w:spacing w:after="40" w:before="40"/>
            </w:pPr>
            <w:r>
              <w:rPr>
                <w:rFonts w:ascii="Calibri" w:hAnsi="Calibri"/>
                <w:b w:val="0"/>
                <w:sz w:val="20"/>
              </w:rPr>
              <w:t>Expanded its institutional digital asset custody platform to support tokenised Treasury fund products, building on Fidelity's broader asset management capabilities.</w:t>
            </w:r>
          </w:p>
        </w:tc>
        <w:tc>
          <w:tcPr>
            <w:tcW w:type="dxa" w:w="3250"/>
            <w:shd w:val="clear" w:color="auto" w:fill="EEF3FA"/>
          </w:tcPr>
          <w:p>
            <w:pPr>
              <w:spacing w:after="40" w:before="40"/>
            </w:pPr>
            <w:r>
              <w:rPr>
                <w:rFonts w:ascii="Calibri" w:hAnsi="Calibri"/>
                <w:b w:val="0"/>
                <w:sz w:val="20"/>
              </w:rPr>
              <w:t>Creates a vertically integrated proposition spanning fund management, tokenisation, and digital custody — a model traditional custodians must monitor.</w:t>
            </w:r>
          </w:p>
        </w:tc>
      </w:tr>
      <w:tr>
        <w:tc>
          <w:tcPr>
            <w:tcW w:type="dxa" w:w="3250"/>
          </w:tcPr>
          <w:p>
            <w:pPr>
              <w:spacing w:after="40" w:before="40"/>
            </w:pPr>
            <w:r>
              <w:rPr>
                <w:rFonts w:ascii="Calibri" w:hAnsi="Calibri"/>
                <w:b w:val="0"/>
                <w:sz w:val="20"/>
              </w:rPr>
              <w:t>Anchorage Digital</w:t>
            </w:r>
          </w:p>
        </w:tc>
        <w:tc>
          <w:tcPr>
            <w:tcW w:type="dxa" w:w="3250"/>
          </w:tcPr>
          <w:p>
            <w:pPr>
              <w:spacing w:after="40" w:before="40"/>
            </w:pPr>
            <w:r>
              <w:rPr>
                <w:rFonts w:ascii="Calibri" w:hAnsi="Calibri"/>
                <w:b w:val="0"/>
                <w:sz w:val="20"/>
              </w:rPr>
              <w:t>Received expanded approval from the OCC for additional digital asset custody and trading activities under its federal bank charter.</w:t>
            </w:r>
          </w:p>
        </w:tc>
        <w:tc>
          <w:tcPr>
            <w:tcW w:type="dxa" w:w="3250"/>
          </w:tcPr>
          <w:p>
            <w:pPr>
              <w:spacing w:after="40" w:before="40"/>
            </w:pPr>
            <w:r>
              <w:rPr>
                <w:rFonts w:ascii="Calibri" w:hAnsi="Calibri"/>
                <w:b w:val="0"/>
                <w:sz w:val="20"/>
              </w:rPr>
              <w:t>Solidifies Anchorage's unique position as a federally chartered digital asset bank, providing regulatory certainty valued by institutional allocators.</w:t>
            </w:r>
          </w:p>
        </w:tc>
      </w:tr>
      <w:tr>
        <w:tc>
          <w:tcPr>
            <w:tcW w:type="dxa" w:w="3250"/>
            <w:shd w:val="clear" w:color="auto" w:fill="EEF3FA"/>
          </w:tcPr>
          <w:p>
            <w:pPr>
              <w:spacing w:after="40" w:before="40"/>
            </w:pPr>
            <w:r>
              <w:rPr>
                <w:rFonts w:ascii="Calibri" w:hAnsi="Calibri"/>
                <w:b w:val="0"/>
                <w:sz w:val="20"/>
              </w:rPr>
              <w:t>Fireblocks</w:t>
            </w:r>
          </w:p>
        </w:tc>
        <w:tc>
          <w:tcPr>
            <w:tcW w:type="dxa" w:w="3250"/>
            <w:shd w:val="clear" w:color="auto" w:fill="EEF3FA"/>
          </w:tcPr>
          <w:p>
            <w:pPr>
              <w:spacing w:after="40" w:before="40"/>
            </w:pPr>
            <w:r>
              <w:rPr>
                <w:rFonts w:ascii="Calibri" w:hAnsi="Calibri"/>
                <w:b w:val="0"/>
                <w:sz w:val="20"/>
              </w:rPr>
              <w:t>Launched a new institutional-grade wallet infrastructure product enabling custodians and banks to offer white-labelled digital asset custody under their own brand.</w:t>
            </w:r>
          </w:p>
        </w:tc>
        <w:tc>
          <w:tcPr>
            <w:tcW w:type="dxa" w:w="3250"/>
            <w:shd w:val="clear" w:color="auto" w:fill="EEF3FA"/>
          </w:tcPr>
          <w:p>
            <w:pPr>
              <w:spacing w:after="40" w:before="40"/>
            </w:pPr>
            <w:r>
              <w:rPr>
                <w:rFonts w:ascii="Calibri" w:hAnsi="Calibri"/>
                <w:b w:val="0"/>
                <w:sz w:val="20"/>
              </w:rPr>
              <w:t>Positions Fireblocks as critical infrastructure for traditional financial institutions entering digital asset custody without building proprietary technology.</w:t>
            </w:r>
          </w:p>
        </w:tc>
      </w:tr>
      <w:tr>
        <w:tc>
          <w:tcPr>
            <w:tcW w:type="dxa" w:w="3250"/>
          </w:tcPr>
          <w:p>
            <w:pPr>
              <w:spacing w:after="40" w:before="40"/>
            </w:pPr>
            <w:r>
              <w:rPr>
                <w:rFonts w:ascii="Calibri" w:hAnsi="Calibri"/>
                <w:b w:val="0"/>
                <w:sz w:val="20"/>
              </w:rPr>
              <w:t>Gemini Custody</w:t>
            </w:r>
          </w:p>
        </w:tc>
        <w:tc>
          <w:tcPr>
            <w:tcW w:type="dxa" w:w="3250"/>
          </w:tcPr>
          <w:p>
            <w:pPr>
              <w:spacing w:after="40" w:before="40"/>
            </w:pPr>
            <w:r>
              <w:rPr>
                <w:rFonts w:ascii="Calibri" w:hAnsi="Calibri"/>
                <w:b w:val="0"/>
                <w:sz w:val="20"/>
              </w:rPr>
              <w:t>No material news this month.</w:t>
            </w:r>
          </w:p>
        </w:tc>
        <w:tc>
          <w:tcPr>
            <w:tcW w:type="dxa" w:w="3250"/>
          </w:tcPr>
          <w:p>
            <w:pPr>
              <w:spacing w:after="40" w:before="40"/>
            </w:pPr>
            <w:r>
              <w:rPr>
                <w:rFonts w:ascii="Calibri" w:hAnsi="Calibri"/>
                <w:b w:val="0"/>
                <w:sz w:val="20"/>
              </w:rPr>
              <w:t>—</w:t>
            </w:r>
          </w:p>
        </w:tc>
      </w:tr>
      <w:tr>
        <w:tc>
          <w:tcPr>
            <w:tcW w:type="dxa" w:w="3250"/>
            <w:shd w:val="clear" w:color="auto" w:fill="EEF3FA"/>
          </w:tcPr>
          <w:p>
            <w:pPr>
              <w:spacing w:after="40" w:before="40"/>
            </w:pPr>
            <w:r>
              <w:rPr>
                <w:rFonts w:ascii="Calibri" w:hAnsi="Calibri"/>
                <w:b w:val="0"/>
                <w:sz w:val="20"/>
              </w:rPr>
              <w:t>Cobo</w:t>
            </w:r>
          </w:p>
        </w:tc>
        <w:tc>
          <w:tcPr>
            <w:tcW w:type="dxa" w:w="3250"/>
            <w:shd w:val="clear" w:color="auto" w:fill="EEF3FA"/>
          </w:tcPr>
          <w:p>
            <w:pPr>
              <w:spacing w:after="40" w:before="40"/>
            </w:pPr>
            <w:r>
              <w:rPr>
                <w:rFonts w:ascii="Calibri" w:hAnsi="Calibri"/>
                <w:b w:val="0"/>
                <w:sz w:val="20"/>
              </w:rPr>
              <w:t>Expanded MPC wallet custody services into the Middle East market, establishing a regional presence in Abu Dhabi with ADGM regulatory approval.</w:t>
            </w:r>
          </w:p>
        </w:tc>
        <w:tc>
          <w:tcPr>
            <w:tcW w:type="dxa" w:w="3250"/>
            <w:shd w:val="clear" w:color="auto" w:fill="EEF3FA"/>
          </w:tcPr>
          <w:p>
            <w:pPr>
              <w:spacing w:after="40" w:before="40"/>
            </w:pPr>
            <w:r>
              <w:rPr>
                <w:rFonts w:ascii="Calibri" w:hAnsi="Calibri"/>
                <w:b w:val="0"/>
                <w:sz w:val="20"/>
              </w:rPr>
              <w:t>Reflects growing institutional digital asset demand in the Gulf region and increasing competition among Asian-origin custodians for Middle Eastern mandates.</w:t>
            </w:r>
          </w:p>
        </w:tc>
      </w:tr>
      <w:tr>
        <w:tc>
          <w:tcPr>
            <w:tcW w:type="dxa" w:w="3250"/>
          </w:tcPr>
          <w:p>
            <w:pPr>
              <w:spacing w:after="40" w:before="40"/>
            </w:pPr>
            <w:r>
              <w:rPr>
                <w:rFonts w:ascii="Calibri" w:hAnsi="Calibri"/>
                <w:b w:val="0"/>
                <w:sz w:val="20"/>
              </w:rPr>
              <w:t>Hex Trust</w:t>
            </w:r>
          </w:p>
        </w:tc>
        <w:tc>
          <w:tcPr>
            <w:tcW w:type="dxa" w:w="3250"/>
          </w:tcPr>
          <w:p>
            <w:pPr>
              <w:spacing w:after="40" w:before="40"/>
            </w:pPr>
            <w:r>
              <w:rPr>
                <w:rFonts w:ascii="Calibri" w:hAnsi="Calibri"/>
                <w:b w:val="0"/>
                <w:sz w:val="20"/>
              </w:rPr>
              <w:t>Secured a Markets in Crypto-Assets (MiCA) license application approval in principle from a European national competent authority.</w:t>
            </w:r>
          </w:p>
        </w:tc>
        <w:tc>
          <w:tcPr>
            <w:tcW w:type="dxa" w:w="3250"/>
          </w:tcPr>
          <w:p>
            <w:pPr>
              <w:spacing w:after="40" w:before="40"/>
            </w:pPr>
            <w:r>
              <w:rPr>
                <w:rFonts w:ascii="Calibri" w:hAnsi="Calibri"/>
                <w:b w:val="0"/>
                <w:sz w:val="20"/>
              </w:rPr>
              <w:t>Positions Hex Trust for EU-wide digital asset custody operations under the harmonised MiCA framework, expanding its geographic reach beyond Asia.</w:t>
            </w:r>
          </w:p>
        </w:tc>
      </w:tr>
      <w:tr>
        <w:tc>
          <w:tcPr>
            <w:tcW w:type="dxa" w:w="3250"/>
            <w:shd w:val="clear" w:color="auto" w:fill="EEF3FA"/>
          </w:tcPr>
          <w:p>
            <w:pPr>
              <w:spacing w:after="40" w:before="40"/>
            </w:pPr>
            <w:r>
              <w:rPr>
                <w:rFonts w:ascii="Calibri" w:hAnsi="Calibri"/>
                <w:b w:val="0"/>
                <w:sz w:val="20"/>
              </w:rPr>
              <w:t>Copper</w:t>
            </w:r>
          </w:p>
        </w:tc>
        <w:tc>
          <w:tcPr>
            <w:tcW w:type="dxa" w:w="3250"/>
            <w:shd w:val="clear" w:color="auto" w:fill="EEF3FA"/>
          </w:tcPr>
          <w:p>
            <w:pPr>
              <w:spacing w:after="40" w:before="40"/>
            </w:pPr>
            <w:r>
              <w:rPr>
                <w:rFonts w:ascii="Calibri" w:hAnsi="Calibri"/>
                <w:b w:val="0"/>
                <w:sz w:val="20"/>
              </w:rPr>
              <w:t>Continued to develop its ClearLoop off-exchange settlement network, adding connectivity to two additional centralised exchanges for institutional crypto trading.</w:t>
            </w:r>
          </w:p>
        </w:tc>
        <w:tc>
          <w:tcPr>
            <w:tcW w:type="dxa" w:w="3250"/>
            <w:shd w:val="clear" w:color="auto" w:fill="EEF3FA"/>
          </w:tcPr>
          <w:p>
            <w:pPr>
              <w:spacing w:after="40" w:before="40"/>
            </w:pPr>
            <w:r>
              <w:rPr>
                <w:rFonts w:ascii="Calibri" w:hAnsi="Calibri"/>
                <w:b w:val="0"/>
                <w:sz w:val="20"/>
              </w:rPr>
              <w:t>Reduces counterparty risk for institutional crypto traders by enabling exchange-level trading without pre-funding, a key differentiator for custody clients.</w:t>
            </w:r>
          </w:p>
        </w:tc>
      </w:tr>
      <w:tr>
        <w:tc>
          <w:tcPr>
            <w:tcW w:type="dxa" w:w="3250"/>
          </w:tcPr>
          <w:p>
            <w:pPr>
              <w:spacing w:after="40" w:before="40"/>
            </w:pPr>
            <w:r>
              <w:rPr>
                <w:rFonts w:ascii="Calibri" w:hAnsi="Calibri"/>
                <w:b w:val="0"/>
                <w:sz w:val="20"/>
              </w:rPr>
              <w:t>Komainu</w:t>
            </w:r>
          </w:p>
        </w:tc>
        <w:tc>
          <w:tcPr>
            <w:tcW w:type="dxa" w:w="3250"/>
          </w:tcPr>
          <w:p>
            <w:pPr>
              <w:spacing w:after="40" w:before="40"/>
            </w:pPr>
            <w:r>
              <w:rPr>
                <w:rFonts w:ascii="Calibri" w:hAnsi="Calibri"/>
                <w:b w:val="0"/>
                <w:sz w:val="20"/>
              </w:rPr>
              <w:t>Expanded institutional custody client base in Asia following additional investment from Nomura and CoinShares, with a focus on regulated digital asset fund servicing.</w:t>
            </w:r>
          </w:p>
        </w:tc>
        <w:tc>
          <w:tcPr>
            <w:tcW w:type="dxa" w:w="3250"/>
          </w:tcPr>
          <w:p>
            <w:pPr>
              <w:spacing w:after="40" w:before="40"/>
            </w:pPr>
            <w:r>
              <w:rPr>
                <w:rFonts w:ascii="Calibri" w:hAnsi="Calibri"/>
                <w:b w:val="0"/>
                <w:sz w:val="20"/>
              </w:rPr>
              <w:t>Strengthens Komainu's capitalisation and market positioning as a joint-venture custodian backed by established financial institutions.</w:t>
            </w:r>
          </w:p>
        </w:tc>
      </w:tr>
      <w:tr>
        <w:tc>
          <w:tcPr>
            <w:tcW w:type="dxa" w:w="3250"/>
            <w:shd w:val="clear" w:color="auto" w:fill="EEF3FA"/>
          </w:tcPr>
          <w:p>
            <w:pPr>
              <w:spacing w:after="40" w:before="40"/>
            </w:pPr>
            <w:r>
              <w:rPr>
                <w:rFonts w:ascii="Calibri" w:hAnsi="Calibri"/>
                <w:b w:val="0"/>
                <w:sz w:val="20"/>
              </w:rPr>
              <w:t>Zodia Custody</w:t>
            </w:r>
          </w:p>
        </w:tc>
        <w:tc>
          <w:tcPr>
            <w:tcW w:type="dxa" w:w="3250"/>
            <w:shd w:val="clear" w:color="auto" w:fill="EEF3FA"/>
          </w:tcPr>
          <w:p>
            <w:pPr>
              <w:spacing w:after="40" w:before="40"/>
            </w:pPr>
            <w:r>
              <w:rPr>
                <w:rFonts w:ascii="Calibri" w:hAnsi="Calibri"/>
                <w:b w:val="0"/>
                <w:sz w:val="20"/>
              </w:rPr>
              <w:t>Added support for additional token standards and expanded operations in the UAE and Singapore alongside Standard Chartered's broader digital asset strategy.</w:t>
            </w:r>
          </w:p>
        </w:tc>
        <w:tc>
          <w:tcPr>
            <w:tcW w:type="dxa" w:w="3250"/>
            <w:shd w:val="clear" w:color="auto" w:fill="EEF3FA"/>
          </w:tcPr>
          <w:p>
            <w:pPr>
              <w:spacing w:after="40" w:before="40"/>
            </w:pPr>
            <w:r>
              <w:rPr>
                <w:rFonts w:ascii="Calibri" w:hAnsi="Calibri"/>
                <w:b w:val="0"/>
                <w:sz w:val="20"/>
              </w:rPr>
              <w:t>Deepens Zodia's positioning as the institutional-grade digital custody arm of Standard Chartered, targeting regulated markets in Asia and the Middle East.</w:t>
            </w:r>
          </w:p>
        </w:tc>
      </w:tr>
      <w:tr>
        <w:tc>
          <w:tcPr>
            <w:tcW w:type="dxa" w:w="3250"/>
          </w:tcPr>
          <w:p>
            <w:pPr>
              <w:spacing w:after="40" w:before="40"/>
            </w:pPr>
            <w:r>
              <w:rPr>
                <w:rFonts w:ascii="Calibri" w:hAnsi="Calibri"/>
                <w:b w:val="0"/>
                <w:sz w:val="20"/>
              </w:rPr>
              <w:t>NYDIG</w:t>
            </w:r>
          </w:p>
        </w:tc>
        <w:tc>
          <w:tcPr>
            <w:tcW w:type="dxa" w:w="3250"/>
          </w:tcPr>
          <w:p>
            <w:pPr>
              <w:spacing w:after="40" w:before="40"/>
            </w:pPr>
            <w:r>
              <w:rPr>
                <w:rFonts w:ascii="Calibri" w:hAnsi="Calibri"/>
                <w:b w:val="0"/>
                <w:sz w:val="20"/>
              </w:rPr>
              <w:t>Expanded Bitcoin custody and lending services for US regional banks, onboarding several new banking partners in Q1 2026.</w:t>
            </w:r>
          </w:p>
        </w:tc>
        <w:tc>
          <w:tcPr>
            <w:tcW w:type="dxa" w:w="3250"/>
          </w:tcPr>
          <w:p>
            <w:pPr>
              <w:spacing w:after="40" w:before="40"/>
            </w:pPr>
            <w:r>
              <w:rPr>
                <w:rFonts w:ascii="Calibri" w:hAnsi="Calibri"/>
                <w:b w:val="0"/>
                <w:sz w:val="20"/>
              </w:rPr>
              <w:t>Demonstrates continued institutional demand for Bitcoin-native financial services infrastructure delivered through regulated banking channels.</w:t>
            </w:r>
          </w:p>
        </w:tc>
      </w:tr>
      <w:tr>
        <w:tc>
          <w:tcPr>
            <w:tcW w:type="dxa" w:w="3250"/>
            <w:shd w:val="clear" w:color="auto" w:fill="EEF3FA"/>
          </w:tcPr>
          <w:p>
            <w:pPr>
              <w:spacing w:after="40" w:before="40"/>
            </w:pPr>
            <w:r>
              <w:rPr>
                <w:rFonts w:ascii="Calibri" w:hAnsi="Calibri"/>
                <w:b w:val="0"/>
                <w:sz w:val="20"/>
              </w:rPr>
              <w:t>Bitcoin Suisse</w:t>
            </w:r>
          </w:p>
        </w:tc>
        <w:tc>
          <w:tcPr>
            <w:tcW w:type="dxa" w:w="3250"/>
            <w:shd w:val="clear" w:color="auto" w:fill="EEF3FA"/>
          </w:tcPr>
          <w:p>
            <w:pPr>
              <w:spacing w:after="40" w:before="40"/>
            </w:pPr>
            <w:r>
              <w:rPr>
                <w:rFonts w:ascii="Calibri" w:hAnsi="Calibri"/>
                <w:b w:val="0"/>
                <w:sz w:val="20"/>
              </w:rPr>
              <w:t>Obtained an expanded FINMA licence for institutional custody and staking services and announced plans to apply for a MiCA licence in the EU.</w:t>
            </w:r>
          </w:p>
        </w:tc>
        <w:tc>
          <w:tcPr>
            <w:tcW w:type="dxa" w:w="3250"/>
            <w:shd w:val="clear" w:color="auto" w:fill="EEF3FA"/>
          </w:tcPr>
          <w:p>
            <w:pPr>
              <w:spacing w:after="40" w:before="40"/>
            </w:pPr>
            <w:r>
              <w:rPr>
                <w:rFonts w:ascii="Calibri" w:hAnsi="Calibri"/>
                <w:b w:val="0"/>
                <w:sz w:val="20"/>
              </w:rPr>
              <w:t>Positions Bitcoin Suisse for cross-border European expansion under harmonised regulation, building on its established Swiss market leadership.</w:t>
            </w:r>
          </w:p>
        </w:tc>
      </w:tr>
      <w:tr>
        <w:tc>
          <w:tcPr>
            <w:tcW w:type="dxa" w:w="3250"/>
          </w:tcPr>
          <w:p>
            <w:pPr>
              <w:spacing w:after="40" w:before="40"/>
            </w:pPr>
            <w:r>
              <w:rPr>
                <w:rFonts w:ascii="Calibri" w:hAnsi="Calibri"/>
                <w:b w:val="0"/>
                <w:sz w:val="20"/>
              </w:rPr>
              <w:t>Taurus</w:t>
            </w:r>
          </w:p>
        </w:tc>
        <w:tc>
          <w:tcPr>
            <w:tcW w:type="dxa" w:w="3250"/>
          </w:tcPr>
          <w:p>
            <w:pPr>
              <w:spacing w:after="40" w:before="40"/>
            </w:pPr>
            <w:r>
              <w:rPr>
                <w:rFonts w:ascii="Calibri" w:hAnsi="Calibri"/>
                <w:b w:val="0"/>
                <w:sz w:val="20"/>
              </w:rPr>
              <w:t>Announced integration of its tokenisation and digital custody platform with a major European banking group for issuance and servicing of tokenised structured products.</w:t>
            </w:r>
          </w:p>
        </w:tc>
        <w:tc>
          <w:tcPr>
            <w:tcW w:type="dxa" w:w="3250"/>
          </w:tcPr>
          <w:p>
            <w:pPr>
              <w:spacing w:after="40" w:before="40"/>
            </w:pPr>
            <w:r>
              <w:rPr>
                <w:rFonts w:ascii="Calibri" w:hAnsi="Calibri"/>
                <w:b w:val="0"/>
                <w:sz w:val="20"/>
              </w:rPr>
              <w:t>Validates Taurus's B2B infrastructure model and underscores the growing demand from traditional banks for turnkey digital asset issuance and custody technology.</w:t>
            </w:r>
          </w:p>
        </w:tc>
      </w:tr>
    </w:tbl>
    <w:p/>
    <w:p>
      <w:pPr>
        <w:jc w:val="center"/>
      </w:pPr>
      <w:r>
        <w:rPr>
          <w:rFonts w:ascii="Calibri" w:hAnsi="Calibri"/>
          <w:i/>
          <w:color w:val="888888"/>
          <w:sz w:val="16"/>
        </w:rPr>
        <w:t>This document is confidential and intended solely for the RBC Investor Services Senior Management Team. Do not distribute.</w:t>
      </w:r>
    </w:p>
    <w:sectPr w:rsidR="00E71C96" w:rsidRPr="00E15B30" w:rsidSect="00AA3776">
      <w:footerReference w:type="first" r:id="rId8"/>
      <w:pgSz w:w="11909" w:h="16834" w:code="9"/>
      <w:pgMar w:top="1080" w:right="1080" w:bottom="562" w:left="1080" w:header="0" w:footer="432" w:gutter="0"/>
      <w:pgBorders w:offsetFrom="page">
        <w:top w:val="single" w:sz="2" w:space="18" w:color="002159"/>
        <w:left w:val="single" w:sz="2" w:space="18" w:color="002159"/>
        <w:bottom w:val="single" w:sz="2" w:space="18" w:color="002159"/>
        <w:right w:val="single" w:sz="2" w:space="18" w:color="002159"/>
      </w:pgBorders>
      <w:pgNumType w:fmt="low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8EBA7" w14:textId="77777777" w:rsidR="00C02A6A" w:rsidRDefault="00C02A6A">
      <w:r>
        <w:separator/>
      </w:r>
    </w:p>
    <w:p w14:paraId="085563AF" w14:textId="77777777" w:rsidR="00C02A6A" w:rsidRDefault="00C02A6A"/>
    <w:p w14:paraId="4EDDD97C" w14:textId="77777777" w:rsidR="00C02A6A" w:rsidRDefault="00C02A6A"/>
  </w:endnote>
  <w:endnote w:type="continuationSeparator" w:id="0">
    <w:p w14:paraId="3D54E17F" w14:textId="77777777" w:rsidR="00C02A6A" w:rsidRDefault="00C02A6A">
      <w:r>
        <w:continuationSeparator/>
      </w:r>
    </w:p>
    <w:p w14:paraId="7C5BAB43" w14:textId="77777777" w:rsidR="00C02A6A" w:rsidRDefault="00C02A6A"/>
    <w:p w14:paraId="63C61948" w14:textId="77777777" w:rsidR="00C02A6A" w:rsidRDefault="00C02A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Times New Roman"/>
    <w:panose1 w:val="020B0704020202020204"/>
    <w:charset w:val="00"/>
    <w:family w:val="swiss"/>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6747D7DF-3D6A-4ED2-AAC8-D3BA8B1D5C25}"/>
    <w:embedBold r:id="rId2" w:fontKey="{3454AD14-499D-4863-A694-692B1ADC694F}"/>
    <w:embedItalic r:id="rId3" w:fontKey="{781E6330-149F-411B-9735-59DF1E9C6AC7}"/>
  </w:font>
  <w:font w:name="Century Gothic">
    <w:panose1 w:val="020B0502020202020204"/>
    <w:charset w:val="00"/>
    <w:family w:val="swiss"/>
    <w:pitch w:val="variable"/>
    <w:sig w:usb0="00000287" w:usb1="00000000" w:usb2="00000000" w:usb3="00000000" w:csb0="0000009F" w:csb1="00000000"/>
    <w:embedRegular r:id="rId4" w:fontKey="{D252A5BB-800E-45C5-A3D6-74B880434F06}"/>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5" w:fontKey="{5FFF8507-1812-43FD-B3B6-FCE8389267C5}"/>
  </w:font>
  <w:font w:name="Arial Black">
    <w:panose1 w:val="020B0A04020102020204"/>
    <w:charset w:val="00"/>
    <w:family w:val="swiss"/>
    <w:pitch w:val="variable"/>
    <w:sig w:usb0="A00002AF" w:usb1="400078FB" w:usb2="00000000" w:usb3="00000000" w:csb0="0000009F" w:csb1="00000000"/>
    <w:embedRegular r:id="rId6" w:fontKey="{BB4AD9BD-E88A-4869-B5B9-C5B7C74BC6F5}"/>
  </w:font>
  <w:font w:name="Georgia">
    <w:panose1 w:val="02040502050405020303"/>
    <w:charset w:val="00"/>
    <w:family w:val="roman"/>
    <w:pitch w:val="variable"/>
    <w:sig w:usb0="00000287" w:usb1="00000000" w:usb2="00000000" w:usb3="00000000" w:csb0="0000009F" w:csb1="00000000"/>
    <w:embedBoldItalic r:id="rId7" w:fontKey="{3E708344-5C7E-4DC6-965D-F2C9BDEF92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F06D" w14:textId="69824C84" w:rsidR="004F69BC" w:rsidRPr="00E4290C" w:rsidRDefault="004F69BC" w:rsidP="00E4290C">
    <w:pPr>
      <w:pStyle w:val="FooterBackcover"/>
      <w:spacing w:after="180"/>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E78E6" w14:textId="77777777" w:rsidR="00C02A6A" w:rsidRDefault="00C02A6A" w:rsidP="00494966">
      <w:pPr>
        <w:pStyle w:val="FootnoteSeparator"/>
      </w:pPr>
    </w:p>
    <w:p w14:paraId="4B31063E" w14:textId="77777777" w:rsidR="00C02A6A" w:rsidRDefault="00C02A6A"/>
    <w:p w14:paraId="32C94793" w14:textId="77777777" w:rsidR="00C02A6A" w:rsidRDefault="00C02A6A"/>
  </w:footnote>
  <w:footnote w:type="continuationSeparator" w:id="0">
    <w:p w14:paraId="147C50A4" w14:textId="77777777" w:rsidR="00C02A6A" w:rsidRDefault="00C02A6A">
      <w:r>
        <w:continuationSeparator/>
      </w:r>
    </w:p>
    <w:p w14:paraId="002E624C" w14:textId="77777777" w:rsidR="00C02A6A" w:rsidRDefault="00C02A6A"/>
    <w:p w14:paraId="0E7DB25D" w14:textId="77777777" w:rsidR="00C02A6A" w:rsidRDefault="00C02A6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EF83E62"/>
    <w:lvl w:ilvl="0">
      <w:start w:val="1"/>
      <w:numFmt w:val="decimal"/>
      <w:pStyle w:val="ListNumber5"/>
      <w:lvlText w:val="%1."/>
      <w:lvlJc w:val="left"/>
      <w:pPr>
        <w:tabs>
          <w:tab w:val="num" w:pos="1492"/>
        </w:tabs>
        <w:ind w:left="1492" w:hanging="360"/>
      </w:pPr>
    </w:lvl>
  </w:abstractNum>
  <w:abstractNum w:abstractNumId="1" w15:restartNumberingAfterBreak="0">
    <w:nsid w:val="FFFFFF7E"/>
    <w:multiLevelType w:val="singleLevel"/>
    <w:tmpl w:val="9CFC16B4"/>
    <w:lvl w:ilvl="0">
      <w:start w:val="1"/>
      <w:numFmt w:val="decimal"/>
      <w:pStyle w:val="ListNumber3"/>
      <w:lvlText w:val="%1."/>
      <w:lvlJc w:val="left"/>
      <w:pPr>
        <w:tabs>
          <w:tab w:val="num" w:pos="926"/>
        </w:tabs>
        <w:ind w:left="926" w:hanging="360"/>
      </w:pPr>
    </w:lvl>
  </w:abstractNum>
  <w:abstractNum w:abstractNumId="2" w15:restartNumberingAfterBreak="0">
    <w:nsid w:val="FFFFFF7F"/>
    <w:multiLevelType w:val="singleLevel"/>
    <w:tmpl w:val="317A77E2"/>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65AE9E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619AA81A"/>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0EE6481D"/>
    <w:multiLevelType w:val="multilevel"/>
    <w:tmpl w:val="9272BB36"/>
    <w:styleLink w:val="111111"/>
    <w:lvl w:ilvl="0">
      <w:start w:val="1"/>
      <w:numFmt w:val="decimal"/>
      <w:lvlText w:val="%1."/>
      <w:lvlJc w:val="left"/>
      <w:pPr>
        <w:tabs>
          <w:tab w:val="num" w:pos="720"/>
        </w:tabs>
        <w:ind w:left="720" w:hanging="360"/>
      </w:pPr>
      <w:rPr>
        <w:rFonts w:ascii="Arial" w:hAnsi="Arial"/>
        <w:color w:val="002144"/>
        <w:sz w:val="36"/>
      </w:rPr>
    </w:lvl>
    <w:lvl w:ilvl="1">
      <w:start w:val="1"/>
      <w:numFmt w:val="decimal"/>
      <w:lvlText w:val="%1.%2."/>
      <w:lvlJc w:val="left"/>
      <w:pPr>
        <w:tabs>
          <w:tab w:val="num" w:pos="1152"/>
        </w:tabs>
        <w:ind w:left="1152" w:hanging="432"/>
      </w:pPr>
      <w:rPr>
        <w:rFonts w:hint="default"/>
        <w:sz w:val="25"/>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14F94586"/>
    <w:multiLevelType w:val="hybridMultilevel"/>
    <w:tmpl w:val="671E8414"/>
    <w:lvl w:ilvl="0" w:tplc="BA62B44E">
      <w:start w:val="1"/>
      <w:numFmt w:val="upperLetter"/>
      <w:pStyle w:val="List"/>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DD7F2F"/>
    <w:multiLevelType w:val="hybridMultilevel"/>
    <w:tmpl w:val="3FCCCD1A"/>
    <w:lvl w:ilvl="0" w:tplc="F8927B7A">
      <w:start w:val="1"/>
      <w:numFmt w:val="bullet"/>
      <w:pStyle w:val="ListBullet2"/>
      <w:lvlText w:val=""/>
      <w:lvlJc w:val="left"/>
      <w:pPr>
        <w:tabs>
          <w:tab w:val="num" w:pos="680"/>
        </w:tabs>
        <w:ind w:left="680" w:hanging="340"/>
      </w:pPr>
      <w:rPr>
        <w:rFonts w:ascii="Wingdings" w:hAnsi="Wingdings" w:hint="default"/>
        <w:color w:val="8499A6"/>
        <w:sz w:val="20"/>
      </w:rPr>
    </w:lvl>
    <w:lvl w:ilvl="1" w:tplc="B0649FC8">
      <w:start w:val="1"/>
      <w:numFmt w:val="bullet"/>
      <w:lvlText w:val="o"/>
      <w:lvlJc w:val="left"/>
      <w:pPr>
        <w:tabs>
          <w:tab w:val="num" w:pos="2806"/>
        </w:tabs>
        <w:ind w:left="2806" w:hanging="360"/>
      </w:pPr>
      <w:rPr>
        <w:rFonts w:ascii="Courier New" w:hAnsi="Courier New" w:hint="default"/>
      </w:rPr>
    </w:lvl>
    <w:lvl w:ilvl="2" w:tplc="04090005" w:tentative="1">
      <w:start w:val="1"/>
      <w:numFmt w:val="bullet"/>
      <w:lvlText w:val=""/>
      <w:lvlJc w:val="left"/>
      <w:pPr>
        <w:tabs>
          <w:tab w:val="num" w:pos="3526"/>
        </w:tabs>
        <w:ind w:left="3526" w:hanging="360"/>
      </w:pPr>
      <w:rPr>
        <w:rFonts w:ascii="Wingdings" w:hAnsi="Wingdings" w:hint="default"/>
      </w:rPr>
    </w:lvl>
    <w:lvl w:ilvl="3" w:tplc="04090001" w:tentative="1">
      <w:start w:val="1"/>
      <w:numFmt w:val="bullet"/>
      <w:lvlText w:val=""/>
      <w:lvlJc w:val="left"/>
      <w:pPr>
        <w:tabs>
          <w:tab w:val="num" w:pos="4246"/>
        </w:tabs>
        <w:ind w:left="4246" w:hanging="360"/>
      </w:pPr>
      <w:rPr>
        <w:rFonts w:ascii="Symbol" w:hAnsi="Symbol" w:hint="default"/>
      </w:rPr>
    </w:lvl>
    <w:lvl w:ilvl="4" w:tplc="04090003" w:tentative="1">
      <w:start w:val="1"/>
      <w:numFmt w:val="bullet"/>
      <w:lvlText w:val="o"/>
      <w:lvlJc w:val="left"/>
      <w:pPr>
        <w:tabs>
          <w:tab w:val="num" w:pos="4966"/>
        </w:tabs>
        <w:ind w:left="4966" w:hanging="360"/>
      </w:pPr>
      <w:rPr>
        <w:rFonts w:ascii="Courier New" w:hAnsi="Courier New" w:hint="default"/>
      </w:rPr>
    </w:lvl>
    <w:lvl w:ilvl="5" w:tplc="04090005" w:tentative="1">
      <w:start w:val="1"/>
      <w:numFmt w:val="bullet"/>
      <w:lvlText w:val=""/>
      <w:lvlJc w:val="left"/>
      <w:pPr>
        <w:tabs>
          <w:tab w:val="num" w:pos="5686"/>
        </w:tabs>
        <w:ind w:left="5686" w:hanging="360"/>
      </w:pPr>
      <w:rPr>
        <w:rFonts w:ascii="Wingdings" w:hAnsi="Wingdings" w:hint="default"/>
      </w:rPr>
    </w:lvl>
    <w:lvl w:ilvl="6" w:tplc="04090001" w:tentative="1">
      <w:start w:val="1"/>
      <w:numFmt w:val="bullet"/>
      <w:lvlText w:val=""/>
      <w:lvlJc w:val="left"/>
      <w:pPr>
        <w:tabs>
          <w:tab w:val="num" w:pos="6406"/>
        </w:tabs>
        <w:ind w:left="6406" w:hanging="360"/>
      </w:pPr>
      <w:rPr>
        <w:rFonts w:ascii="Symbol" w:hAnsi="Symbol" w:hint="default"/>
      </w:rPr>
    </w:lvl>
    <w:lvl w:ilvl="7" w:tplc="04090003" w:tentative="1">
      <w:start w:val="1"/>
      <w:numFmt w:val="bullet"/>
      <w:lvlText w:val="o"/>
      <w:lvlJc w:val="left"/>
      <w:pPr>
        <w:tabs>
          <w:tab w:val="num" w:pos="7126"/>
        </w:tabs>
        <w:ind w:left="7126" w:hanging="360"/>
      </w:pPr>
      <w:rPr>
        <w:rFonts w:ascii="Courier New" w:hAnsi="Courier New" w:hint="default"/>
      </w:rPr>
    </w:lvl>
    <w:lvl w:ilvl="8" w:tplc="04090005" w:tentative="1">
      <w:start w:val="1"/>
      <w:numFmt w:val="bullet"/>
      <w:lvlText w:val=""/>
      <w:lvlJc w:val="left"/>
      <w:pPr>
        <w:tabs>
          <w:tab w:val="num" w:pos="7846"/>
        </w:tabs>
        <w:ind w:left="7846" w:hanging="360"/>
      </w:pPr>
      <w:rPr>
        <w:rFonts w:ascii="Wingdings" w:hAnsi="Wingdings" w:hint="default"/>
      </w:rPr>
    </w:lvl>
  </w:abstractNum>
  <w:abstractNum w:abstractNumId="8" w15:restartNumberingAfterBreak="0">
    <w:nsid w:val="196D1F1A"/>
    <w:multiLevelType w:val="hybridMultilevel"/>
    <w:tmpl w:val="BE72B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9A92175"/>
    <w:multiLevelType w:val="hybridMultilevel"/>
    <w:tmpl w:val="6CF6A9B4"/>
    <w:lvl w:ilvl="0" w:tplc="3E56E864">
      <w:start w:val="1"/>
      <w:numFmt w:val="decimal"/>
      <w:pStyle w:val="ListNumber"/>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9"/>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E692612"/>
    <w:multiLevelType w:val="hybridMultilevel"/>
    <w:tmpl w:val="2696925E"/>
    <w:lvl w:ilvl="0" w:tplc="BCF0D7D4">
      <w:start w:val="1"/>
      <w:numFmt w:val="lowerRoman"/>
      <w:pStyle w:val="Question5"/>
      <w:lvlText w:val="%1."/>
      <w:lvlJc w:val="left"/>
      <w:pPr>
        <w:tabs>
          <w:tab w:val="num" w:pos="717"/>
        </w:tabs>
        <w:ind w:left="717"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8346DC"/>
    <w:multiLevelType w:val="multilevel"/>
    <w:tmpl w:val="1890963E"/>
    <w:styleLink w:val="NumHeadListChapter"/>
    <w:lvl w:ilvl="0">
      <w:start w:val="1"/>
      <w:numFmt w:val="decimal"/>
      <w:isLgl/>
      <w:lvlText w:val="%1."/>
      <w:lvlJc w:val="left"/>
      <w:pPr>
        <w:tabs>
          <w:tab w:val="num" w:pos="1008"/>
        </w:tabs>
        <w:ind w:left="1008" w:hanging="1008"/>
      </w:pPr>
      <w:rPr>
        <w:rFonts w:ascii="Arial" w:hAnsi="Arial" w:hint="default"/>
        <w:color w:val="002144"/>
        <w:sz w:val="32"/>
        <w:szCs w:val="20"/>
      </w:rPr>
    </w:lvl>
    <w:lvl w:ilvl="1">
      <w:start w:val="1"/>
      <w:numFmt w:val="decimal"/>
      <w:isLgl/>
      <w:lvlText w:val="%1.%2."/>
      <w:lvlJc w:val="left"/>
      <w:pPr>
        <w:tabs>
          <w:tab w:val="num" w:pos="1008"/>
        </w:tabs>
        <w:ind w:left="1008" w:hanging="1008"/>
      </w:pPr>
      <w:rPr>
        <w:rFonts w:ascii="Arial" w:hAnsi="Arial" w:hint="default"/>
        <w:b w:val="0"/>
        <w:i w:val="0"/>
        <w:color w:val="003263"/>
        <w:sz w:val="25"/>
        <w:szCs w:val="20"/>
      </w:rPr>
    </w:lvl>
    <w:lvl w:ilvl="2">
      <w:start w:val="1"/>
      <w:numFmt w:val="decimal"/>
      <w:isLgl/>
      <w:lvlText w:val="%1.%2.%3."/>
      <w:lvlJc w:val="left"/>
      <w:pPr>
        <w:tabs>
          <w:tab w:val="num" w:pos="1008"/>
        </w:tabs>
        <w:ind w:left="1008" w:hanging="1008"/>
      </w:pPr>
      <w:rPr>
        <w:rFonts w:ascii="Arial" w:hAnsi="Arial" w:hint="default"/>
        <w:b w:val="0"/>
        <w:i w:val="0"/>
        <w:color w:val="003263"/>
        <w:sz w:val="22"/>
        <w:szCs w:val="20"/>
      </w:rPr>
    </w:lvl>
    <w:lvl w:ilvl="3">
      <w:start w:val="1"/>
      <w:numFmt w:val="decimal"/>
      <w:isLgl/>
      <w:lvlText w:val="%1.%2.%3.%4."/>
      <w:lvlJc w:val="left"/>
      <w:pPr>
        <w:tabs>
          <w:tab w:val="num" w:pos="1008"/>
        </w:tabs>
        <w:ind w:left="1008" w:hanging="1008"/>
      </w:pPr>
      <w:rPr>
        <w:rFonts w:ascii="Arial" w:hAnsi="Arial" w:hint="default"/>
        <w:b w:val="0"/>
        <w:i w:val="0"/>
        <w:color w:val="003263"/>
        <w:sz w:val="20"/>
        <w:szCs w:val="20"/>
      </w:rPr>
    </w:lvl>
    <w:lvl w:ilvl="4">
      <w:start w:val="1"/>
      <w:numFmt w:val="decimal"/>
      <w:isLgl/>
      <w:lvlText w:val="%1.%2.%3.%4.%5."/>
      <w:lvlJc w:val="left"/>
      <w:pPr>
        <w:tabs>
          <w:tab w:val="num" w:pos="1008"/>
        </w:tabs>
        <w:ind w:left="1008" w:hanging="1008"/>
      </w:pPr>
      <w:rPr>
        <w:rFonts w:ascii="Arial" w:hAnsi="Arial" w:hint="default"/>
        <w:color w:val="003263"/>
        <w:sz w:val="20"/>
        <w:szCs w:val="20"/>
      </w:rPr>
    </w:lvl>
    <w:lvl w:ilvl="5">
      <w:start w:val="1"/>
      <w:numFmt w:val="decimal"/>
      <w:lvlText w:val="%1.%2.%3.%4.%5.%6"/>
      <w:lvlJc w:val="left"/>
      <w:pPr>
        <w:tabs>
          <w:tab w:val="num" w:pos="1152"/>
        </w:tabs>
        <w:ind w:left="1152" w:hanging="1152"/>
      </w:pPr>
      <w:rPr>
        <w:rFonts w:ascii="Arial" w:hAnsi="Arial"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31C03D0A"/>
    <w:multiLevelType w:val="hybridMultilevel"/>
    <w:tmpl w:val="084C962C"/>
    <w:lvl w:ilvl="0" w:tplc="9790FE42">
      <w:start w:val="1"/>
      <w:numFmt w:val="bullet"/>
      <w:pStyle w:val="ListBullet3"/>
      <w:lvlText w:val="–"/>
      <w:lvlJc w:val="left"/>
      <w:pPr>
        <w:tabs>
          <w:tab w:val="num" w:pos="1020"/>
        </w:tabs>
        <w:ind w:left="1020" w:hanging="340"/>
      </w:pPr>
      <w:rPr>
        <w:rFonts w:ascii="Arial" w:hAnsi="Arial" w:hint="default"/>
        <w:b w:val="0"/>
        <w:i w:val="0"/>
        <w:caps w:val="0"/>
        <w:strike w:val="0"/>
        <w:dstrike w:val="0"/>
        <w:vanish w:val="0"/>
        <w:color w:val="8499A6"/>
        <w:spacing w:val="0"/>
        <w:w w:val="100"/>
        <w:kern w:val="0"/>
        <w:position w:val="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2800"/>
        </w:tabs>
        <w:ind w:left="2800" w:hanging="360"/>
      </w:pPr>
    </w:lvl>
    <w:lvl w:ilvl="2" w:tplc="0409001B" w:tentative="1">
      <w:start w:val="1"/>
      <w:numFmt w:val="lowerRoman"/>
      <w:lvlText w:val="%3."/>
      <w:lvlJc w:val="right"/>
      <w:pPr>
        <w:tabs>
          <w:tab w:val="num" w:pos="3520"/>
        </w:tabs>
        <w:ind w:left="3520" w:hanging="180"/>
      </w:pPr>
    </w:lvl>
    <w:lvl w:ilvl="3" w:tplc="0409000F" w:tentative="1">
      <w:start w:val="1"/>
      <w:numFmt w:val="decimal"/>
      <w:lvlText w:val="%4."/>
      <w:lvlJc w:val="left"/>
      <w:pPr>
        <w:tabs>
          <w:tab w:val="num" w:pos="4240"/>
        </w:tabs>
        <w:ind w:left="4240" w:hanging="360"/>
      </w:pPr>
    </w:lvl>
    <w:lvl w:ilvl="4" w:tplc="04090019" w:tentative="1">
      <w:start w:val="1"/>
      <w:numFmt w:val="lowerLetter"/>
      <w:lvlText w:val="%5."/>
      <w:lvlJc w:val="left"/>
      <w:pPr>
        <w:tabs>
          <w:tab w:val="num" w:pos="4960"/>
        </w:tabs>
        <w:ind w:left="4960" w:hanging="360"/>
      </w:pPr>
    </w:lvl>
    <w:lvl w:ilvl="5" w:tplc="0409001B" w:tentative="1">
      <w:start w:val="1"/>
      <w:numFmt w:val="lowerRoman"/>
      <w:lvlText w:val="%6."/>
      <w:lvlJc w:val="right"/>
      <w:pPr>
        <w:tabs>
          <w:tab w:val="num" w:pos="5680"/>
        </w:tabs>
        <w:ind w:left="5680" w:hanging="180"/>
      </w:pPr>
    </w:lvl>
    <w:lvl w:ilvl="6" w:tplc="0409000F" w:tentative="1">
      <w:start w:val="1"/>
      <w:numFmt w:val="decimal"/>
      <w:lvlText w:val="%7."/>
      <w:lvlJc w:val="left"/>
      <w:pPr>
        <w:tabs>
          <w:tab w:val="num" w:pos="6400"/>
        </w:tabs>
        <w:ind w:left="6400" w:hanging="360"/>
      </w:pPr>
    </w:lvl>
    <w:lvl w:ilvl="7" w:tplc="04090019" w:tentative="1">
      <w:start w:val="1"/>
      <w:numFmt w:val="lowerLetter"/>
      <w:lvlText w:val="%8."/>
      <w:lvlJc w:val="left"/>
      <w:pPr>
        <w:tabs>
          <w:tab w:val="num" w:pos="7120"/>
        </w:tabs>
        <w:ind w:left="7120" w:hanging="360"/>
      </w:pPr>
    </w:lvl>
    <w:lvl w:ilvl="8" w:tplc="0409001B" w:tentative="1">
      <w:start w:val="1"/>
      <w:numFmt w:val="lowerRoman"/>
      <w:lvlText w:val="%9."/>
      <w:lvlJc w:val="right"/>
      <w:pPr>
        <w:tabs>
          <w:tab w:val="num" w:pos="7840"/>
        </w:tabs>
        <w:ind w:left="7840" w:hanging="180"/>
      </w:pPr>
    </w:lvl>
  </w:abstractNum>
  <w:abstractNum w:abstractNumId="13" w15:restartNumberingAfterBreak="0">
    <w:nsid w:val="324549D6"/>
    <w:multiLevelType w:val="multilevel"/>
    <w:tmpl w:val="7CCE5D8C"/>
    <w:lvl w:ilvl="0">
      <w:start w:val="1"/>
      <w:numFmt w:val="decimal"/>
      <w:lvlText w:val="%1."/>
      <w:lvlJc w:val="left"/>
      <w:pPr>
        <w:tabs>
          <w:tab w:val="num" w:pos="432"/>
        </w:tabs>
        <w:ind w:left="432" w:hanging="432"/>
      </w:pPr>
      <w:rPr>
        <w:rFonts w:ascii="Arial" w:hAnsi="Arial" w:hint="default"/>
        <w:b/>
        <w:i w:val="0"/>
        <w:sz w:val="20"/>
        <w:szCs w:val="20"/>
      </w:rPr>
    </w:lvl>
    <w:lvl w:ilvl="1">
      <w:start w:val="1"/>
      <w:numFmt w:val="decimal"/>
      <w:lvlRestart w:val="0"/>
      <w:suff w:val="nothing"/>
      <w:lvlText w:val="Section %2"/>
      <w:lvlJc w:val="left"/>
      <w:pPr>
        <w:ind w:left="0" w:firstLine="0"/>
      </w:pPr>
      <w:rPr>
        <w:rFonts w:ascii="Arial" w:hAnsi="Arial" w:cs="Arial" w:hint="default"/>
        <w:b/>
        <w:i w:val="0"/>
        <w:sz w:val="48"/>
        <w:szCs w:val="20"/>
      </w:rPr>
    </w:lvl>
    <w:lvl w:ilvl="2">
      <w:start w:val="1"/>
      <w:numFmt w:val="upperRoman"/>
      <w:lvlRestart w:val="0"/>
      <w:suff w:val="nothing"/>
      <w:lvlText w:val="Appendix %3"/>
      <w:lvlJc w:val="left"/>
      <w:pPr>
        <w:ind w:left="0" w:firstLine="0"/>
      </w:pPr>
      <w:rPr>
        <w:rFonts w:ascii="Arial" w:hAnsi="Arial" w:cs="Arial" w:hint="default"/>
        <w:b/>
        <w:i w:val="0"/>
        <w:sz w:val="48"/>
        <w:szCs w:val="20"/>
      </w:rPr>
    </w:lvl>
    <w:lvl w:ilvl="3">
      <w:start w:val="1"/>
      <w:numFmt w:val="upperLetter"/>
      <w:suff w:val="nothing"/>
      <w:lvlText w:val="Tab %4"/>
      <w:lvlJc w:val="left"/>
      <w:pPr>
        <w:ind w:left="0" w:firstLine="0"/>
      </w:pPr>
      <w:rPr>
        <w:rFonts w:ascii="Arial" w:hAnsi="Arial" w:cs="Arial" w:hint="default"/>
        <w:b/>
        <w:sz w:val="48"/>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upperLetter"/>
      <w:lvlRestart w:val="3"/>
      <w:pStyle w:val="Heading8"/>
      <w:suff w:val="nothing"/>
      <w:lvlText w:val="Tab %8"/>
      <w:lvlJc w:val="left"/>
      <w:pPr>
        <w:ind w:left="0" w:firstLine="0"/>
      </w:pPr>
      <w:rPr>
        <w:rFonts w:ascii="Arial" w:hAnsi="Arial" w:cs="Arial" w:hint="default"/>
        <w:b/>
        <w:sz w:val="48"/>
      </w:rPr>
    </w:lvl>
    <w:lvl w:ilvl="8">
      <w:start w:val="1"/>
      <w:numFmt w:val="lowerRoman"/>
      <w:lvlText w:val="(%9)"/>
      <w:lvlJc w:val="left"/>
      <w:pPr>
        <w:tabs>
          <w:tab w:val="num" w:pos="6120"/>
        </w:tabs>
        <w:ind w:left="5760" w:firstLine="0"/>
      </w:pPr>
      <w:rPr>
        <w:rFonts w:hint="default"/>
      </w:rPr>
    </w:lvl>
  </w:abstractNum>
  <w:abstractNum w:abstractNumId="14" w15:restartNumberingAfterBreak="0">
    <w:nsid w:val="3FDF0D99"/>
    <w:multiLevelType w:val="hybridMultilevel"/>
    <w:tmpl w:val="7312DE7E"/>
    <w:lvl w:ilvl="0" w:tplc="FD76358A">
      <w:start w:val="1"/>
      <w:numFmt w:val="lowerRoman"/>
      <w:pStyle w:val="List4"/>
      <w:lvlText w:val="%1."/>
      <w:lvlJc w:val="left"/>
      <w:pPr>
        <w:tabs>
          <w:tab w:val="num" w:pos="677"/>
        </w:tabs>
        <w:ind w:left="680" w:hanging="340"/>
      </w:pPr>
      <w:rPr>
        <w:rFonts w:ascii="Verdana" w:hAnsi="Verdana"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FEA26C0"/>
    <w:multiLevelType w:val="hybridMultilevel"/>
    <w:tmpl w:val="33D0349E"/>
    <w:lvl w:ilvl="0" w:tplc="4DF069A4">
      <w:start w:val="1"/>
      <w:numFmt w:val="bullet"/>
      <w:pStyle w:val="TableBullet3"/>
      <w:lvlText w:val="–"/>
      <w:lvlJc w:val="left"/>
      <w:pPr>
        <w:tabs>
          <w:tab w:val="num" w:pos="216"/>
        </w:tabs>
        <w:ind w:left="595" w:hanging="198"/>
      </w:pPr>
      <w:rPr>
        <w:rFonts w:ascii="Verdana" w:hAnsi="Verdana" w:hint="default"/>
        <w:b w:val="0"/>
        <w:i w:val="0"/>
        <w:color w:val="6F6E6F"/>
        <w:sz w:val="16"/>
      </w:rPr>
    </w:lvl>
    <w:lvl w:ilvl="1" w:tplc="04090019">
      <w:start w:val="1"/>
      <w:numFmt w:val="bullet"/>
      <w:lvlText w:val="–"/>
      <w:lvlJc w:val="left"/>
      <w:pPr>
        <w:tabs>
          <w:tab w:val="num" w:pos="216"/>
        </w:tabs>
        <w:ind w:left="648" w:hanging="216"/>
      </w:pPr>
      <w:rPr>
        <w:rFonts w:ascii="Century Gothic" w:hAnsi="Century Gothic" w:hint="default"/>
        <w:b w:val="0"/>
        <w:i w:val="0"/>
        <w:color w:val="auto"/>
        <w:sz w:val="16"/>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42C0BD1"/>
    <w:multiLevelType w:val="hybridMultilevel"/>
    <w:tmpl w:val="6AC8D7F0"/>
    <w:lvl w:ilvl="0" w:tplc="C7F224E2">
      <w:start w:val="1"/>
      <w:numFmt w:val="decimal"/>
      <w:pStyle w:val="Question1"/>
      <w:lvlText w:val="%1."/>
      <w:lvlJc w:val="left"/>
      <w:pPr>
        <w:tabs>
          <w:tab w:val="num" w:pos="360"/>
        </w:tabs>
        <w:ind w:left="360"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8827669"/>
    <w:multiLevelType w:val="hybridMultilevel"/>
    <w:tmpl w:val="BAAE3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7149E0"/>
    <w:multiLevelType w:val="hybridMultilevel"/>
    <w:tmpl w:val="F8EC1A8C"/>
    <w:lvl w:ilvl="0" w:tplc="6E24CF20">
      <w:start w:val="1"/>
      <w:numFmt w:val="lowerLetter"/>
      <w:pStyle w:val="List3"/>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1185B21"/>
    <w:multiLevelType w:val="hybridMultilevel"/>
    <w:tmpl w:val="5CAA3A06"/>
    <w:lvl w:ilvl="0" w:tplc="488695A6">
      <w:start w:val="1"/>
      <w:numFmt w:val="decimal"/>
      <w:pStyle w:val="TableBulletNumeric"/>
      <w:lvlText w:val="%1."/>
      <w:lvlJc w:val="left"/>
      <w:pPr>
        <w:tabs>
          <w:tab w:val="num" w:pos="216"/>
        </w:tabs>
        <w:ind w:left="216" w:hanging="216"/>
      </w:pPr>
      <w:rPr>
        <w:rFonts w:ascii="Arial" w:hAnsi="Arial" w:cs="Arial" w:hint="default"/>
        <w:b/>
        <w:i w:val="0"/>
        <w:color w:val="0060A9"/>
        <w:sz w:val="15"/>
        <w:u w:val="none"/>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52416A5"/>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57552717"/>
    <w:multiLevelType w:val="hybridMultilevel"/>
    <w:tmpl w:val="E136582A"/>
    <w:lvl w:ilvl="0" w:tplc="B2A84794">
      <w:start w:val="1"/>
      <w:numFmt w:val="bullet"/>
      <w:pStyle w:val="TableBullet2"/>
      <w:lvlText w:val=""/>
      <w:lvlJc w:val="left"/>
      <w:pPr>
        <w:tabs>
          <w:tab w:val="num" w:pos="397"/>
        </w:tabs>
        <w:ind w:left="397" w:hanging="198"/>
      </w:pPr>
      <w:rPr>
        <w:rFonts w:ascii="Wingdings" w:hAnsi="Wingdings" w:hint="default"/>
        <w:b w:val="0"/>
        <w:i w:val="0"/>
        <w:color w:val="8499A6"/>
        <w:sz w:val="16"/>
      </w:rPr>
    </w:lvl>
    <w:lvl w:ilvl="1" w:tplc="04090019" w:tentative="1">
      <w:start w:val="1"/>
      <w:numFmt w:val="bullet"/>
      <w:lvlText w:val="o"/>
      <w:lvlJc w:val="left"/>
      <w:pPr>
        <w:tabs>
          <w:tab w:val="num" w:pos="1656"/>
        </w:tabs>
        <w:ind w:left="1656" w:hanging="360"/>
      </w:pPr>
      <w:rPr>
        <w:rFonts w:ascii="Courier New" w:hAnsi="Courier New" w:hint="default"/>
      </w:rPr>
    </w:lvl>
    <w:lvl w:ilvl="2" w:tplc="0409001B" w:tentative="1">
      <w:start w:val="1"/>
      <w:numFmt w:val="bullet"/>
      <w:lvlText w:val=""/>
      <w:lvlJc w:val="left"/>
      <w:pPr>
        <w:tabs>
          <w:tab w:val="num" w:pos="2376"/>
        </w:tabs>
        <w:ind w:left="2376" w:hanging="360"/>
      </w:pPr>
      <w:rPr>
        <w:rFonts w:ascii="Wingdings" w:hAnsi="Wingdings" w:hint="default"/>
      </w:rPr>
    </w:lvl>
    <w:lvl w:ilvl="3" w:tplc="0409000F" w:tentative="1">
      <w:start w:val="1"/>
      <w:numFmt w:val="bullet"/>
      <w:lvlText w:val=""/>
      <w:lvlJc w:val="left"/>
      <w:pPr>
        <w:tabs>
          <w:tab w:val="num" w:pos="3096"/>
        </w:tabs>
        <w:ind w:left="3096" w:hanging="360"/>
      </w:pPr>
      <w:rPr>
        <w:rFonts w:ascii="Symbol" w:hAnsi="Symbol" w:hint="default"/>
      </w:rPr>
    </w:lvl>
    <w:lvl w:ilvl="4" w:tplc="04090019" w:tentative="1">
      <w:start w:val="1"/>
      <w:numFmt w:val="bullet"/>
      <w:lvlText w:val="o"/>
      <w:lvlJc w:val="left"/>
      <w:pPr>
        <w:tabs>
          <w:tab w:val="num" w:pos="3816"/>
        </w:tabs>
        <w:ind w:left="3816" w:hanging="360"/>
      </w:pPr>
      <w:rPr>
        <w:rFonts w:ascii="Courier New" w:hAnsi="Courier New" w:hint="default"/>
      </w:rPr>
    </w:lvl>
    <w:lvl w:ilvl="5" w:tplc="0409001B" w:tentative="1">
      <w:start w:val="1"/>
      <w:numFmt w:val="bullet"/>
      <w:lvlText w:val=""/>
      <w:lvlJc w:val="left"/>
      <w:pPr>
        <w:tabs>
          <w:tab w:val="num" w:pos="4536"/>
        </w:tabs>
        <w:ind w:left="4536" w:hanging="360"/>
      </w:pPr>
      <w:rPr>
        <w:rFonts w:ascii="Wingdings" w:hAnsi="Wingdings" w:hint="default"/>
      </w:rPr>
    </w:lvl>
    <w:lvl w:ilvl="6" w:tplc="0409000F" w:tentative="1">
      <w:start w:val="1"/>
      <w:numFmt w:val="bullet"/>
      <w:lvlText w:val=""/>
      <w:lvlJc w:val="left"/>
      <w:pPr>
        <w:tabs>
          <w:tab w:val="num" w:pos="5256"/>
        </w:tabs>
        <w:ind w:left="5256" w:hanging="360"/>
      </w:pPr>
      <w:rPr>
        <w:rFonts w:ascii="Symbol" w:hAnsi="Symbol" w:hint="default"/>
      </w:rPr>
    </w:lvl>
    <w:lvl w:ilvl="7" w:tplc="04090019" w:tentative="1">
      <w:start w:val="1"/>
      <w:numFmt w:val="bullet"/>
      <w:lvlText w:val="o"/>
      <w:lvlJc w:val="left"/>
      <w:pPr>
        <w:tabs>
          <w:tab w:val="num" w:pos="5976"/>
        </w:tabs>
        <w:ind w:left="5976" w:hanging="360"/>
      </w:pPr>
      <w:rPr>
        <w:rFonts w:ascii="Courier New" w:hAnsi="Courier New" w:hint="default"/>
      </w:rPr>
    </w:lvl>
    <w:lvl w:ilvl="8" w:tplc="0409001B" w:tentative="1">
      <w:start w:val="1"/>
      <w:numFmt w:val="bullet"/>
      <w:lvlText w:val=""/>
      <w:lvlJc w:val="left"/>
      <w:pPr>
        <w:tabs>
          <w:tab w:val="num" w:pos="6696"/>
        </w:tabs>
        <w:ind w:left="6696" w:hanging="360"/>
      </w:pPr>
      <w:rPr>
        <w:rFonts w:ascii="Wingdings" w:hAnsi="Wingdings" w:hint="default"/>
      </w:rPr>
    </w:lvl>
  </w:abstractNum>
  <w:abstractNum w:abstractNumId="22" w15:restartNumberingAfterBreak="0">
    <w:nsid w:val="5D29300D"/>
    <w:multiLevelType w:val="multilevel"/>
    <w:tmpl w:val="08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5EA53A05"/>
    <w:multiLevelType w:val="multilevel"/>
    <w:tmpl w:val="DE12FF56"/>
    <w:lvl w:ilvl="0">
      <w:start w:val="1"/>
      <w:numFmt w:val="decimal"/>
      <w:pStyle w:val="NumHead1"/>
      <w:lvlText w:val="%1."/>
      <w:lvlJc w:val="left"/>
      <w:pPr>
        <w:tabs>
          <w:tab w:val="num" w:pos="340"/>
        </w:tabs>
        <w:ind w:left="340" w:hanging="340"/>
      </w:pPr>
      <w:rPr>
        <w:rFonts w:ascii="Arial" w:hAnsi="Arial" w:hint="default"/>
        <w:b w:val="0"/>
        <w:i w:val="0"/>
        <w:color w:val="003263"/>
        <w:sz w:val="32"/>
      </w:rPr>
    </w:lvl>
    <w:lvl w:ilvl="1">
      <w:start w:val="1"/>
      <w:numFmt w:val="decimal"/>
      <w:pStyle w:val="NumHead2"/>
      <w:lvlText w:val="%1.%2."/>
      <w:lvlJc w:val="left"/>
      <w:pPr>
        <w:tabs>
          <w:tab w:val="num" w:pos="340"/>
        </w:tabs>
        <w:ind w:left="340" w:hanging="340"/>
      </w:pPr>
      <w:rPr>
        <w:rFonts w:ascii="Arial" w:hAnsi="Arial" w:hint="default"/>
        <w:b w:val="0"/>
        <w:i w:val="0"/>
        <w:color w:val="0060A9"/>
        <w:sz w:val="25"/>
      </w:rPr>
    </w:lvl>
    <w:lvl w:ilvl="2">
      <w:start w:val="1"/>
      <w:numFmt w:val="decimal"/>
      <w:pStyle w:val="NumHead3"/>
      <w:lvlText w:val="%1.%2.%3."/>
      <w:lvlJc w:val="left"/>
      <w:pPr>
        <w:tabs>
          <w:tab w:val="num" w:pos="1224"/>
        </w:tabs>
        <w:ind w:left="1224" w:hanging="1224"/>
      </w:pPr>
      <w:rPr>
        <w:rFonts w:ascii="Arial" w:hAnsi="Arial" w:hint="default"/>
        <w:b w:val="0"/>
        <w:i w:val="0"/>
        <w:color w:val="0060A9"/>
        <w:sz w:val="22"/>
        <w:u w:val="none"/>
      </w:rPr>
    </w:lvl>
    <w:lvl w:ilvl="3">
      <w:start w:val="1"/>
      <w:numFmt w:val="decimal"/>
      <w:pStyle w:val="NumHead4"/>
      <w:lvlText w:val="%1.%2.%3.%4."/>
      <w:lvlJc w:val="left"/>
      <w:pPr>
        <w:tabs>
          <w:tab w:val="num" w:pos="1728"/>
        </w:tabs>
        <w:ind w:left="1728" w:hanging="1728"/>
      </w:pPr>
      <w:rPr>
        <w:rFonts w:ascii="Arial" w:hAnsi="Arial" w:hint="default"/>
        <w:b w:val="0"/>
        <w:i w:val="0"/>
        <w:color w:val="0060A9"/>
        <w:sz w:val="21"/>
      </w:rPr>
    </w:lvl>
    <w:lvl w:ilvl="4">
      <w:start w:val="1"/>
      <w:numFmt w:val="decimal"/>
      <w:pStyle w:val="NumHead5"/>
      <w:lvlText w:val="%1.%2.%3.%4.%5."/>
      <w:lvlJc w:val="left"/>
      <w:pPr>
        <w:tabs>
          <w:tab w:val="num" w:pos="2232"/>
        </w:tabs>
        <w:ind w:left="2232" w:hanging="2232"/>
      </w:pPr>
      <w:rPr>
        <w:rFonts w:ascii="Arial" w:hAnsi="Arial" w:hint="default"/>
        <w:b w:val="0"/>
        <w:i w:val="0"/>
        <w:color w:val="0060A9"/>
        <w:sz w:val="20"/>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4" w15:restartNumberingAfterBreak="0">
    <w:nsid w:val="5FBE4149"/>
    <w:multiLevelType w:val="multilevel"/>
    <w:tmpl w:val="182CC5EC"/>
    <w:styleLink w:val="NumHeadListAppendix"/>
    <w:lvl w:ilvl="0">
      <w:start w:val="1"/>
      <w:numFmt w:val="upperRoman"/>
      <w:lvlText w:val="%1."/>
      <w:lvlJc w:val="left"/>
      <w:pPr>
        <w:tabs>
          <w:tab w:val="num" w:pos="1008"/>
        </w:tabs>
        <w:ind w:left="1008" w:hanging="1008"/>
      </w:pPr>
      <w:rPr>
        <w:rFonts w:ascii="Arial Bold" w:hAnsi="Arial Bold" w:hint="default"/>
        <w:b/>
        <w:i w:val="0"/>
        <w:vanish/>
        <w:color w:val="FF0000"/>
        <w:sz w:val="20"/>
        <w:szCs w:val="20"/>
      </w:rPr>
    </w:lvl>
    <w:lvl w:ilvl="1">
      <w:start w:val="1"/>
      <w:numFmt w:val="lowerLetter"/>
      <w:lvlText w:val="%1.%2."/>
      <w:lvlJc w:val="left"/>
      <w:pPr>
        <w:tabs>
          <w:tab w:val="num" w:pos="1008"/>
        </w:tabs>
        <w:ind w:left="1008" w:hanging="1008"/>
      </w:pPr>
      <w:rPr>
        <w:rFonts w:ascii="Arial Bold" w:hAnsi="Arial Bold" w:hint="default"/>
        <w:b/>
        <w:i w:val="0"/>
        <w:color w:val="auto"/>
        <w:sz w:val="20"/>
        <w:szCs w:val="20"/>
      </w:rPr>
    </w:lvl>
    <w:lvl w:ilvl="2">
      <w:start w:val="1"/>
      <w:numFmt w:val="lowerLetter"/>
      <w:lvlText w:val="%1.%2.%3."/>
      <w:lvlJc w:val="left"/>
      <w:pPr>
        <w:tabs>
          <w:tab w:val="num" w:pos="1008"/>
        </w:tabs>
        <w:ind w:left="1008" w:hanging="1008"/>
      </w:pPr>
      <w:rPr>
        <w:rFonts w:ascii="Arial Bold" w:hAnsi="Arial Bold" w:hint="default"/>
        <w:b/>
        <w:i w:val="0"/>
        <w:color w:val="auto"/>
        <w:sz w:val="20"/>
        <w:szCs w:val="20"/>
      </w:rPr>
    </w:lvl>
    <w:lvl w:ilvl="3">
      <w:start w:val="1"/>
      <w:numFmt w:val="lowerLetter"/>
      <w:lvlText w:val="%1.%2.%3.%4."/>
      <w:lvlJc w:val="left"/>
      <w:pPr>
        <w:tabs>
          <w:tab w:val="num" w:pos="1008"/>
        </w:tabs>
        <w:ind w:left="1008" w:hanging="1008"/>
      </w:pPr>
      <w:rPr>
        <w:rFonts w:ascii="Arial Bold" w:hAnsi="Arial Bold" w:hint="default"/>
        <w:b/>
        <w:i w:val="0"/>
        <w:color w:val="auto"/>
        <w:sz w:val="20"/>
        <w:szCs w:val="20"/>
      </w:rPr>
    </w:lvl>
    <w:lvl w:ilvl="4">
      <w:start w:val="1"/>
      <w:numFmt w:val="lowerLetter"/>
      <w:lvlText w:val="%1.%2.%3.%4.%5."/>
      <w:lvlJc w:val="left"/>
      <w:pPr>
        <w:tabs>
          <w:tab w:val="num" w:pos="1008"/>
        </w:tabs>
        <w:ind w:left="1008" w:hanging="1008"/>
      </w:pPr>
      <w:rPr>
        <w:rFonts w:ascii="Arial Bold" w:hAnsi="Arial Bold" w:hint="default"/>
        <w:b/>
        <w:i w:val="0"/>
        <w:color w:val="auto"/>
        <w:sz w:val="20"/>
        <w:szCs w:val="20"/>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5" w15:restartNumberingAfterBreak="0">
    <w:nsid w:val="60881325"/>
    <w:multiLevelType w:val="hybridMultilevel"/>
    <w:tmpl w:val="42E60554"/>
    <w:lvl w:ilvl="0" w:tplc="46AEE8B8">
      <w:start w:val="1"/>
      <w:numFmt w:val="lowerLetter"/>
      <w:pStyle w:val="Question3"/>
      <w:lvlText w:val="%1."/>
      <w:lvlJc w:val="left"/>
      <w:pPr>
        <w:tabs>
          <w:tab w:val="num" w:pos="360"/>
        </w:tabs>
        <w:ind w:left="360" w:hanging="360"/>
      </w:pPr>
      <w:rPr>
        <w:rFonts w:ascii="Verdana" w:hAnsi="Verdana" w:hint="default"/>
        <w:b/>
        <w:i w:val="0"/>
        <w:color w:val="0060A9"/>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8152E42"/>
    <w:multiLevelType w:val="hybridMultilevel"/>
    <w:tmpl w:val="4C282EF6"/>
    <w:lvl w:ilvl="0" w:tplc="85E065AC">
      <w:start w:val="1"/>
      <w:numFmt w:val="lowerLetter"/>
      <w:pStyle w:val="List2"/>
      <w:lvlText w:val="%1."/>
      <w:lvlJc w:val="left"/>
      <w:pPr>
        <w:tabs>
          <w:tab w:val="num" w:pos="680"/>
        </w:tabs>
        <w:ind w:left="680" w:hanging="340"/>
      </w:pPr>
      <w:rPr>
        <w:rFonts w:ascii="Arial Bold" w:hAnsi="Arial Bold" w:hint="default"/>
        <w:b/>
        <w:i w:val="0"/>
        <w:color w:val="0060A9"/>
        <w:sz w:val="16"/>
        <w:u w:val="none"/>
      </w:rPr>
    </w:lvl>
    <w:lvl w:ilvl="1" w:tplc="04090019" w:tentative="1">
      <w:start w:val="1"/>
      <w:numFmt w:val="lowerLetter"/>
      <w:lvlText w:val="%2."/>
      <w:lvlJc w:val="left"/>
      <w:pPr>
        <w:tabs>
          <w:tab w:val="num" w:pos="1008"/>
        </w:tabs>
        <w:ind w:left="1008" w:hanging="360"/>
      </w:pPr>
    </w:lvl>
    <w:lvl w:ilvl="2" w:tplc="0409001B" w:tentative="1">
      <w:start w:val="1"/>
      <w:numFmt w:val="lowerRoman"/>
      <w:lvlText w:val="%3."/>
      <w:lvlJc w:val="right"/>
      <w:pPr>
        <w:tabs>
          <w:tab w:val="num" w:pos="1728"/>
        </w:tabs>
        <w:ind w:left="1728" w:hanging="180"/>
      </w:pPr>
    </w:lvl>
    <w:lvl w:ilvl="3" w:tplc="0409000F" w:tentative="1">
      <w:start w:val="1"/>
      <w:numFmt w:val="decimal"/>
      <w:lvlText w:val="%4."/>
      <w:lvlJc w:val="left"/>
      <w:pPr>
        <w:tabs>
          <w:tab w:val="num" w:pos="2448"/>
        </w:tabs>
        <w:ind w:left="2448" w:hanging="360"/>
      </w:pPr>
    </w:lvl>
    <w:lvl w:ilvl="4" w:tplc="04090019" w:tentative="1">
      <w:start w:val="1"/>
      <w:numFmt w:val="lowerLetter"/>
      <w:lvlText w:val="%5."/>
      <w:lvlJc w:val="left"/>
      <w:pPr>
        <w:tabs>
          <w:tab w:val="num" w:pos="3168"/>
        </w:tabs>
        <w:ind w:left="3168" w:hanging="360"/>
      </w:pPr>
    </w:lvl>
    <w:lvl w:ilvl="5" w:tplc="0409001B" w:tentative="1">
      <w:start w:val="1"/>
      <w:numFmt w:val="lowerRoman"/>
      <w:lvlText w:val="%6."/>
      <w:lvlJc w:val="right"/>
      <w:pPr>
        <w:tabs>
          <w:tab w:val="num" w:pos="3888"/>
        </w:tabs>
        <w:ind w:left="3888" w:hanging="180"/>
      </w:pPr>
    </w:lvl>
    <w:lvl w:ilvl="6" w:tplc="0409000F" w:tentative="1">
      <w:start w:val="1"/>
      <w:numFmt w:val="decimal"/>
      <w:lvlText w:val="%7."/>
      <w:lvlJc w:val="left"/>
      <w:pPr>
        <w:tabs>
          <w:tab w:val="num" w:pos="4608"/>
        </w:tabs>
        <w:ind w:left="4608" w:hanging="360"/>
      </w:pPr>
    </w:lvl>
    <w:lvl w:ilvl="7" w:tplc="04090019" w:tentative="1">
      <w:start w:val="1"/>
      <w:numFmt w:val="lowerLetter"/>
      <w:lvlText w:val="%8."/>
      <w:lvlJc w:val="left"/>
      <w:pPr>
        <w:tabs>
          <w:tab w:val="num" w:pos="5328"/>
        </w:tabs>
        <w:ind w:left="5328" w:hanging="360"/>
      </w:pPr>
    </w:lvl>
    <w:lvl w:ilvl="8" w:tplc="0409001B" w:tentative="1">
      <w:start w:val="1"/>
      <w:numFmt w:val="lowerRoman"/>
      <w:lvlText w:val="%9."/>
      <w:lvlJc w:val="right"/>
      <w:pPr>
        <w:tabs>
          <w:tab w:val="num" w:pos="6048"/>
        </w:tabs>
        <w:ind w:left="6048" w:hanging="180"/>
      </w:pPr>
    </w:lvl>
  </w:abstractNum>
  <w:abstractNum w:abstractNumId="27" w15:restartNumberingAfterBreak="0">
    <w:nsid w:val="687408E2"/>
    <w:multiLevelType w:val="hybridMultilevel"/>
    <w:tmpl w:val="51AEDAC0"/>
    <w:lvl w:ilvl="0" w:tplc="B18CBFCA">
      <w:start w:val="1"/>
      <w:numFmt w:val="bullet"/>
      <w:pStyle w:val="ListBullet"/>
      <w:lvlText w:val=""/>
      <w:lvlJc w:val="left"/>
      <w:pPr>
        <w:tabs>
          <w:tab w:val="num" w:pos="340"/>
        </w:tabs>
        <w:ind w:left="340" w:hanging="340"/>
      </w:pPr>
      <w:rPr>
        <w:rFonts w:ascii="Wingdings" w:hAnsi="Wingdings" w:hint="default"/>
        <w:b w:val="0"/>
        <w:i w:val="0"/>
        <w:color w:val="0060A9"/>
        <w:w w:val="100"/>
        <w:sz w:val="20"/>
      </w:rPr>
    </w:lvl>
    <w:lvl w:ilvl="1" w:tplc="08090003">
      <w:start w:val="1"/>
      <w:numFmt w:val="bullet"/>
      <w:lvlText w:val="o"/>
      <w:lvlJc w:val="left"/>
      <w:pPr>
        <w:tabs>
          <w:tab w:val="num" w:pos="1224"/>
        </w:tabs>
        <w:ind w:left="1224" w:hanging="360"/>
      </w:pPr>
      <w:rPr>
        <w:rFonts w:ascii="Courier New" w:hAnsi="Courier New" w:cs="Courier New" w:hint="default"/>
      </w:rPr>
    </w:lvl>
    <w:lvl w:ilvl="2" w:tplc="08090005" w:tentative="1">
      <w:start w:val="1"/>
      <w:numFmt w:val="bullet"/>
      <w:lvlText w:val=""/>
      <w:lvlJc w:val="left"/>
      <w:pPr>
        <w:tabs>
          <w:tab w:val="num" w:pos="1944"/>
        </w:tabs>
        <w:ind w:left="1944" w:hanging="360"/>
      </w:pPr>
      <w:rPr>
        <w:rFonts w:ascii="Wingdings" w:hAnsi="Wingdings" w:hint="default"/>
      </w:rPr>
    </w:lvl>
    <w:lvl w:ilvl="3" w:tplc="08090001" w:tentative="1">
      <w:start w:val="1"/>
      <w:numFmt w:val="bullet"/>
      <w:lvlText w:val=""/>
      <w:lvlJc w:val="left"/>
      <w:pPr>
        <w:tabs>
          <w:tab w:val="num" w:pos="2664"/>
        </w:tabs>
        <w:ind w:left="2664" w:hanging="360"/>
      </w:pPr>
      <w:rPr>
        <w:rFonts w:ascii="Symbol" w:hAnsi="Symbol" w:hint="default"/>
      </w:rPr>
    </w:lvl>
    <w:lvl w:ilvl="4" w:tplc="08090003" w:tentative="1">
      <w:start w:val="1"/>
      <w:numFmt w:val="bullet"/>
      <w:lvlText w:val="o"/>
      <w:lvlJc w:val="left"/>
      <w:pPr>
        <w:tabs>
          <w:tab w:val="num" w:pos="3384"/>
        </w:tabs>
        <w:ind w:left="3384" w:hanging="360"/>
      </w:pPr>
      <w:rPr>
        <w:rFonts w:ascii="Courier New" w:hAnsi="Courier New" w:cs="Courier New" w:hint="default"/>
      </w:rPr>
    </w:lvl>
    <w:lvl w:ilvl="5" w:tplc="08090005" w:tentative="1">
      <w:start w:val="1"/>
      <w:numFmt w:val="bullet"/>
      <w:lvlText w:val=""/>
      <w:lvlJc w:val="left"/>
      <w:pPr>
        <w:tabs>
          <w:tab w:val="num" w:pos="4104"/>
        </w:tabs>
        <w:ind w:left="4104" w:hanging="360"/>
      </w:pPr>
      <w:rPr>
        <w:rFonts w:ascii="Wingdings" w:hAnsi="Wingdings" w:hint="default"/>
      </w:rPr>
    </w:lvl>
    <w:lvl w:ilvl="6" w:tplc="08090001" w:tentative="1">
      <w:start w:val="1"/>
      <w:numFmt w:val="bullet"/>
      <w:lvlText w:val=""/>
      <w:lvlJc w:val="left"/>
      <w:pPr>
        <w:tabs>
          <w:tab w:val="num" w:pos="4824"/>
        </w:tabs>
        <w:ind w:left="4824" w:hanging="360"/>
      </w:pPr>
      <w:rPr>
        <w:rFonts w:ascii="Symbol" w:hAnsi="Symbol" w:hint="default"/>
      </w:rPr>
    </w:lvl>
    <w:lvl w:ilvl="7" w:tplc="08090003" w:tentative="1">
      <w:start w:val="1"/>
      <w:numFmt w:val="bullet"/>
      <w:lvlText w:val="o"/>
      <w:lvlJc w:val="left"/>
      <w:pPr>
        <w:tabs>
          <w:tab w:val="num" w:pos="5544"/>
        </w:tabs>
        <w:ind w:left="5544" w:hanging="360"/>
      </w:pPr>
      <w:rPr>
        <w:rFonts w:ascii="Courier New" w:hAnsi="Courier New" w:cs="Courier New" w:hint="default"/>
      </w:rPr>
    </w:lvl>
    <w:lvl w:ilvl="8" w:tplc="08090005" w:tentative="1">
      <w:start w:val="1"/>
      <w:numFmt w:val="bullet"/>
      <w:lvlText w:val=""/>
      <w:lvlJc w:val="left"/>
      <w:pPr>
        <w:tabs>
          <w:tab w:val="num" w:pos="6264"/>
        </w:tabs>
        <w:ind w:left="6264" w:hanging="360"/>
      </w:pPr>
      <w:rPr>
        <w:rFonts w:ascii="Wingdings" w:hAnsi="Wingdings" w:hint="default"/>
      </w:rPr>
    </w:lvl>
  </w:abstractNum>
  <w:abstractNum w:abstractNumId="28" w15:restartNumberingAfterBreak="0">
    <w:nsid w:val="781352F0"/>
    <w:multiLevelType w:val="hybridMultilevel"/>
    <w:tmpl w:val="AD10E762"/>
    <w:lvl w:ilvl="0" w:tplc="23FAA4B8">
      <w:start w:val="1"/>
      <w:numFmt w:val="bullet"/>
      <w:pStyle w:val="Question4"/>
      <w:lvlText w:val=""/>
      <w:lvlJc w:val="left"/>
      <w:pPr>
        <w:tabs>
          <w:tab w:val="num" w:pos="717"/>
        </w:tabs>
        <w:ind w:left="717" w:hanging="360"/>
      </w:pPr>
      <w:rPr>
        <w:rFonts w:ascii="Wingdings" w:hAnsi="Wingdings" w:hint="default"/>
        <w:b w:val="0"/>
        <w:i w:val="0"/>
        <w:color w:val="0060A9"/>
        <w:spacing w:val="0"/>
        <w:w w:val="100"/>
        <w:kern w:val="0"/>
        <w:position w:val="0"/>
        <w:sz w:val="16"/>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E7D5FDF"/>
    <w:multiLevelType w:val="hybridMultilevel"/>
    <w:tmpl w:val="3864BCDA"/>
    <w:lvl w:ilvl="0" w:tplc="2848CCF6">
      <w:start w:val="1"/>
      <w:numFmt w:val="bullet"/>
      <w:pStyle w:val="TableBullet1"/>
      <w:lvlText w:val=""/>
      <w:lvlJc w:val="left"/>
      <w:pPr>
        <w:tabs>
          <w:tab w:val="num" w:pos="199"/>
        </w:tabs>
        <w:ind w:left="199" w:hanging="199"/>
      </w:pPr>
      <w:rPr>
        <w:rFonts w:ascii="Wingdings" w:hAnsi="Wingdings" w:hint="default"/>
        <w:b w:val="0"/>
        <w:i w:val="0"/>
        <w:color w:val="0060A9"/>
        <w:spacing w:val="0"/>
        <w:w w:val="100"/>
        <w:kern w:val="0"/>
        <w:position w:val="0"/>
        <w:sz w:val="16"/>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7312510">
    <w:abstractNumId w:val="5"/>
  </w:num>
  <w:num w:numId="2" w16cid:durableId="852454433">
    <w:abstractNumId w:val="20"/>
  </w:num>
  <w:num w:numId="3" w16cid:durableId="566645358">
    <w:abstractNumId w:val="22"/>
  </w:num>
  <w:num w:numId="4" w16cid:durableId="1560744490">
    <w:abstractNumId w:val="13"/>
  </w:num>
  <w:num w:numId="5" w16cid:durableId="1339965497">
    <w:abstractNumId w:val="6"/>
  </w:num>
  <w:num w:numId="6" w16cid:durableId="1127940101">
    <w:abstractNumId w:val="26"/>
  </w:num>
  <w:num w:numId="7" w16cid:durableId="1757052199">
    <w:abstractNumId w:val="18"/>
  </w:num>
  <w:num w:numId="8" w16cid:durableId="1754928951">
    <w:abstractNumId w:val="14"/>
  </w:num>
  <w:num w:numId="9" w16cid:durableId="1535315163">
    <w:abstractNumId w:val="27"/>
  </w:num>
  <w:num w:numId="10" w16cid:durableId="467743230">
    <w:abstractNumId w:val="7"/>
  </w:num>
  <w:num w:numId="11" w16cid:durableId="1309743998">
    <w:abstractNumId w:val="12"/>
  </w:num>
  <w:num w:numId="12" w16cid:durableId="1266378007">
    <w:abstractNumId w:val="4"/>
  </w:num>
  <w:num w:numId="13" w16cid:durableId="800852164">
    <w:abstractNumId w:val="3"/>
  </w:num>
  <w:num w:numId="14" w16cid:durableId="1426344960">
    <w:abstractNumId w:val="9"/>
  </w:num>
  <w:num w:numId="15" w16cid:durableId="1433628472">
    <w:abstractNumId w:val="2"/>
  </w:num>
  <w:num w:numId="16" w16cid:durableId="1892493986">
    <w:abstractNumId w:val="1"/>
  </w:num>
  <w:num w:numId="17" w16cid:durableId="1138762159">
    <w:abstractNumId w:val="0"/>
  </w:num>
  <w:num w:numId="18" w16cid:durableId="190581992">
    <w:abstractNumId w:val="23"/>
  </w:num>
  <w:num w:numId="19" w16cid:durableId="577138269">
    <w:abstractNumId w:val="24"/>
  </w:num>
  <w:num w:numId="20" w16cid:durableId="363868840">
    <w:abstractNumId w:val="11"/>
    <w:lvlOverride w:ilvl="1">
      <w:lvl w:ilvl="1">
        <w:start w:val="1"/>
        <w:numFmt w:val="decimal"/>
        <w:isLgl/>
        <w:lvlText w:val="%1.%2."/>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isLgl/>
        <w:lvlText w:val="%1.%2.%3."/>
        <w:lvlJc w:val="left"/>
        <w:pPr>
          <w:tabs>
            <w:tab w:val="num" w:pos="1008"/>
          </w:tabs>
          <w:ind w:left="1008" w:hanging="1008"/>
        </w:pPr>
        <w:rPr>
          <w:rFonts w:ascii="Arial" w:hAnsi="Arial" w:hint="default"/>
          <w:b w:val="0"/>
          <w:i w:val="0"/>
          <w:color w:val="0060A9"/>
          <w:sz w:val="22"/>
          <w:szCs w:val="20"/>
        </w:rPr>
      </w:lvl>
    </w:lvlOverride>
    <w:lvlOverride w:ilvl="3">
      <w:lvl w:ilvl="3">
        <w:start w:val="1"/>
        <w:numFmt w:val="decimal"/>
        <w:isLgl/>
        <w:lvlText w:val="%1.%2.%3.%4."/>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decimal"/>
        <w:isLgl/>
        <w:lvlText w:val="%1.%2.%3.%4.%5."/>
        <w:lvlJc w:val="left"/>
        <w:pPr>
          <w:tabs>
            <w:tab w:val="num" w:pos="1008"/>
          </w:tabs>
          <w:ind w:left="1008" w:hanging="1008"/>
        </w:pPr>
        <w:rPr>
          <w:rFonts w:ascii="Arial" w:hAnsi="Arial" w:hint="default"/>
          <w:color w:val="0060A9"/>
          <w:sz w:val="20"/>
          <w:szCs w:val="20"/>
        </w:rPr>
      </w:lvl>
    </w:lvlOverride>
  </w:num>
  <w:num w:numId="21" w16cid:durableId="1114445120">
    <w:abstractNumId w:val="16"/>
    <w:lvlOverride w:ilvl="0">
      <w:startOverride w:val="1"/>
    </w:lvlOverride>
  </w:num>
  <w:num w:numId="22" w16cid:durableId="579868872">
    <w:abstractNumId w:val="25"/>
    <w:lvlOverride w:ilvl="0">
      <w:startOverride w:val="1"/>
    </w:lvlOverride>
  </w:num>
  <w:num w:numId="23" w16cid:durableId="2054889922">
    <w:abstractNumId w:val="28"/>
  </w:num>
  <w:num w:numId="24" w16cid:durableId="647057666">
    <w:abstractNumId w:val="10"/>
  </w:num>
  <w:num w:numId="25" w16cid:durableId="2080127381">
    <w:abstractNumId w:val="29"/>
  </w:num>
  <w:num w:numId="26" w16cid:durableId="356465705">
    <w:abstractNumId w:val="21"/>
  </w:num>
  <w:num w:numId="27" w16cid:durableId="899249079">
    <w:abstractNumId w:val="15"/>
  </w:num>
  <w:num w:numId="28" w16cid:durableId="2040088058">
    <w:abstractNumId w:val="19"/>
  </w:num>
  <w:num w:numId="29" w16cid:durableId="1780565830">
    <w:abstractNumId w:val="11"/>
  </w:num>
  <w:num w:numId="30" w16cid:durableId="405763411">
    <w:abstractNumId w:val="17"/>
  </w:num>
  <w:num w:numId="31" w16cid:durableId="1614172259">
    <w:abstractNumId w:val="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1"/>
  <w:embedTrueType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0"/>
  <w:drawingGridHorizontalSpacing w:val="43"/>
  <w:noPunctuationKerning/>
  <w:characterSpacingControl w:val="doNotCompress"/>
  <w:hdrShapeDefaults>
    <o:shapedefaults v:ext="edit" spidmax="2050">
      <o:colormru v:ext="edit" colors="#eaeaea,#005daa,#13b5ea,#c9c1b8,#ebd722,#002b5c,black,#808184"/>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randing" w:val="Deutsche Bank"/>
    <w:docVar w:name="CreatorVersion" w:val="3.0"/>
    <w:docVar w:name="DocType" w:val="Portrait Book"/>
    <w:docVar w:name="NewDoc" w:val="False"/>
  </w:docVars>
  <w:rsids>
    <w:rsidRoot w:val="008A4165"/>
    <w:rsid w:val="000007C4"/>
    <w:rsid w:val="00003C0C"/>
    <w:rsid w:val="00004213"/>
    <w:rsid w:val="000050E9"/>
    <w:rsid w:val="0000570B"/>
    <w:rsid w:val="00011066"/>
    <w:rsid w:val="000121EF"/>
    <w:rsid w:val="000122CD"/>
    <w:rsid w:val="00012B5F"/>
    <w:rsid w:val="00014743"/>
    <w:rsid w:val="0001642A"/>
    <w:rsid w:val="0001753A"/>
    <w:rsid w:val="000225AB"/>
    <w:rsid w:val="00022A0E"/>
    <w:rsid w:val="0002312F"/>
    <w:rsid w:val="0002317B"/>
    <w:rsid w:val="00023D60"/>
    <w:rsid w:val="000259C0"/>
    <w:rsid w:val="0002629E"/>
    <w:rsid w:val="000268D0"/>
    <w:rsid w:val="000310D5"/>
    <w:rsid w:val="00031D31"/>
    <w:rsid w:val="00032802"/>
    <w:rsid w:val="000366CF"/>
    <w:rsid w:val="00037870"/>
    <w:rsid w:val="000410ED"/>
    <w:rsid w:val="0004154E"/>
    <w:rsid w:val="00042048"/>
    <w:rsid w:val="00042A27"/>
    <w:rsid w:val="00043BAD"/>
    <w:rsid w:val="00044595"/>
    <w:rsid w:val="00045EDB"/>
    <w:rsid w:val="000526FE"/>
    <w:rsid w:val="00055935"/>
    <w:rsid w:val="00057E3B"/>
    <w:rsid w:val="00061671"/>
    <w:rsid w:val="0006318A"/>
    <w:rsid w:val="000632F5"/>
    <w:rsid w:val="000641A7"/>
    <w:rsid w:val="000646AC"/>
    <w:rsid w:val="00064A90"/>
    <w:rsid w:val="00067651"/>
    <w:rsid w:val="00071984"/>
    <w:rsid w:val="00077257"/>
    <w:rsid w:val="00077A21"/>
    <w:rsid w:val="00077BD4"/>
    <w:rsid w:val="00080654"/>
    <w:rsid w:val="00081CA6"/>
    <w:rsid w:val="0008352D"/>
    <w:rsid w:val="000839ED"/>
    <w:rsid w:val="00083BA5"/>
    <w:rsid w:val="00083DE3"/>
    <w:rsid w:val="00084C8A"/>
    <w:rsid w:val="00085AB8"/>
    <w:rsid w:val="00087308"/>
    <w:rsid w:val="000876FE"/>
    <w:rsid w:val="00094184"/>
    <w:rsid w:val="0009622C"/>
    <w:rsid w:val="00096C86"/>
    <w:rsid w:val="000A38F2"/>
    <w:rsid w:val="000A3F61"/>
    <w:rsid w:val="000B0E1D"/>
    <w:rsid w:val="000B291C"/>
    <w:rsid w:val="000B3D2C"/>
    <w:rsid w:val="000B50A9"/>
    <w:rsid w:val="000B5590"/>
    <w:rsid w:val="000B7A3E"/>
    <w:rsid w:val="000C57F6"/>
    <w:rsid w:val="000D0EBE"/>
    <w:rsid w:val="000D23AD"/>
    <w:rsid w:val="000D249A"/>
    <w:rsid w:val="000D29AB"/>
    <w:rsid w:val="000D7508"/>
    <w:rsid w:val="000D7DAE"/>
    <w:rsid w:val="000E20FA"/>
    <w:rsid w:val="000E2D2A"/>
    <w:rsid w:val="000E455F"/>
    <w:rsid w:val="000E47F9"/>
    <w:rsid w:val="000E6197"/>
    <w:rsid w:val="000F475F"/>
    <w:rsid w:val="000F486B"/>
    <w:rsid w:val="000F4C2C"/>
    <w:rsid w:val="000F4CCF"/>
    <w:rsid w:val="000F4FD3"/>
    <w:rsid w:val="001011AC"/>
    <w:rsid w:val="00105B09"/>
    <w:rsid w:val="001075C4"/>
    <w:rsid w:val="00107933"/>
    <w:rsid w:val="001104AE"/>
    <w:rsid w:val="00110932"/>
    <w:rsid w:val="00111831"/>
    <w:rsid w:val="00111CA8"/>
    <w:rsid w:val="00112CE6"/>
    <w:rsid w:val="0011412F"/>
    <w:rsid w:val="00115814"/>
    <w:rsid w:val="00116F21"/>
    <w:rsid w:val="00116FFF"/>
    <w:rsid w:val="001212D6"/>
    <w:rsid w:val="00122076"/>
    <w:rsid w:val="00123298"/>
    <w:rsid w:val="00124420"/>
    <w:rsid w:val="001248B8"/>
    <w:rsid w:val="001303DF"/>
    <w:rsid w:val="00130ADC"/>
    <w:rsid w:val="0013170B"/>
    <w:rsid w:val="00131FA0"/>
    <w:rsid w:val="001333E9"/>
    <w:rsid w:val="0013406E"/>
    <w:rsid w:val="00136AB8"/>
    <w:rsid w:val="001413C2"/>
    <w:rsid w:val="00141791"/>
    <w:rsid w:val="001438E4"/>
    <w:rsid w:val="00144A34"/>
    <w:rsid w:val="0014553D"/>
    <w:rsid w:val="00146229"/>
    <w:rsid w:val="00146EA2"/>
    <w:rsid w:val="00147E12"/>
    <w:rsid w:val="00150B66"/>
    <w:rsid w:val="00150F43"/>
    <w:rsid w:val="00152B5E"/>
    <w:rsid w:val="00153538"/>
    <w:rsid w:val="001543B6"/>
    <w:rsid w:val="00155280"/>
    <w:rsid w:val="00155323"/>
    <w:rsid w:val="00155D44"/>
    <w:rsid w:val="0015790E"/>
    <w:rsid w:val="00161CEE"/>
    <w:rsid w:val="00162219"/>
    <w:rsid w:val="00163B5B"/>
    <w:rsid w:val="001670F3"/>
    <w:rsid w:val="00170088"/>
    <w:rsid w:val="00171173"/>
    <w:rsid w:val="001725FE"/>
    <w:rsid w:val="00172E2E"/>
    <w:rsid w:val="00173806"/>
    <w:rsid w:val="00173B69"/>
    <w:rsid w:val="001748C7"/>
    <w:rsid w:val="00175434"/>
    <w:rsid w:val="001754CF"/>
    <w:rsid w:val="00176B4A"/>
    <w:rsid w:val="00181BC5"/>
    <w:rsid w:val="001833FF"/>
    <w:rsid w:val="001858D9"/>
    <w:rsid w:val="00185FA9"/>
    <w:rsid w:val="00187009"/>
    <w:rsid w:val="001875BF"/>
    <w:rsid w:val="001878FF"/>
    <w:rsid w:val="0019025A"/>
    <w:rsid w:val="00193527"/>
    <w:rsid w:val="0019791B"/>
    <w:rsid w:val="001A2D88"/>
    <w:rsid w:val="001A4C79"/>
    <w:rsid w:val="001A66C2"/>
    <w:rsid w:val="001B0846"/>
    <w:rsid w:val="001B2BEE"/>
    <w:rsid w:val="001B2DF8"/>
    <w:rsid w:val="001B788E"/>
    <w:rsid w:val="001C07E6"/>
    <w:rsid w:val="001C08D3"/>
    <w:rsid w:val="001C1B6D"/>
    <w:rsid w:val="001C256F"/>
    <w:rsid w:val="001C4478"/>
    <w:rsid w:val="001C746F"/>
    <w:rsid w:val="001D0A4F"/>
    <w:rsid w:val="001D0EB0"/>
    <w:rsid w:val="001D16D8"/>
    <w:rsid w:val="001D1FFE"/>
    <w:rsid w:val="001D2867"/>
    <w:rsid w:val="001D341D"/>
    <w:rsid w:val="001D6616"/>
    <w:rsid w:val="001D6A4C"/>
    <w:rsid w:val="001D6BB3"/>
    <w:rsid w:val="001E19C3"/>
    <w:rsid w:val="001E3270"/>
    <w:rsid w:val="001F5613"/>
    <w:rsid w:val="001F662F"/>
    <w:rsid w:val="001F6DA2"/>
    <w:rsid w:val="001F7CAA"/>
    <w:rsid w:val="00200F0F"/>
    <w:rsid w:val="00201273"/>
    <w:rsid w:val="00201CB6"/>
    <w:rsid w:val="002021F0"/>
    <w:rsid w:val="00203DF5"/>
    <w:rsid w:val="00210BF9"/>
    <w:rsid w:val="0021305B"/>
    <w:rsid w:val="00215D4B"/>
    <w:rsid w:val="00216056"/>
    <w:rsid w:val="00217A23"/>
    <w:rsid w:val="00220C0A"/>
    <w:rsid w:val="00221F0F"/>
    <w:rsid w:val="0022325A"/>
    <w:rsid w:val="00223F30"/>
    <w:rsid w:val="0022753D"/>
    <w:rsid w:val="00230536"/>
    <w:rsid w:val="002305AA"/>
    <w:rsid w:val="0023351A"/>
    <w:rsid w:val="00233AA1"/>
    <w:rsid w:val="0023470B"/>
    <w:rsid w:val="00234717"/>
    <w:rsid w:val="002430B9"/>
    <w:rsid w:val="00252325"/>
    <w:rsid w:val="00253517"/>
    <w:rsid w:val="00253632"/>
    <w:rsid w:val="00255C13"/>
    <w:rsid w:val="00256495"/>
    <w:rsid w:val="002643AB"/>
    <w:rsid w:val="002648CF"/>
    <w:rsid w:val="0026619A"/>
    <w:rsid w:val="00266C64"/>
    <w:rsid w:val="00267F35"/>
    <w:rsid w:val="0027070B"/>
    <w:rsid w:val="00273260"/>
    <w:rsid w:val="00274797"/>
    <w:rsid w:val="00276825"/>
    <w:rsid w:val="00280B20"/>
    <w:rsid w:val="00283865"/>
    <w:rsid w:val="00284A35"/>
    <w:rsid w:val="00285286"/>
    <w:rsid w:val="002877E7"/>
    <w:rsid w:val="002944A8"/>
    <w:rsid w:val="002A5950"/>
    <w:rsid w:val="002A5A99"/>
    <w:rsid w:val="002A785B"/>
    <w:rsid w:val="002A7E00"/>
    <w:rsid w:val="002B098C"/>
    <w:rsid w:val="002B1128"/>
    <w:rsid w:val="002B1887"/>
    <w:rsid w:val="002B311B"/>
    <w:rsid w:val="002B36E1"/>
    <w:rsid w:val="002B5ADC"/>
    <w:rsid w:val="002B6824"/>
    <w:rsid w:val="002C03B4"/>
    <w:rsid w:val="002C1C26"/>
    <w:rsid w:val="002C3FA6"/>
    <w:rsid w:val="002C4A09"/>
    <w:rsid w:val="002D2DF3"/>
    <w:rsid w:val="002D427C"/>
    <w:rsid w:val="002D5DB2"/>
    <w:rsid w:val="002D5DD6"/>
    <w:rsid w:val="002D6110"/>
    <w:rsid w:val="002D6246"/>
    <w:rsid w:val="002D6DE6"/>
    <w:rsid w:val="002D7C30"/>
    <w:rsid w:val="002E0D36"/>
    <w:rsid w:val="002E1696"/>
    <w:rsid w:val="002E2274"/>
    <w:rsid w:val="002E3544"/>
    <w:rsid w:val="002E7028"/>
    <w:rsid w:val="002F1594"/>
    <w:rsid w:val="002F2D08"/>
    <w:rsid w:val="002F3E27"/>
    <w:rsid w:val="003000B1"/>
    <w:rsid w:val="00300DBA"/>
    <w:rsid w:val="00301EA4"/>
    <w:rsid w:val="00302C35"/>
    <w:rsid w:val="00306043"/>
    <w:rsid w:val="00306D73"/>
    <w:rsid w:val="003073DA"/>
    <w:rsid w:val="0030752F"/>
    <w:rsid w:val="00310237"/>
    <w:rsid w:val="003109CF"/>
    <w:rsid w:val="0031609F"/>
    <w:rsid w:val="003172E1"/>
    <w:rsid w:val="00320C34"/>
    <w:rsid w:val="00321100"/>
    <w:rsid w:val="00323A87"/>
    <w:rsid w:val="00324579"/>
    <w:rsid w:val="00324987"/>
    <w:rsid w:val="00324EB1"/>
    <w:rsid w:val="00325FEC"/>
    <w:rsid w:val="003278BD"/>
    <w:rsid w:val="00330CAF"/>
    <w:rsid w:val="0033128B"/>
    <w:rsid w:val="00333BFF"/>
    <w:rsid w:val="00335705"/>
    <w:rsid w:val="003359F8"/>
    <w:rsid w:val="0034095B"/>
    <w:rsid w:val="00340D0B"/>
    <w:rsid w:val="00342129"/>
    <w:rsid w:val="003437F4"/>
    <w:rsid w:val="00344BD9"/>
    <w:rsid w:val="003475B3"/>
    <w:rsid w:val="003476D5"/>
    <w:rsid w:val="00350012"/>
    <w:rsid w:val="00350945"/>
    <w:rsid w:val="00351746"/>
    <w:rsid w:val="00352E52"/>
    <w:rsid w:val="00353E9C"/>
    <w:rsid w:val="003545BE"/>
    <w:rsid w:val="00356FEA"/>
    <w:rsid w:val="00360193"/>
    <w:rsid w:val="00362288"/>
    <w:rsid w:val="003631C7"/>
    <w:rsid w:val="0036385B"/>
    <w:rsid w:val="00363F17"/>
    <w:rsid w:val="00365FE0"/>
    <w:rsid w:val="003678E8"/>
    <w:rsid w:val="00370F3C"/>
    <w:rsid w:val="00372480"/>
    <w:rsid w:val="00377163"/>
    <w:rsid w:val="003773CE"/>
    <w:rsid w:val="00380ABE"/>
    <w:rsid w:val="003820F3"/>
    <w:rsid w:val="00382176"/>
    <w:rsid w:val="00384D68"/>
    <w:rsid w:val="003856F0"/>
    <w:rsid w:val="00385A2B"/>
    <w:rsid w:val="0039086D"/>
    <w:rsid w:val="0039100E"/>
    <w:rsid w:val="0039392B"/>
    <w:rsid w:val="0039548C"/>
    <w:rsid w:val="003954E7"/>
    <w:rsid w:val="00395A9D"/>
    <w:rsid w:val="0039607A"/>
    <w:rsid w:val="0039620E"/>
    <w:rsid w:val="0039777B"/>
    <w:rsid w:val="003A0C05"/>
    <w:rsid w:val="003A5CEA"/>
    <w:rsid w:val="003A6BD8"/>
    <w:rsid w:val="003A6F41"/>
    <w:rsid w:val="003B02B4"/>
    <w:rsid w:val="003B09E2"/>
    <w:rsid w:val="003B3702"/>
    <w:rsid w:val="003B5125"/>
    <w:rsid w:val="003B52F0"/>
    <w:rsid w:val="003C0E6B"/>
    <w:rsid w:val="003C29F9"/>
    <w:rsid w:val="003C2C66"/>
    <w:rsid w:val="003C341E"/>
    <w:rsid w:val="003C38A3"/>
    <w:rsid w:val="003C3B70"/>
    <w:rsid w:val="003C3E74"/>
    <w:rsid w:val="003C5DDA"/>
    <w:rsid w:val="003C6125"/>
    <w:rsid w:val="003C613D"/>
    <w:rsid w:val="003C62A8"/>
    <w:rsid w:val="003C6FB6"/>
    <w:rsid w:val="003C6FC0"/>
    <w:rsid w:val="003D655B"/>
    <w:rsid w:val="003D6788"/>
    <w:rsid w:val="003D7033"/>
    <w:rsid w:val="003E5470"/>
    <w:rsid w:val="003E7BD3"/>
    <w:rsid w:val="003E7F01"/>
    <w:rsid w:val="003F017A"/>
    <w:rsid w:val="003F1AAB"/>
    <w:rsid w:val="003F2417"/>
    <w:rsid w:val="003F26A8"/>
    <w:rsid w:val="003F3180"/>
    <w:rsid w:val="003F495B"/>
    <w:rsid w:val="003F7470"/>
    <w:rsid w:val="00404911"/>
    <w:rsid w:val="00404D36"/>
    <w:rsid w:val="00405562"/>
    <w:rsid w:val="00406975"/>
    <w:rsid w:val="004111C6"/>
    <w:rsid w:val="004114D6"/>
    <w:rsid w:val="0041335F"/>
    <w:rsid w:val="00413E83"/>
    <w:rsid w:val="004140B2"/>
    <w:rsid w:val="00415D02"/>
    <w:rsid w:val="00415F69"/>
    <w:rsid w:val="00417450"/>
    <w:rsid w:val="00420AB0"/>
    <w:rsid w:val="00431C35"/>
    <w:rsid w:val="00433309"/>
    <w:rsid w:val="00433503"/>
    <w:rsid w:val="00437D11"/>
    <w:rsid w:val="004402DE"/>
    <w:rsid w:val="0044561F"/>
    <w:rsid w:val="00446787"/>
    <w:rsid w:val="00447CE7"/>
    <w:rsid w:val="00453018"/>
    <w:rsid w:val="00454742"/>
    <w:rsid w:val="00455DDE"/>
    <w:rsid w:val="004572B8"/>
    <w:rsid w:val="0045770D"/>
    <w:rsid w:val="00460478"/>
    <w:rsid w:val="00463FEC"/>
    <w:rsid w:val="0046488A"/>
    <w:rsid w:val="00464C4C"/>
    <w:rsid w:val="00465DD3"/>
    <w:rsid w:val="00466A0C"/>
    <w:rsid w:val="00466FB5"/>
    <w:rsid w:val="004670CE"/>
    <w:rsid w:val="00472A45"/>
    <w:rsid w:val="00472F15"/>
    <w:rsid w:val="004764E9"/>
    <w:rsid w:val="0047767C"/>
    <w:rsid w:val="00481A6D"/>
    <w:rsid w:val="00482C6E"/>
    <w:rsid w:val="00486AD0"/>
    <w:rsid w:val="00490D4A"/>
    <w:rsid w:val="00490D7A"/>
    <w:rsid w:val="00491FA5"/>
    <w:rsid w:val="004938AF"/>
    <w:rsid w:val="00494966"/>
    <w:rsid w:val="00494BDE"/>
    <w:rsid w:val="00496B6C"/>
    <w:rsid w:val="0049775F"/>
    <w:rsid w:val="004A0891"/>
    <w:rsid w:val="004A0A0A"/>
    <w:rsid w:val="004A21A3"/>
    <w:rsid w:val="004A2B98"/>
    <w:rsid w:val="004A3343"/>
    <w:rsid w:val="004A355D"/>
    <w:rsid w:val="004A397C"/>
    <w:rsid w:val="004A5D16"/>
    <w:rsid w:val="004A6AB5"/>
    <w:rsid w:val="004A78BD"/>
    <w:rsid w:val="004B0E58"/>
    <w:rsid w:val="004B2E02"/>
    <w:rsid w:val="004B4FF3"/>
    <w:rsid w:val="004B51A4"/>
    <w:rsid w:val="004B5B0C"/>
    <w:rsid w:val="004B6A18"/>
    <w:rsid w:val="004B78AF"/>
    <w:rsid w:val="004C20F3"/>
    <w:rsid w:val="004C3E47"/>
    <w:rsid w:val="004C7CB8"/>
    <w:rsid w:val="004D2DE5"/>
    <w:rsid w:val="004D647B"/>
    <w:rsid w:val="004D7881"/>
    <w:rsid w:val="004D7ECE"/>
    <w:rsid w:val="004E0B1D"/>
    <w:rsid w:val="004E2AF6"/>
    <w:rsid w:val="004E4536"/>
    <w:rsid w:val="004E6360"/>
    <w:rsid w:val="004E78F3"/>
    <w:rsid w:val="004E7FCB"/>
    <w:rsid w:val="004F0DC9"/>
    <w:rsid w:val="004F0E14"/>
    <w:rsid w:val="004F1175"/>
    <w:rsid w:val="004F26FC"/>
    <w:rsid w:val="004F28CE"/>
    <w:rsid w:val="004F2A8D"/>
    <w:rsid w:val="004F2B69"/>
    <w:rsid w:val="004F38E1"/>
    <w:rsid w:val="004F3B64"/>
    <w:rsid w:val="004F494C"/>
    <w:rsid w:val="004F5306"/>
    <w:rsid w:val="004F6715"/>
    <w:rsid w:val="004F69A5"/>
    <w:rsid w:val="004F69BC"/>
    <w:rsid w:val="00504A3B"/>
    <w:rsid w:val="00504FE7"/>
    <w:rsid w:val="00505960"/>
    <w:rsid w:val="00506819"/>
    <w:rsid w:val="00511491"/>
    <w:rsid w:val="00511CE6"/>
    <w:rsid w:val="0051240C"/>
    <w:rsid w:val="00512586"/>
    <w:rsid w:val="00513209"/>
    <w:rsid w:val="00517244"/>
    <w:rsid w:val="00526FA5"/>
    <w:rsid w:val="00527FEC"/>
    <w:rsid w:val="005310E3"/>
    <w:rsid w:val="005346AD"/>
    <w:rsid w:val="00534856"/>
    <w:rsid w:val="00535DC7"/>
    <w:rsid w:val="00535FB1"/>
    <w:rsid w:val="00541410"/>
    <w:rsid w:val="00542623"/>
    <w:rsid w:val="00542C59"/>
    <w:rsid w:val="00542D94"/>
    <w:rsid w:val="00544D0E"/>
    <w:rsid w:val="00545040"/>
    <w:rsid w:val="00545B49"/>
    <w:rsid w:val="00547AB8"/>
    <w:rsid w:val="00547CD5"/>
    <w:rsid w:val="00552AA8"/>
    <w:rsid w:val="00552C09"/>
    <w:rsid w:val="005532E9"/>
    <w:rsid w:val="0055606D"/>
    <w:rsid w:val="00560E73"/>
    <w:rsid w:val="00563BB8"/>
    <w:rsid w:val="005657B7"/>
    <w:rsid w:val="005676DA"/>
    <w:rsid w:val="005703DC"/>
    <w:rsid w:val="005713DB"/>
    <w:rsid w:val="00572E80"/>
    <w:rsid w:val="00575479"/>
    <w:rsid w:val="00580A72"/>
    <w:rsid w:val="0058109D"/>
    <w:rsid w:val="0058171E"/>
    <w:rsid w:val="00581F91"/>
    <w:rsid w:val="00582191"/>
    <w:rsid w:val="0058407E"/>
    <w:rsid w:val="00586BB8"/>
    <w:rsid w:val="005943CC"/>
    <w:rsid w:val="00595CB1"/>
    <w:rsid w:val="00595DE4"/>
    <w:rsid w:val="005A03C8"/>
    <w:rsid w:val="005A06A4"/>
    <w:rsid w:val="005A2001"/>
    <w:rsid w:val="005A5883"/>
    <w:rsid w:val="005A5E69"/>
    <w:rsid w:val="005A7071"/>
    <w:rsid w:val="005A74F1"/>
    <w:rsid w:val="005B0008"/>
    <w:rsid w:val="005B062D"/>
    <w:rsid w:val="005B149C"/>
    <w:rsid w:val="005B2F0F"/>
    <w:rsid w:val="005B48C6"/>
    <w:rsid w:val="005B4B43"/>
    <w:rsid w:val="005B6AB4"/>
    <w:rsid w:val="005C222E"/>
    <w:rsid w:val="005C23D1"/>
    <w:rsid w:val="005C2B1C"/>
    <w:rsid w:val="005C2D5B"/>
    <w:rsid w:val="005C2F53"/>
    <w:rsid w:val="005C4306"/>
    <w:rsid w:val="005C524E"/>
    <w:rsid w:val="005C755C"/>
    <w:rsid w:val="005C7EB9"/>
    <w:rsid w:val="005D0C61"/>
    <w:rsid w:val="005D5E1E"/>
    <w:rsid w:val="005D64E0"/>
    <w:rsid w:val="005E112C"/>
    <w:rsid w:val="005E12C5"/>
    <w:rsid w:val="005E212D"/>
    <w:rsid w:val="005E31A3"/>
    <w:rsid w:val="005E46DB"/>
    <w:rsid w:val="005E5DA1"/>
    <w:rsid w:val="005F3E4A"/>
    <w:rsid w:val="005F561E"/>
    <w:rsid w:val="005F605E"/>
    <w:rsid w:val="005F7D49"/>
    <w:rsid w:val="0060050C"/>
    <w:rsid w:val="00600952"/>
    <w:rsid w:val="00600D23"/>
    <w:rsid w:val="00601890"/>
    <w:rsid w:val="00603703"/>
    <w:rsid w:val="00604540"/>
    <w:rsid w:val="00604E08"/>
    <w:rsid w:val="006057F9"/>
    <w:rsid w:val="00610C21"/>
    <w:rsid w:val="0061233C"/>
    <w:rsid w:val="00613DA1"/>
    <w:rsid w:val="0061515B"/>
    <w:rsid w:val="00616258"/>
    <w:rsid w:val="00621D43"/>
    <w:rsid w:val="00624C2E"/>
    <w:rsid w:val="006261A5"/>
    <w:rsid w:val="0062670D"/>
    <w:rsid w:val="0063557E"/>
    <w:rsid w:val="0064025C"/>
    <w:rsid w:val="00641837"/>
    <w:rsid w:val="0064314A"/>
    <w:rsid w:val="00643FE6"/>
    <w:rsid w:val="00644C10"/>
    <w:rsid w:val="006463E5"/>
    <w:rsid w:val="006466E2"/>
    <w:rsid w:val="00647F9D"/>
    <w:rsid w:val="00650E32"/>
    <w:rsid w:val="00650FC8"/>
    <w:rsid w:val="00652C41"/>
    <w:rsid w:val="00653CBB"/>
    <w:rsid w:val="00653F82"/>
    <w:rsid w:val="006545F5"/>
    <w:rsid w:val="00654C18"/>
    <w:rsid w:val="00654DE7"/>
    <w:rsid w:val="0065561B"/>
    <w:rsid w:val="006602B9"/>
    <w:rsid w:val="00662F3A"/>
    <w:rsid w:val="0066417F"/>
    <w:rsid w:val="00665740"/>
    <w:rsid w:val="006660B9"/>
    <w:rsid w:val="006671E2"/>
    <w:rsid w:val="00670A11"/>
    <w:rsid w:val="006715B1"/>
    <w:rsid w:val="00671C0D"/>
    <w:rsid w:val="0067230D"/>
    <w:rsid w:val="00677137"/>
    <w:rsid w:val="00680D37"/>
    <w:rsid w:val="00681600"/>
    <w:rsid w:val="00681FFA"/>
    <w:rsid w:val="0068345C"/>
    <w:rsid w:val="00685363"/>
    <w:rsid w:val="006853A5"/>
    <w:rsid w:val="00685813"/>
    <w:rsid w:val="00685FCF"/>
    <w:rsid w:val="0069103C"/>
    <w:rsid w:val="0069104E"/>
    <w:rsid w:val="00691E10"/>
    <w:rsid w:val="00693041"/>
    <w:rsid w:val="00693558"/>
    <w:rsid w:val="006941CE"/>
    <w:rsid w:val="006947E6"/>
    <w:rsid w:val="00695D4A"/>
    <w:rsid w:val="00696384"/>
    <w:rsid w:val="00696B9B"/>
    <w:rsid w:val="006A3E15"/>
    <w:rsid w:val="006A3FB6"/>
    <w:rsid w:val="006A5BA0"/>
    <w:rsid w:val="006A6A3F"/>
    <w:rsid w:val="006A6A98"/>
    <w:rsid w:val="006A7267"/>
    <w:rsid w:val="006B0B1F"/>
    <w:rsid w:val="006B0D6F"/>
    <w:rsid w:val="006B2528"/>
    <w:rsid w:val="006B3F60"/>
    <w:rsid w:val="006B77D4"/>
    <w:rsid w:val="006C2C10"/>
    <w:rsid w:val="006C5A62"/>
    <w:rsid w:val="006D1CC2"/>
    <w:rsid w:val="006D264B"/>
    <w:rsid w:val="006D2BB4"/>
    <w:rsid w:val="006D31DB"/>
    <w:rsid w:val="006D3781"/>
    <w:rsid w:val="006D4774"/>
    <w:rsid w:val="006D5774"/>
    <w:rsid w:val="006D586B"/>
    <w:rsid w:val="006E1D84"/>
    <w:rsid w:val="006E2B0C"/>
    <w:rsid w:val="006E3ABD"/>
    <w:rsid w:val="006E51A6"/>
    <w:rsid w:val="006E57D1"/>
    <w:rsid w:val="006E5A68"/>
    <w:rsid w:val="006F0FD0"/>
    <w:rsid w:val="006F4066"/>
    <w:rsid w:val="006F77AE"/>
    <w:rsid w:val="00701C19"/>
    <w:rsid w:val="007021EC"/>
    <w:rsid w:val="007044C6"/>
    <w:rsid w:val="0070459C"/>
    <w:rsid w:val="00712431"/>
    <w:rsid w:val="00712849"/>
    <w:rsid w:val="00714631"/>
    <w:rsid w:val="007162C2"/>
    <w:rsid w:val="0071638E"/>
    <w:rsid w:val="00720B4B"/>
    <w:rsid w:val="00721BAA"/>
    <w:rsid w:val="0072263F"/>
    <w:rsid w:val="00722882"/>
    <w:rsid w:val="00726827"/>
    <w:rsid w:val="00730C0C"/>
    <w:rsid w:val="00730CE8"/>
    <w:rsid w:val="00731D21"/>
    <w:rsid w:val="00732334"/>
    <w:rsid w:val="0074061E"/>
    <w:rsid w:val="00740D78"/>
    <w:rsid w:val="00741FF9"/>
    <w:rsid w:val="0074494C"/>
    <w:rsid w:val="00751421"/>
    <w:rsid w:val="0075447D"/>
    <w:rsid w:val="00755239"/>
    <w:rsid w:val="00756E9D"/>
    <w:rsid w:val="00757664"/>
    <w:rsid w:val="0076075E"/>
    <w:rsid w:val="007618EC"/>
    <w:rsid w:val="00764716"/>
    <w:rsid w:val="00767554"/>
    <w:rsid w:val="00770353"/>
    <w:rsid w:val="00771504"/>
    <w:rsid w:val="007718E6"/>
    <w:rsid w:val="007735A6"/>
    <w:rsid w:val="00773C72"/>
    <w:rsid w:val="00774093"/>
    <w:rsid w:val="0077467D"/>
    <w:rsid w:val="007812C9"/>
    <w:rsid w:val="0078211E"/>
    <w:rsid w:val="007868DB"/>
    <w:rsid w:val="007907BD"/>
    <w:rsid w:val="00791655"/>
    <w:rsid w:val="007953F5"/>
    <w:rsid w:val="007A0165"/>
    <w:rsid w:val="007A03DC"/>
    <w:rsid w:val="007A16B3"/>
    <w:rsid w:val="007A1DF8"/>
    <w:rsid w:val="007A4905"/>
    <w:rsid w:val="007A6749"/>
    <w:rsid w:val="007A6C23"/>
    <w:rsid w:val="007A6D01"/>
    <w:rsid w:val="007B04E9"/>
    <w:rsid w:val="007B14F0"/>
    <w:rsid w:val="007B3B2B"/>
    <w:rsid w:val="007B58E6"/>
    <w:rsid w:val="007B5F79"/>
    <w:rsid w:val="007B6B4A"/>
    <w:rsid w:val="007C1773"/>
    <w:rsid w:val="007C1A48"/>
    <w:rsid w:val="007C30CD"/>
    <w:rsid w:val="007C38E4"/>
    <w:rsid w:val="007C4083"/>
    <w:rsid w:val="007C464D"/>
    <w:rsid w:val="007C509F"/>
    <w:rsid w:val="007C50FA"/>
    <w:rsid w:val="007C5BC1"/>
    <w:rsid w:val="007C77AD"/>
    <w:rsid w:val="007C7C6E"/>
    <w:rsid w:val="007D20EF"/>
    <w:rsid w:val="007D2BEE"/>
    <w:rsid w:val="007D3637"/>
    <w:rsid w:val="007D38D9"/>
    <w:rsid w:val="007D3CA1"/>
    <w:rsid w:val="007D5B36"/>
    <w:rsid w:val="007D7724"/>
    <w:rsid w:val="007D7FB6"/>
    <w:rsid w:val="007E1D0B"/>
    <w:rsid w:val="007E20F8"/>
    <w:rsid w:val="007E535B"/>
    <w:rsid w:val="007E6046"/>
    <w:rsid w:val="007E6319"/>
    <w:rsid w:val="007F29A8"/>
    <w:rsid w:val="007F2B8B"/>
    <w:rsid w:val="007F2C43"/>
    <w:rsid w:val="007F47F4"/>
    <w:rsid w:val="007F6283"/>
    <w:rsid w:val="007F659A"/>
    <w:rsid w:val="007F77FA"/>
    <w:rsid w:val="008005A0"/>
    <w:rsid w:val="008013EF"/>
    <w:rsid w:val="008027C9"/>
    <w:rsid w:val="00802FE3"/>
    <w:rsid w:val="00803B42"/>
    <w:rsid w:val="00805DF1"/>
    <w:rsid w:val="00806F52"/>
    <w:rsid w:val="008073D8"/>
    <w:rsid w:val="008074AE"/>
    <w:rsid w:val="008109FB"/>
    <w:rsid w:val="008113FC"/>
    <w:rsid w:val="00811650"/>
    <w:rsid w:val="00815AC0"/>
    <w:rsid w:val="00816E12"/>
    <w:rsid w:val="0082292A"/>
    <w:rsid w:val="008229B6"/>
    <w:rsid w:val="00825014"/>
    <w:rsid w:val="008279A8"/>
    <w:rsid w:val="00836463"/>
    <w:rsid w:val="008406BA"/>
    <w:rsid w:val="008439C9"/>
    <w:rsid w:val="00844660"/>
    <w:rsid w:val="008452C9"/>
    <w:rsid w:val="00851358"/>
    <w:rsid w:val="00851A1B"/>
    <w:rsid w:val="008531F1"/>
    <w:rsid w:val="008543C9"/>
    <w:rsid w:val="008549AC"/>
    <w:rsid w:val="0086033D"/>
    <w:rsid w:val="00860ABB"/>
    <w:rsid w:val="00861385"/>
    <w:rsid w:val="008616B8"/>
    <w:rsid w:val="00861979"/>
    <w:rsid w:val="0086202E"/>
    <w:rsid w:val="00863067"/>
    <w:rsid w:val="008653E7"/>
    <w:rsid w:val="00865456"/>
    <w:rsid w:val="00866041"/>
    <w:rsid w:val="0086671C"/>
    <w:rsid w:val="00867682"/>
    <w:rsid w:val="00870A3F"/>
    <w:rsid w:val="00873800"/>
    <w:rsid w:val="0087409F"/>
    <w:rsid w:val="0087670B"/>
    <w:rsid w:val="008819D5"/>
    <w:rsid w:val="00883BD7"/>
    <w:rsid w:val="008850E6"/>
    <w:rsid w:val="00887BA1"/>
    <w:rsid w:val="00887EF9"/>
    <w:rsid w:val="0089356B"/>
    <w:rsid w:val="00894EF6"/>
    <w:rsid w:val="008959DC"/>
    <w:rsid w:val="00895CBE"/>
    <w:rsid w:val="008A0B26"/>
    <w:rsid w:val="008A0F78"/>
    <w:rsid w:val="008A11AE"/>
    <w:rsid w:val="008A22C1"/>
    <w:rsid w:val="008A4165"/>
    <w:rsid w:val="008A7681"/>
    <w:rsid w:val="008B229C"/>
    <w:rsid w:val="008B5885"/>
    <w:rsid w:val="008B6F94"/>
    <w:rsid w:val="008C02F5"/>
    <w:rsid w:val="008C1C38"/>
    <w:rsid w:val="008C3509"/>
    <w:rsid w:val="008C3C07"/>
    <w:rsid w:val="008C4F58"/>
    <w:rsid w:val="008D365B"/>
    <w:rsid w:val="008D4B40"/>
    <w:rsid w:val="008D4BA5"/>
    <w:rsid w:val="008D4DCB"/>
    <w:rsid w:val="008D5AB8"/>
    <w:rsid w:val="008E11FC"/>
    <w:rsid w:val="008E2BFC"/>
    <w:rsid w:val="008E4080"/>
    <w:rsid w:val="008E7CA9"/>
    <w:rsid w:val="008E7E3B"/>
    <w:rsid w:val="008F112C"/>
    <w:rsid w:val="008F37C0"/>
    <w:rsid w:val="008F5C71"/>
    <w:rsid w:val="008F7073"/>
    <w:rsid w:val="008F73B1"/>
    <w:rsid w:val="008F7CDD"/>
    <w:rsid w:val="00901225"/>
    <w:rsid w:val="00902619"/>
    <w:rsid w:val="00902660"/>
    <w:rsid w:val="00903CC4"/>
    <w:rsid w:val="00903E3C"/>
    <w:rsid w:val="0090546E"/>
    <w:rsid w:val="00907565"/>
    <w:rsid w:val="00910D7D"/>
    <w:rsid w:val="00912587"/>
    <w:rsid w:val="009150DD"/>
    <w:rsid w:val="0091687F"/>
    <w:rsid w:val="0091694C"/>
    <w:rsid w:val="0091755C"/>
    <w:rsid w:val="009206DC"/>
    <w:rsid w:val="009211C3"/>
    <w:rsid w:val="009222A9"/>
    <w:rsid w:val="00924C2D"/>
    <w:rsid w:val="0093393C"/>
    <w:rsid w:val="00933E25"/>
    <w:rsid w:val="0093431D"/>
    <w:rsid w:val="00934472"/>
    <w:rsid w:val="009357F1"/>
    <w:rsid w:val="00935CDD"/>
    <w:rsid w:val="00941845"/>
    <w:rsid w:val="00941F20"/>
    <w:rsid w:val="009430EA"/>
    <w:rsid w:val="0094391A"/>
    <w:rsid w:val="00945323"/>
    <w:rsid w:val="00945424"/>
    <w:rsid w:val="00945B6B"/>
    <w:rsid w:val="00947795"/>
    <w:rsid w:val="00950A54"/>
    <w:rsid w:val="00951FB8"/>
    <w:rsid w:val="00954E9C"/>
    <w:rsid w:val="00956115"/>
    <w:rsid w:val="009562AA"/>
    <w:rsid w:val="0096098D"/>
    <w:rsid w:val="009614F8"/>
    <w:rsid w:val="009644C1"/>
    <w:rsid w:val="00967555"/>
    <w:rsid w:val="0097011E"/>
    <w:rsid w:val="00970A82"/>
    <w:rsid w:val="009739E5"/>
    <w:rsid w:val="00974A57"/>
    <w:rsid w:val="00975F54"/>
    <w:rsid w:val="009777A9"/>
    <w:rsid w:val="00980391"/>
    <w:rsid w:val="00981B90"/>
    <w:rsid w:val="00981F04"/>
    <w:rsid w:val="00982326"/>
    <w:rsid w:val="00982A23"/>
    <w:rsid w:val="00982BE4"/>
    <w:rsid w:val="00986D3E"/>
    <w:rsid w:val="00987B2F"/>
    <w:rsid w:val="00992314"/>
    <w:rsid w:val="00993DBB"/>
    <w:rsid w:val="00994D7C"/>
    <w:rsid w:val="0099586A"/>
    <w:rsid w:val="00995CD6"/>
    <w:rsid w:val="00996821"/>
    <w:rsid w:val="009A1308"/>
    <w:rsid w:val="009A1C4D"/>
    <w:rsid w:val="009A29A5"/>
    <w:rsid w:val="009A3661"/>
    <w:rsid w:val="009A3EA8"/>
    <w:rsid w:val="009A4123"/>
    <w:rsid w:val="009A565E"/>
    <w:rsid w:val="009A650B"/>
    <w:rsid w:val="009A7380"/>
    <w:rsid w:val="009A7B37"/>
    <w:rsid w:val="009B03BA"/>
    <w:rsid w:val="009B18F0"/>
    <w:rsid w:val="009B2A0A"/>
    <w:rsid w:val="009B2C59"/>
    <w:rsid w:val="009B391E"/>
    <w:rsid w:val="009B4987"/>
    <w:rsid w:val="009B5848"/>
    <w:rsid w:val="009B5B88"/>
    <w:rsid w:val="009B5CF4"/>
    <w:rsid w:val="009C0B58"/>
    <w:rsid w:val="009C517B"/>
    <w:rsid w:val="009C5A50"/>
    <w:rsid w:val="009C5B80"/>
    <w:rsid w:val="009D2162"/>
    <w:rsid w:val="009D2803"/>
    <w:rsid w:val="009D3260"/>
    <w:rsid w:val="009D38EC"/>
    <w:rsid w:val="009D532E"/>
    <w:rsid w:val="009D5AF3"/>
    <w:rsid w:val="009E191F"/>
    <w:rsid w:val="009E1D8D"/>
    <w:rsid w:val="009E28C0"/>
    <w:rsid w:val="009E298F"/>
    <w:rsid w:val="009E37FF"/>
    <w:rsid w:val="009E5797"/>
    <w:rsid w:val="009E6BD8"/>
    <w:rsid w:val="009E74A3"/>
    <w:rsid w:val="009F1268"/>
    <w:rsid w:val="009F13A9"/>
    <w:rsid w:val="009F30C5"/>
    <w:rsid w:val="009F4CA0"/>
    <w:rsid w:val="009F4D74"/>
    <w:rsid w:val="009F5FF3"/>
    <w:rsid w:val="00A016D2"/>
    <w:rsid w:val="00A01D4C"/>
    <w:rsid w:val="00A03E20"/>
    <w:rsid w:val="00A046D1"/>
    <w:rsid w:val="00A04708"/>
    <w:rsid w:val="00A05A0B"/>
    <w:rsid w:val="00A12482"/>
    <w:rsid w:val="00A12727"/>
    <w:rsid w:val="00A134FE"/>
    <w:rsid w:val="00A13544"/>
    <w:rsid w:val="00A15DC1"/>
    <w:rsid w:val="00A17736"/>
    <w:rsid w:val="00A200CB"/>
    <w:rsid w:val="00A207D2"/>
    <w:rsid w:val="00A2175E"/>
    <w:rsid w:val="00A24B83"/>
    <w:rsid w:val="00A2626B"/>
    <w:rsid w:val="00A310FD"/>
    <w:rsid w:val="00A3189B"/>
    <w:rsid w:val="00A31A42"/>
    <w:rsid w:val="00A32D05"/>
    <w:rsid w:val="00A32D89"/>
    <w:rsid w:val="00A33016"/>
    <w:rsid w:val="00A33D8C"/>
    <w:rsid w:val="00A361D8"/>
    <w:rsid w:val="00A37A24"/>
    <w:rsid w:val="00A402BC"/>
    <w:rsid w:val="00A41435"/>
    <w:rsid w:val="00A42062"/>
    <w:rsid w:val="00A42AC0"/>
    <w:rsid w:val="00A45F36"/>
    <w:rsid w:val="00A47E77"/>
    <w:rsid w:val="00A51617"/>
    <w:rsid w:val="00A516D0"/>
    <w:rsid w:val="00A52785"/>
    <w:rsid w:val="00A55349"/>
    <w:rsid w:val="00A57E72"/>
    <w:rsid w:val="00A61276"/>
    <w:rsid w:val="00A627C0"/>
    <w:rsid w:val="00A62E7D"/>
    <w:rsid w:val="00A646CF"/>
    <w:rsid w:val="00A65D16"/>
    <w:rsid w:val="00A667A5"/>
    <w:rsid w:val="00A66EF4"/>
    <w:rsid w:val="00A6730A"/>
    <w:rsid w:val="00A67D87"/>
    <w:rsid w:val="00A70D0F"/>
    <w:rsid w:val="00A7343F"/>
    <w:rsid w:val="00A742CD"/>
    <w:rsid w:val="00A76D1B"/>
    <w:rsid w:val="00A824D5"/>
    <w:rsid w:val="00A83827"/>
    <w:rsid w:val="00A838AC"/>
    <w:rsid w:val="00A83E08"/>
    <w:rsid w:val="00A84B83"/>
    <w:rsid w:val="00A86E17"/>
    <w:rsid w:val="00A8798A"/>
    <w:rsid w:val="00A932C6"/>
    <w:rsid w:val="00A93895"/>
    <w:rsid w:val="00A96170"/>
    <w:rsid w:val="00A96BEF"/>
    <w:rsid w:val="00A974A0"/>
    <w:rsid w:val="00AA1CCF"/>
    <w:rsid w:val="00AA32AC"/>
    <w:rsid w:val="00AA3776"/>
    <w:rsid w:val="00AA5067"/>
    <w:rsid w:val="00AA52F5"/>
    <w:rsid w:val="00AA7AA2"/>
    <w:rsid w:val="00AB06B2"/>
    <w:rsid w:val="00AB0984"/>
    <w:rsid w:val="00AB1D37"/>
    <w:rsid w:val="00AB2137"/>
    <w:rsid w:val="00AB410D"/>
    <w:rsid w:val="00AB43BA"/>
    <w:rsid w:val="00AB7181"/>
    <w:rsid w:val="00AB77DE"/>
    <w:rsid w:val="00AC04AE"/>
    <w:rsid w:val="00AC22AD"/>
    <w:rsid w:val="00AC36FC"/>
    <w:rsid w:val="00AC37DC"/>
    <w:rsid w:val="00AC7355"/>
    <w:rsid w:val="00AD1903"/>
    <w:rsid w:val="00AD1C5A"/>
    <w:rsid w:val="00AD3A9B"/>
    <w:rsid w:val="00AD4107"/>
    <w:rsid w:val="00AD5653"/>
    <w:rsid w:val="00AD76F9"/>
    <w:rsid w:val="00AD787F"/>
    <w:rsid w:val="00AE0F88"/>
    <w:rsid w:val="00AE3C53"/>
    <w:rsid w:val="00AE4621"/>
    <w:rsid w:val="00AE5140"/>
    <w:rsid w:val="00AE5D4F"/>
    <w:rsid w:val="00AE5FAA"/>
    <w:rsid w:val="00AF5793"/>
    <w:rsid w:val="00AF5FE2"/>
    <w:rsid w:val="00AF6235"/>
    <w:rsid w:val="00B007DC"/>
    <w:rsid w:val="00B0111B"/>
    <w:rsid w:val="00B03311"/>
    <w:rsid w:val="00B04B6B"/>
    <w:rsid w:val="00B05DDF"/>
    <w:rsid w:val="00B1236D"/>
    <w:rsid w:val="00B14470"/>
    <w:rsid w:val="00B167E1"/>
    <w:rsid w:val="00B20EA9"/>
    <w:rsid w:val="00B22D2F"/>
    <w:rsid w:val="00B22EF0"/>
    <w:rsid w:val="00B27C3E"/>
    <w:rsid w:val="00B30367"/>
    <w:rsid w:val="00B306E5"/>
    <w:rsid w:val="00B31321"/>
    <w:rsid w:val="00B32E3F"/>
    <w:rsid w:val="00B335BB"/>
    <w:rsid w:val="00B346EF"/>
    <w:rsid w:val="00B3656D"/>
    <w:rsid w:val="00B36F20"/>
    <w:rsid w:val="00B37F26"/>
    <w:rsid w:val="00B462E4"/>
    <w:rsid w:val="00B463BD"/>
    <w:rsid w:val="00B50EBD"/>
    <w:rsid w:val="00B54C49"/>
    <w:rsid w:val="00B55A24"/>
    <w:rsid w:val="00B55B01"/>
    <w:rsid w:val="00B5658A"/>
    <w:rsid w:val="00B57D4B"/>
    <w:rsid w:val="00B6233C"/>
    <w:rsid w:val="00B628A4"/>
    <w:rsid w:val="00B63245"/>
    <w:rsid w:val="00B64484"/>
    <w:rsid w:val="00B652F1"/>
    <w:rsid w:val="00B65585"/>
    <w:rsid w:val="00B6729E"/>
    <w:rsid w:val="00B720D9"/>
    <w:rsid w:val="00B72CB0"/>
    <w:rsid w:val="00B731B4"/>
    <w:rsid w:val="00B73F97"/>
    <w:rsid w:val="00B75A9A"/>
    <w:rsid w:val="00B766CB"/>
    <w:rsid w:val="00B77452"/>
    <w:rsid w:val="00B80E1F"/>
    <w:rsid w:val="00B81FC5"/>
    <w:rsid w:val="00B84D59"/>
    <w:rsid w:val="00B85499"/>
    <w:rsid w:val="00B8615D"/>
    <w:rsid w:val="00B86BC1"/>
    <w:rsid w:val="00B87194"/>
    <w:rsid w:val="00B874D6"/>
    <w:rsid w:val="00B90CB6"/>
    <w:rsid w:val="00B94FAC"/>
    <w:rsid w:val="00B95AAA"/>
    <w:rsid w:val="00B96998"/>
    <w:rsid w:val="00BA0B27"/>
    <w:rsid w:val="00BA165A"/>
    <w:rsid w:val="00BA26BC"/>
    <w:rsid w:val="00BA322E"/>
    <w:rsid w:val="00BA54F3"/>
    <w:rsid w:val="00BA6021"/>
    <w:rsid w:val="00BA68A7"/>
    <w:rsid w:val="00BA6D79"/>
    <w:rsid w:val="00BB2177"/>
    <w:rsid w:val="00BB410A"/>
    <w:rsid w:val="00BB4F5D"/>
    <w:rsid w:val="00BB5571"/>
    <w:rsid w:val="00BB5C92"/>
    <w:rsid w:val="00BB5CDE"/>
    <w:rsid w:val="00BB6B59"/>
    <w:rsid w:val="00BB6E2E"/>
    <w:rsid w:val="00BB7709"/>
    <w:rsid w:val="00BC0299"/>
    <w:rsid w:val="00BC14D8"/>
    <w:rsid w:val="00BC3FD1"/>
    <w:rsid w:val="00BC4BAB"/>
    <w:rsid w:val="00BC4BE6"/>
    <w:rsid w:val="00BC546C"/>
    <w:rsid w:val="00BC6E1F"/>
    <w:rsid w:val="00BD11B7"/>
    <w:rsid w:val="00BD17CD"/>
    <w:rsid w:val="00BD3197"/>
    <w:rsid w:val="00BD6C8B"/>
    <w:rsid w:val="00BD7020"/>
    <w:rsid w:val="00BD7056"/>
    <w:rsid w:val="00BD70D8"/>
    <w:rsid w:val="00BD7509"/>
    <w:rsid w:val="00BE0274"/>
    <w:rsid w:val="00BE0B02"/>
    <w:rsid w:val="00BE2985"/>
    <w:rsid w:val="00BE4744"/>
    <w:rsid w:val="00BE6021"/>
    <w:rsid w:val="00BE6350"/>
    <w:rsid w:val="00BE6E5D"/>
    <w:rsid w:val="00BF0709"/>
    <w:rsid w:val="00BF0B68"/>
    <w:rsid w:val="00BF18B8"/>
    <w:rsid w:val="00BF2206"/>
    <w:rsid w:val="00BF40BD"/>
    <w:rsid w:val="00BF5D87"/>
    <w:rsid w:val="00BF675C"/>
    <w:rsid w:val="00BF7C8E"/>
    <w:rsid w:val="00BF7CC4"/>
    <w:rsid w:val="00C01B59"/>
    <w:rsid w:val="00C01C76"/>
    <w:rsid w:val="00C02A6A"/>
    <w:rsid w:val="00C10BC3"/>
    <w:rsid w:val="00C11569"/>
    <w:rsid w:val="00C150B2"/>
    <w:rsid w:val="00C1599A"/>
    <w:rsid w:val="00C15A7D"/>
    <w:rsid w:val="00C17302"/>
    <w:rsid w:val="00C205C8"/>
    <w:rsid w:val="00C20A85"/>
    <w:rsid w:val="00C21BD8"/>
    <w:rsid w:val="00C21E04"/>
    <w:rsid w:val="00C2368C"/>
    <w:rsid w:val="00C24C12"/>
    <w:rsid w:val="00C25B4C"/>
    <w:rsid w:val="00C308BA"/>
    <w:rsid w:val="00C3096D"/>
    <w:rsid w:val="00C312D9"/>
    <w:rsid w:val="00C32DBF"/>
    <w:rsid w:val="00C32FD3"/>
    <w:rsid w:val="00C330D4"/>
    <w:rsid w:val="00C331F9"/>
    <w:rsid w:val="00C34806"/>
    <w:rsid w:val="00C403BF"/>
    <w:rsid w:val="00C420C5"/>
    <w:rsid w:val="00C43EE1"/>
    <w:rsid w:val="00C44066"/>
    <w:rsid w:val="00C47E6D"/>
    <w:rsid w:val="00C51554"/>
    <w:rsid w:val="00C51CF6"/>
    <w:rsid w:val="00C629BC"/>
    <w:rsid w:val="00C63BFF"/>
    <w:rsid w:val="00C710A1"/>
    <w:rsid w:val="00C719D1"/>
    <w:rsid w:val="00C75EEB"/>
    <w:rsid w:val="00C77FC6"/>
    <w:rsid w:val="00C8448C"/>
    <w:rsid w:val="00C87F60"/>
    <w:rsid w:val="00C90918"/>
    <w:rsid w:val="00C928AB"/>
    <w:rsid w:val="00C95928"/>
    <w:rsid w:val="00C95F53"/>
    <w:rsid w:val="00C9627C"/>
    <w:rsid w:val="00C96665"/>
    <w:rsid w:val="00C971E2"/>
    <w:rsid w:val="00CA076B"/>
    <w:rsid w:val="00CA1BC9"/>
    <w:rsid w:val="00CA1FA6"/>
    <w:rsid w:val="00CA46FD"/>
    <w:rsid w:val="00CA5450"/>
    <w:rsid w:val="00CA5F16"/>
    <w:rsid w:val="00CB096F"/>
    <w:rsid w:val="00CB0F81"/>
    <w:rsid w:val="00CB1232"/>
    <w:rsid w:val="00CB1BEF"/>
    <w:rsid w:val="00CB5D27"/>
    <w:rsid w:val="00CB6395"/>
    <w:rsid w:val="00CC49BA"/>
    <w:rsid w:val="00CC4B56"/>
    <w:rsid w:val="00CC5F77"/>
    <w:rsid w:val="00CC6D57"/>
    <w:rsid w:val="00CD0C58"/>
    <w:rsid w:val="00CD34C8"/>
    <w:rsid w:val="00CD6237"/>
    <w:rsid w:val="00CE5024"/>
    <w:rsid w:val="00CE605D"/>
    <w:rsid w:val="00CE7403"/>
    <w:rsid w:val="00CE7FDE"/>
    <w:rsid w:val="00CF19FC"/>
    <w:rsid w:val="00CF5176"/>
    <w:rsid w:val="00CF6661"/>
    <w:rsid w:val="00CF6F8E"/>
    <w:rsid w:val="00CF6F9C"/>
    <w:rsid w:val="00D01CF8"/>
    <w:rsid w:val="00D023CD"/>
    <w:rsid w:val="00D02B42"/>
    <w:rsid w:val="00D03E9F"/>
    <w:rsid w:val="00D049E5"/>
    <w:rsid w:val="00D04C37"/>
    <w:rsid w:val="00D0590D"/>
    <w:rsid w:val="00D05F2C"/>
    <w:rsid w:val="00D0632B"/>
    <w:rsid w:val="00D0736F"/>
    <w:rsid w:val="00D1007B"/>
    <w:rsid w:val="00D10727"/>
    <w:rsid w:val="00D14C49"/>
    <w:rsid w:val="00D15A12"/>
    <w:rsid w:val="00D20283"/>
    <w:rsid w:val="00D2087B"/>
    <w:rsid w:val="00D21695"/>
    <w:rsid w:val="00D24274"/>
    <w:rsid w:val="00D25A21"/>
    <w:rsid w:val="00D33835"/>
    <w:rsid w:val="00D3540A"/>
    <w:rsid w:val="00D36127"/>
    <w:rsid w:val="00D361A8"/>
    <w:rsid w:val="00D36624"/>
    <w:rsid w:val="00D36CE3"/>
    <w:rsid w:val="00D3788F"/>
    <w:rsid w:val="00D429DB"/>
    <w:rsid w:val="00D44038"/>
    <w:rsid w:val="00D446C1"/>
    <w:rsid w:val="00D458C3"/>
    <w:rsid w:val="00D469B9"/>
    <w:rsid w:val="00D52567"/>
    <w:rsid w:val="00D57004"/>
    <w:rsid w:val="00D577FC"/>
    <w:rsid w:val="00D61340"/>
    <w:rsid w:val="00D61341"/>
    <w:rsid w:val="00D61BA2"/>
    <w:rsid w:val="00D63163"/>
    <w:rsid w:val="00D63F94"/>
    <w:rsid w:val="00D64A12"/>
    <w:rsid w:val="00D65BCC"/>
    <w:rsid w:val="00D66CD5"/>
    <w:rsid w:val="00D673D6"/>
    <w:rsid w:val="00D67AE0"/>
    <w:rsid w:val="00D67F57"/>
    <w:rsid w:val="00D67FDE"/>
    <w:rsid w:val="00D70709"/>
    <w:rsid w:val="00D74857"/>
    <w:rsid w:val="00D802F8"/>
    <w:rsid w:val="00D81B67"/>
    <w:rsid w:val="00D834CE"/>
    <w:rsid w:val="00D83C80"/>
    <w:rsid w:val="00D86F14"/>
    <w:rsid w:val="00D90113"/>
    <w:rsid w:val="00D910B3"/>
    <w:rsid w:val="00D94094"/>
    <w:rsid w:val="00D947DD"/>
    <w:rsid w:val="00D95E99"/>
    <w:rsid w:val="00D9624A"/>
    <w:rsid w:val="00D962EE"/>
    <w:rsid w:val="00D97441"/>
    <w:rsid w:val="00DA03C5"/>
    <w:rsid w:val="00DA3CF3"/>
    <w:rsid w:val="00DA5A64"/>
    <w:rsid w:val="00DA6C2E"/>
    <w:rsid w:val="00DB2EC1"/>
    <w:rsid w:val="00DB376C"/>
    <w:rsid w:val="00DB43F0"/>
    <w:rsid w:val="00DB4E0E"/>
    <w:rsid w:val="00DB67C9"/>
    <w:rsid w:val="00DB72BE"/>
    <w:rsid w:val="00DB7CC4"/>
    <w:rsid w:val="00DC0473"/>
    <w:rsid w:val="00DC09C4"/>
    <w:rsid w:val="00DC2376"/>
    <w:rsid w:val="00DC273A"/>
    <w:rsid w:val="00DC3FDE"/>
    <w:rsid w:val="00DC436E"/>
    <w:rsid w:val="00DC4892"/>
    <w:rsid w:val="00DC6D1E"/>
    <w:rsid w:val="00DD31CE"/>
    <w:rsid w:val="00DD4430"/>
    <w:rsid w:val="00DD4B21"/>
    <w:rsid w:val="00DD4E06"/>
    <w:rsid w:val="00DD5856"/>
    <w:rsid w:val="00DD682F"/>
    <w:rsid w:val="00DD6E76"/>
    <w:rsid w:val="00DE0022"/>
    <w:rsid w:val="00DE0CDC"/>
    <w:rsid w:val="00DE0D62"/>
    <w:rsid w:val="00DE3AC4"/>
    <w:rsid w:val="00DE57DE"/>
    <w:rsid w:val="00DE5F58"/>
    <w:rsid w:val="00DE682D"/>
    <w:rsid w:val="00DF3A10"/>
    <w:rsid w:val="00DF439C"/>
    <w:rsid w:val="00E01D4B"/>
    <w:rsid w:val="00E03FE5"/>
    <w:rsid w:val="00E0760D"/>
    <w:rsid w:val="00E100F4"/>
    <w:rsid w:val="00E12353"/>
    <w:rsid w:val="00E12CFE"/>
    <w:rsid w:val="00E13235"/>
    <w:rsid w:val="00E15B30"/>
    <w:rsid w:val="00E16882"/>
    <w:rsid w:val="00E17F8B"/>
    <w:rsid w:val="00E200C1"/>
    <w:rsid w:val="00E2080A"/>
    <w:rsid w:val="00E23127"/>
    <w:rsid w:val="00E26E5E"/>
    <w:rsid w:val="00E30DB7"/>
    <w:rsid w:val="00E30EF5"/>
    <w:rsid w:val="00E32DBC"/>
    <w:rsid w:val="00E34413"/>
    <w:rsid w:val="00E34859"/>
    <w:rsid w:val="00E3500F"/>
    <w:rsid w:val="00E36B20"/>
    <w:rsid w:val="00E4290C"/>
    <w:rsid w:val="00E4395A"/>
    <w:rsid w:val="00E43DA4"/>
    <w:rsid w:val="00E44468"/>
    <w:rsid w:val="00E4676C"/>
    <w:rsid w:val="00E50167"/>
    <w:rsid w:val="00E501DF"/>
    <w:rsid w:val="00E51861"/>
    <w:rsid w:val="00E53007"/>
    <w:rsid w:val="00E544FE"/>
    <w:rsid w:val="00E54B01"/>
    <w:rsid w:val="00E54FE1"/>
    <w:rsid w:val="00E56672"/>
    <w:rsid w:val="00E5763E"/>
    <w:rsid w:val="00E61FEC"/>
    <w:rsid w:val="00E668F4"/>
    <w:rsid w:val="00E67BAD"/>
    <w:rsid w:val="00E67C02"/>
    <w:rsid w:val="00E67F69"/>
    <w:rsid w:val="00E705FF"/>
    <w:rsid w:val="00E71C96"/>
    <w:rsid w:val="00E72BED"/>
    <w:rsid w:val="00E74FE1"/>
    <w:rsid w:val="00E75F0D"/>
    <w:rsid w:val="00E76C21"/>
    <w:rsid w:val="00E77774"/>
    <w:rsid w:val="00E824D8"/>
    <w:rsid w:val="00E826B3"/>
    <w:rsid w:val="00E8309E"/>
    <w:rsid w:val="00E836A4"/>
    <w:rsid w:val="00E83D6D"/>
    <w:rsid w:val="00E84592"/>
    <w:rsid w:val="00E849BF"/>
    <w:rsid w:val="00E85A17"/>
    <w:rsid w:val="00E9051C"/>
    <w:rsid w:val="00E93228"/>
    <w:rsid w:val="00E93A97"/>
    <w:rsid w:val="00E9484A"/>
    <w:rsid w:val="00E97A59"/>
    <w:rsid w:val="00E97B03"/>
    <w:rsid w:val="00EA09F5"/>
    <w:rsid w:val="00EA0A14"/>
    <w:rsid w:val="00EA29A4"/>
    <w:rsid w:val="00EB21FB"/>
    <w:rsid w:val="00EB221C"/>
    <w:rsid w:val="00EC5AF8"/>
    <w:rsid w:val="00EC6413"/>
    <w:rsid w:val="00EC6CF2"/>
    <w:rsid w:val="00ED110A"/>
    <w:rsid w:val="00ED4427"/>
    <w:rsid w:val="00ED464A"/>
    <w:rsid w:val="00ED6C38"/>
    <w:rsid w:val="00ED7573"/>
    <w:rsid w:val="00ED7686"/>
    <w:rsid w:val="00EE295C"/>
    <w:rsid w:val="00EE2E94"/>
    <w:rsid w:val="00EE3817"/>
    <w:rsid w:val="00EE693D"/>
    <w:rsid w:val="00EF0711"/>
    <w:rsid w:val="00EF100C"/>
    <w:rsid w:val="00EF617F"/>
    <w:rsid w:val="00EF6BFB"/>
    <w:rsid w:val="00EF722C"/>
    <w:rsid w:val="00F0153E"/>
    <w:rsid w:val="00F04F18"/>
    <w:rsid w:val="00F05F68"/>
    <w:rsid w:val="00F074C3"/>
    <w:rsid w:val="00F106F0"/>
    <w:rsid w:val="00F10AD3"/>
    <w:rsid w:val="00F11642"/>
    <w:rsid w:val="00F12071"/>
    <w:rsid w:val="00F126D2"/>
    <w:rsid w:val="00F15B30"/>
    <w:rsid w:val="00F1679B"/>
    <w:rsid w:val="00F2152D"/>
    <w:rsid w:val="00F2392A"/>
    <w:rsid w:val="00F25378"/>
    <w:rsid w:val="00F25609"/>
    <w:rsid w:val="00F26D84"/>
    <w:rsid w:val="00F27941"/>
    <w:rsid w:val="00F31CA2"/>
    <w:rsid w:val="00F32EA9"/>
    <w:rsid w:val="00F33246"/>
    <w:rsid w:val="00F336D6"/>
    <w:rsid w:val="00F34047"/>
    <w:rsid w:val="00F34E59"/>
    <w:rsid w:val="00F3784D"/>
    <w:rsid w:val="00F37B47"/>
    <w:rsid w:val="00F408F6"/>
    <w:rsid w:val="00F40C7E"/>
    <w:rsid w:val="00F40D7A"/>
    <w:rsid w:val="00F42AEA"/>
    <w:rsid w:val="00F43B31"/>
    <w:rsid w:val="00F4630F"/>
    <w:rsid w:val="00F472BE"/>
    <w:rsid w:val="00F5059B"/>
    <w:rsid w:val="00F50C5F"/>
    <w:rsid w:val="00F51965"/>
    <w:rsid w:val="00F52D20"/>
    <w:rsid w:val="00F556DF"/>
    <w:rsid w:val="00F56398"/>
    <w:rsid w:val="00F602FA"/>
    <w:rsid w:val="00F64C44"/>
    <w:rsid w:val="00F673DD"/>
    <w:rsid w:val="00F673DF"/>
    <w:rsid w:val="00F67CE8"/>
    <w:rsid w:val="00F70E0D"/>
    <w:rsid w:val="00F713B9"/>
    <w:rsid w:val="00F71A1F"/>
    <w:rsid w:val="00F7540F"/>
    <w:rsid w:val="00F801CB"/>
    <w:rsid w:val="00F806B9"/>
    <w:rsid w:val="00F82ED1"/>
    <w:rsid w:val="00F850F3"/>
    <w:rsid w:val="00F8548B"/>
    <w:rsid w:val="00F86287"/>
    <w:rsid w:val="00F869D0"/>
    <w:rsid w:val="00F87F28"/>
    <w:rsid w:val="00F91C04"/>
    <w:rsid w:val="00F94BD1"/>
    <w:rsid w:val="00F961B1"/>
    <w:rsid w:val="00F9648B"/>
    <w:rsid w:val="00F968A1"/>
    <w:rsid w:val="00F97D09"/>
    <w:rsid w:val="00FA372E"/>
    <w:rsid w:val="00FA5342"/>
    <w:rsid w:val="00FA6B81"/>
    <w:rsid w:val="00FA6FB5"/>
    <w:rsid w:val="00FA7F7D"/>
    <w:rsid w:val="00FB1014"/>
    <w:rsid w:val="00FB1732"/>
    <w:rsid w:val="00FB304E"/>
    <w:rsid w:val="00FB3D47"/>
    <w:rsid w:val="00FB4601"/>
    <w:rsid w:val="00FB54A6"/>
    <w:rsid w:val="00FB77DC"/>
    <w:rsid w:val="00FC0DFB"/>
    <w:rsid w:val="00FC1091"/>
    <w:rsid w:val="00FC1B34"/>
    <w:rsid w:val="00FC2E5B"/>
    <w:rsid w:val="00FC3CFF"/>
    <w:rsid w:val="00FC52E7"/>
    <w:rsid w:val="00FC6E35"/>
    <w:rsid w:val="00FC7C55"/>
    <w:rsid w:val="00FD0FF2"/>
    <w:rsid w:val="00FD10BA"/>
    <w:rsid w:val="00FD1B70"/>
    <w:rsid w:val="00FD3A4D"/>
    <w:rsid w:val="00FD486E"/>
    <w:rsid w:val="00FD6575"/>
    <w:rsid w:val="00FE0D71"/>
    <w:rsid w:val="00FE1837"/>
    <w:rsid w:val="00FE3E11"/>
    <w:rsid w:val="00FE4EB7"/>
    <w:rsid w:val="00FE7FBE"/>
    <w:rsid w:val="00FF01F6"/>
    <w:rsid w:val="00FF072D"/>
    <w:rsid w:val="00FF1189"/>
    <w:rsid w:val="00FF2396"/>
    <w:rsid w:val="00FF52EB"/>
    <w:rsid w:val="00FF7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005daa,#13b5ea,#c9c1b8,#ebd722,#002b5c,black,#808184"/>
    </o:shapedefaults>
    <o:shapelayout v:ext="edit">
      <o:idmap v:ext="edit" data="2"/>
    </o:shapelayout>
  </w:shapeDefaults>
  <w:doNotEmbedSmartTags/>
  <w:decimalSymbol w:val="."/>
  <w:listSeparator w:val=","/>
  <w14:docId w14:val="4E278BDE"/>
  <w15:docId w15:val="{9CC9375E-68CE-4976-A676-F2061FC7C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4290C"/>
    <w:pPr>
      <w:adjustRightInd w:val="0"/>
      <w:spacing w:before="180" w:after="180" w:line="240" w:lineRule="atLeast"/>
    </w:pPr>
    <w:rPr>
      <w:rFonts w:ascii="Arial" w:eastAsia="MS Mincho" w:hAnsi="Arial"/>
      <w:kern w:val="16"/>
      <w:lang w:eastAsia="ja-JP"/>
    </w:rPr>
  </w:style>
  <w:style w:type="paragraph" w:styleId="Heading1">
    <w:name w:val="heading 1"/>
    <w:basedOn w:val="Normal"/>
    <w:next w:val="BodyText"/>
    <w:link w:val="Heading1Char"/>
    <w:qFormat/>
    <w:rsid w:val="00E4290C"/>
    <w:pPr>
      <w:keepLines/>
      <w:pageBreakBefore/>
      <w:pBdr>
        <w:bottom w:val="single" w:sz="2" w:space="2" w:color="003263"/>
      </w:pBdr>
      <w:spacing w:before="0" w:after="1080" w:line="360" w:lineRule="atLeast"/>
      <w:outlineLvl w:val="0"/>
    </w:pPr>
    <w:rPr>
      <w:color w:val="003263"/>
      <w:sz w:val="32"/>
      <w:szCs w:val="32"/>
    </w:rPr>
  </w:style>
  <w:style w:type="paragraph" w:styleId="Heading2">
    <w:name w:val="heading 2"/>
    <w:basedOn w:val="Heading1"/>
    <w:next w:val="BodyText"/>
    <w:link w:val="Heading2Char"/>
    <w:qFormat/>
    <w:rsid w:val="00E4290C"/>
    <w:pPr>
      <w:pageBreakBefore w:val="0"/>
      <w:pBdr>
        <w:bottom w:val="none" w:sz="0" w:space="0" w:color="auto"/>
      </w:pBdr>
      <w:spacing w:before="360" w:after="80" w:line="240" w:lineRule="auto"/>
      <w:outlineLvl w:val="1"/>
    </w:pPr>
    <w:rPr>
      <w:color w:val="0060A9"/>
      <w:sz w:val="25"/>
      <w:szCs w:val="25"/>
    </w:rPr>
  </w:style>
  <w:style w:type="paragraph" w:styleId="Heading3">
    <w:name w:val="heading 3"/>
    <w:basedOn w:val="Heading2"/>
    <w:next w:val="BodyText"/>
    <w:qFormat/>
    <w:rsid w:val="00E4290C"/>
    <w:pPr>
      <w:outlineLvl w:val="2"/>
    </w:pPr>
    <w:rPr>
      <w:sz w:val="23"/>
      <w:szCs w:val="23"/>
    </w:rPr>
  </w:style>
  <w:style w:type="paragraph" w:styleId="Heading4">
    <w:name w:val="heading 4"/>
    <w:basedOn w:val="Heading3"/>
    <w:next w:val="BodyText"/>
    <w:qFormat/>
    <w:rsid w:val="00E4290C"/>
    <w:pPr>
      <w:outlineLvl w:val="3"/>
    </w:pPr>
    <w:rPr>
      <w:sz w:val="21"/>
    </w:rPr>
  </w:style>
  <w:style w:type="paragraph" w:styleId="Heading5">
    <w:name w:val="heading 5"/>
    <w:basedOn w:val="Heading4"/>
    <w:next w:val="BodyText"/>
    <w:qFormat/>
    <w:rsid w:val="00E4290C"/>
    <w:pPr>
      <w:outlineLvl w:val="4"/>
    </w:pPr>
    <w:rPr>
      <w:b/>
      <w:sz w:val="20"/>
    </w:rPr>
  </w:style>
  <w:style w:type="paragraph" w:styleId="Heading6">
    <w:name w:val="heading 6"/>
    <w:basedOn w:val="Heading5"/>
    <w:next w:val="BodyText"/>
    <w:qFormat/>
    <w:rsid w:val="00E4290C"/>
    <w:pPr>
      <w:outlineLvl w:val="5"/>
    </w:pPr>
    <w:rPr>
      <w:bCs/>
      <w:sz w:val="18"/>
      <w:szCs w:val="18"/>
    </w:rPr>
  </w:style>
  <w:style w:type="paragraph" w:styleId="Heading7">
    <w:name w:val="heading 7"/>
    <w:basedOn w:val="Heading5"/>
    <w:next w:val="Normal"/>
    <w:qFormat/>
    <w:rsid w:val="00E4290C"/>
    <w:pPr>
      <w:outlineLvl w:val="6"/>
    </w:pPr>
  </w:style>
  <w:style w:type="paragraph" w:styleId="Heading8">
    <w:name w:val="heading 8"/>
    <w:basedOn w:val="Heading4"/>
    <w:next w:val="Heading9"/>
    <w:qFormat/>
    <w:rsid w:val="00E4290C"/>
    <w:pPr>
      <w:numPr>
        <w:ilvl w:val="7"/>
        <w:numId w:val="4"/>
      </w:numPr>
      <w:outlineLvl w:val="7"/>
    </w:pPr>
    <w:rPr>
      <w:iCs/>
    </w:rPr>
  </w:style>
  <w:style w:type="paragraph" w:styleId="Heading9">
    <w:name w:val="heading 9"/>
    <w:basedOn w:val="Heading7"/>
    <w:next w:val="Normal"/>
    <w:qFormat/>
    <w:rsid w:val="00E4290C"/>
    <w:pPr>
      <w:outlineLvl w:val="8"/>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E4290C"/>
    <w:rPr>
      <w:rFonts w:ascii="Tahoma" w:hAnsi="Tahoma" w:cs="Tahoma"/>
      <w:sz w:val="16"/>
      <w:szCs w:val="16"/>
    </w:rPr>
  </w:style>
  <w:style w:type="paragraph" w:styleId="Caption">
    <w:name w:val="caption"/>
    <w:basedOn w:val="Normal"/>
    <w:next w:val="Normal"/>
    <w:qFormat/>
    <w:rsid w:val="00E4290C"/>
    <w:pPr>
      <w:spacing w:before="120"/>
    </w:pPr>
    <w:rPr>
      <w:b/>
      <w:bCs/>
    </w:rPr>
  </w:style>
  <w:style w:type="character" w:styleId="CommentReference">
    <w:name w:val="annotation reference"/>
    <w:basedOn w:val="DefaultParagraphFont"/>
    <w:semiHidden/>
    <w:rsid w:val="00E4290C"/>
    <w:rPr>
      <w:rFonts w:ascii="Arial" w:hAnsi="Arial"/>
      <w:kern w:val="0"/>
      <w:sz w:val="16"/>
      <w:szCs w:val="16"/>
      <w:lang w:val="en-GB"/>
    </w:rPr>
  </w:style>
  <w:style w:type="paragraph" w:styleId="CommentText">
    <w:name w:val="annotation text"/>
    <w:basedOn w:val="Normal"/>
    <w:semiHidden/>
    <w:rsid w:val="00E4290C"/>
  </w:style>
  <w:style w:type="paragraph" w:styleId="CommentSubject">
    <w:name w:val="annotation subject"/>
    <w:basedOn w:val="CommentText"/>
    <w:next w:val="CommentText"/>
    <w:semiHidden/>
    <w:rsid w:val="00E4290C"/>
    <w:rPr>
      <w:b/>
      <w:bCs/>
    </w:rPr>
  </w:style>
  <w:style w:type="paragraph" w:styleId="DocumentMap">
    <w:name w:val="Document Map"/>
    <w:basedOn w:val="Normal"/>
    <w:semiHidden/>
    <w:rsid w:val="00E4290C"/>
    <w:pPr>
      <w:shd w:val="clear" w:color="auto" w:fill="000080"/>
    </w:pPr>
    <w:rPr>
      <w:rFonts w:ascii="Tahoma" w:hAnsi="Tahoma" w:cs="Tahoma"/>
    </w:rPr>
  </w:style>
  <w:style w:type="character" w:styleId="EndnoteReference">
    <w:name w:val="endnote reference"/>
    <w:basedOn w:val="DefaultParagraphFont"/>
    <w:semiHidden/>
    <w:rsid w:val="00E4290C"/>
    <w:rPr>
      <w:vertAlign w:val="superscript"/>
      <w:lang w:val="en-GB"/>
    </w:rPr>
  </w:style>
  <w:style w:type="paragraph" w:styleId="EndnoteText">
    <w:name w:val="endnote text"/>
    <w:basedOn w:val="Normal"/>
    <w:semiHidden/>
    <w:rsid w:val="00E4290C"/>
  </w:style>
  <w:style w:type="paragraph" w:styleId="Header">
    <w:name w:val="header"/>
    <w:basedOn w:val="Normal"/>
    <w:semiHidden/>
    <w:rsid w:val="00E4290C"/>
    <w:pPr>
      <w:tabs>
        <w:tab w:val="center" w:pos="4320"/>
        <w:tab w:val="right" w:pos="8640"/>
      </w:tabs>
    </w:pPr>
  </w:style>
  <w:style w:type="paragraph" w:styleId="Footer">
    <w:name w:val="footer"/>
    <w:basedOn w:val="Normal"/>
    <w:link w:val="FooterChar"/>
    <w:rsid w:val="00887BA1"/>
    <w:pPr>
      <w:tabs>
        <w:tab w:val="right" w:pos="8944"/>
      </w:tabs>
      <w:adjustRightInd/>
      <w:spacing w:before="0" w:after="60" w:line="240" w:lineRule="auto"/>
    </w:pPr>
    <w:rPr>
      <w:caps/>
      <w:noProof/>
      <w:snapToGrid w:val="0"/>
      <w:color w:val="003263"/>
      <w:spacing w:val="20"/>
      <w:kern w:val="12"/>
      <w:sz w:val="12"/>
      <w:szCs w:val="12"/>
    </w:rPr>
  </w:style>
  <w:style w:type="paragraph" w:styleId="Index1">
    <w:name w:val="index 1"/>
    <w:basedOn w:val="Normal"/>
    <w:next w:val="Normal"/>
    <w:semiHidden/>
    <w:rsid w:val="00E4290C"/>
    <w:pPr>
      <w:ind w:left="240" w:hanging="240"/>
    </w:pPr>
  </w:style>
  <w:style w:type="paragraph" w:styleId="Index2">
    <w:name w:val="index 2"/>
    <w:basedOn w:val="Normal"/>
    <w:next w:val="Normal"/>
    <w:semiHidden/>
    <w:rsid w:val="00E4290C"/>
    <w:pPr>
      <w:ind w:left="480" w:hanging="240"/>
    </w:pPr>
  </w:style>
  <w:style w:type="paragraph" w:styleId="Index3">
    <w:name w:val="index 3"/>
    <w:basedOn w:val="Normal"/>
    <w:next w:val="Normal"/>
    <w:semiHidden/>
    <w:rsid w:val="00E4290C"/>
    <w:pPr>
      <w:ind w:left="720" w:hanging="240"/>
    </w:pPr>
  </w:style>
  <w:style w:type="paragraph" w:styleId="Index4">
    <w:name w:val="index 4"/>
    <w:basedOn w:val="Normal"/>
    <w:next w:val="Normal"/>
    <w:semiHidden/>
    <w:rsid w:val="00E4290C"/>
    <w:pPr>
      <w:ind w:left="960" w:hanging="240"/>
    </w:pPr>
  </w:style>
  <w:style w:type="paragraph" w:styleId="Index5">
    <w:name w:val="index 5"/>
    <w:basedOn w:val="Normal"/>
    <w:next w:val="Normal"/>
    <w:semiHidden/>
    <w:rsid w:val="00E4290C"/>
    <w:pPr>
      <w:ind w:left="1200" w:hanging="240"/>
    </w:pPr>
  </w:style>
  <w:style w:type="paragraph" w:styleId="Index6">
    <w:name w:val="index 6"/>
    <w:basedOn w:val="Normal"/>
    <w:next w:val="Normal"/>
    <w:semiHidden/>
    <w:rsid w:val="00E4290C"/>
    <w:pPr>
      <w:ind w:left="1440" w:hanging="240"/>
    </w:pPr>
  </w:style>
  <w:style w:type="paragraph" w:styleId="Index7">
    <w:name w:val="index 7"/>
    <w:basedOn w:val="Normal"/>
    <w:next w:val="Normal"/>
    <w:semiHidden/>
    <w:rsid w:val="00E4290C"/>
    <w:pPr>
      <w:ind w:left="1680" w:hanging="240"/>
    </w:pPr>
  </w:style>
  <w:style w:type="paragraph" w:styleId="Index8">
    <w:name w:val="index 8"/>
    <w:basedOn w:val="Normal"/>
    <w:next w:val="Normal"/>
    <w:semiHidden/>
    <w:rsid w:val="00E4290C"/>
    <w:pPr>
      <w:ind w:left="1920" w:hanging="240"/>
    </w:pPr>
  </w:style>
  <w:style w:type="paragraph" w:styleId="Index9">
    <w:name w:val="index 9"/>
    <w:basedOn w:val="Normal"/>
    <w:next w:val="Normal"/>
    <w:semiHidden/>
    <w:rsid w:val="00E4290C"/>
    <w:pPr>
      <w:ind w:left="2160" w:hanging="240"/>
    </w:pPr>
  </w:style>
  <w:style w:type="paragraph" w:styleId="IndexHeading">
    <w:name w:val="index heading"/>
    <w:basedOn w:val="Normal"/>
    <w:next w:val="Index1"/>
    <w:semiHidden/>
    <w:rsid w:val="00E4290C"/>
    <w:rPr>
      <w:rFonts w:cs="Arial"/>
      <w:b/>
      <w:bCs/>
    </w:rPr>
  </w:style>
  <w:style w:type="paragraph" w:styleId="MacroText">
    <w:name w:val="macro"/>
    <w:semiHidden/>
    <w:rsid w:val="00E4290C"/>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n-GB" w:eastAsia="en-GB"/>
    </w:rPr>
  </w:style>
  <w:style w:type="paragraph" w:styleId="TableofAuthorities">
    <w:name w:val="table of authorities"/>
    <w:basedOn w:val="Normal"/>
    <w:next w:val="Normal"/>
    <w:semiHidden/>
    <w:rsid w:val="00E4290C"/>
    <w:pPr>
      <w:ind w:left="240" w:hanging="240"/>
    </w:pPr>
  </w:style>
  <w:style w:type="paragraph" w:customStyle="1" w:styleId="Draft">
    <w:name w:val="Draft"/>
    <w:basedOn w:val="BodyText"/>
    <w:rsid w:val="00E4290C"/>
    <w:pPr>
      <w:spacing w:after="160"/>
      <w:ind w:left="-101" w:right="-101"/>
      <w:jc w:val="center"/>
    </w:pPr>
    <w:rPr>
      <w:b/>
      <w:color w:val="AAAAAA"/>
      <w:sz w:val="40"/>
      <w:szCs w:val="28"/>
    </w:rPr>
  </w:style>
  <w:style w:type="paragraph" w:styleId="TOAHeading">
    <w:name w:val="toa heading"/>
    <w:basedOn w:val="Normal"/>
    <w:next w:val="Normal"/>
    <w:semiHidden/>
    <w:rsid w:val="00E4290C"/>
    <w:pPr>
      <w:spacing w:before="120"/>
    </w:pPr>
    <w:rPr>
      <w:rFonts w:cs="Arial"/>
      <w:b/>
      <w:bCs/>
    </w:rPr>
  </w:style>
  <w:style w:type="paragraph" w:styleId="TOC1">
    <w:name w:val="toc 1"/>
    <w:basedOn w:val="Normal"/>
    <w:rsid w:val="00E4290C"/>
    <w:pPr>
      <w:tabs>
        <w:tab w:val="left" w:pos="473"/>
        <w:tab w:val="right" w:pos="9761"/>
      </w:tabs>
      <w:spacing w:before="480" w:after="120"/>
      <w:ind w:left="45" w:right="28"/>
    </w:pPr>
    <w:rPr>
      <w:rFonts w:cs="Arial"/>
      <w:noProof/>
      <w:color w:val="003263"/>
      <w:sz w:val="22"/>
      <w:szCs w:val="22"/>
    </w:rPr>
  </w:style>
  <w:style w:type="paragraph" w:styleId="TOC2">
    <w:name w:val="toc 2"/>
    <w:basedOn w:val="Normal"/>
    <w:rsid w:val="00E4290C"/>
    <w:pPr>
      <w:tabs>
        <w:tab w:val="left" w:pos="1032"/>
        <w:tab w:val="right" w:pos="9761"/>
      </w:tabs>
      <w:spacing w:before="60" w:after="120" w:line="200" w:lineRule="atLeast"/>
      <w:ind w:left="516" w:right="-6"/>
    </w:pPr>
    <w:rPr>
      <w:rFonts w:cs="Arial"/>
      <w:noProof/>
      <w:color w:val="0060A9"/>
      <w:sz w:val="21"/>
      <w:szCs w:val="21"/>
      <w:lang w:val="en-CA"/>
    </w:rPr>
  </w:style>
  <w:style w:type="paragraph" w:styleId="TOC3">
    <w:name w:val="toc 3"/>
    <w:basedOn w:val="TOC2"/>
    <w:rsid w:val="00E4290C"/>
    <w:pPr>
      <w:tabs>
        <w:tab w:val="clear" w:pos="1032"/>
        <w:tab w:val="left" w:pos="1806"/>
      </w:tabs>
      <w:ind w:left="1049"/>
    </w:pPr>
  </w:style>
  <w:style w:type="paragraph" w:styleId="TOC4">
    <w:name w:val="toc 4"/>
    <w:basedOn w:val="TOC3"/>
    <w:next w:val="Normal"/>
    <w:semiHidden/>
    <w:rsid w:val="00E4290C"/>
  </w:style>
  <w:style w:type="paragraph" w:styleId="TOC5">
    <w:name w:val="toc 5"/>
    <w:basedOn w:val="TOC4"/>
    <w:next w:val="Normal"/>
    <w:semiHidden/>
    <w:rsid w:val="00E4290C"/>
  </w:style>
  <w:style w:type="paragraph" w:styleId="TOC6">
    <w:name w:val="toc 6"/>
    <w:basedOn w:val="Normal"/>
    <w:next w:val="Normal"/>
    <w:semiHidden/>
    <w:rsid w:val="00E4290C"/>
    <w:pPr>
      <w:tabs>
        <w:tab w:val="right" w:leader="dot" w:pos="9019"/>
      </w:tabs>
      <w:ind w:left="1300"/>
    </w:pPr>
    <w:rPr>
      <w:noProof/>
    </w:rPr>
  </w:style>
  <w:style w:type="paragraph" w:styleId="TOC7">
    <w:name w:val="toc 7"/>
    <w:basedOn w:val="Normal"/>
    <w:next w:val="Normal"/>
    <w:semiHidden/>
    <w:rsid w:val="00E4290C"/>
    <w:pPr>
      <w:ind w:left="1200"/>
    </w:pPr>
  </w:style>
  <w:style w:type="paragraph" w:styleId="TOC8">
    <w:name w:val="toc 8"/>
    <w:basedOn w:val="Normal"/>
    <w:next w:val="Normal"/>
    <w:semiHidden/>
    <w:rsid w:val="00E4290C"/>
    <w:pPr>
      <w:ind w:left="1400"/>
    </w:pPr>
  </w:style>
  <w:style w:type="paragraph" w:styleId="TOC9">
    <w:name w:val="toc 9"/>
    <w:basedOn w:val="Normal"/>
    <w:next w:val="Normal"/>
    <w:semiHidden/>
    <w:rsid w:val="00E4290C"/>
    <w:pPr>
      <w:ind w:left="1600"/>
    </w:pPr>
  </w:style>
  <w:style w:type="table" w:styleId="TableGrid">
    <w:name w:val="Table Grid"/>
    <w:basedOn w:val="TableNormal"/>
    <w:rsid w:val="00E4290C"/>
    <w:pPr>
      <w:spacing w:line="220" w:lineRule="atLeast"/>
    </w:pPr>
    <w:rPr>
      <w:rFonts w:ascii="Arial" w:hAnsi="Arial"/>
      <w:sz w:val="18"/>
    </w:rPr>
    <w:tblPr>
      <w:tblBorders>
        <w:top w:val="single" w:sz="6" w:space="0" w:color="8499A6"/>
        <w:bottom w:val="single" w:sz="6" w:space="0" w:color="8499A6"/>
        <w:insideH w:val="single" w:sz="6" w:space="0" w:color="8499A6"/>
      </w:tblBorders>
      <w:tblCellMar>
        <w:left w:w="102" w:type="dxa"/>
        <w:right w:w="102" w:type="dxa"/>
      </w:tblCellMar>
    </w:tblPr>
    <w:trPr>
      <w:cantSplit/>
    </w:trPr>
    <w:tcPr>
      <w:shd w:val="clear" w:color="auto" w:fill="auto"/>
    </w:tcPr>
    <w:tblStylePr w:type="firstRow">
      <w:pPr>
        <w:wordWrap/>
        <w:spacing w:beforeLines="0" w:before="0" w:beforeAutospacing="0" w:afterLines="0" w:after="0" w:afterAutospacing="0" w:line="220" w:lineRule="atLeast"/>
        <w:contextualSpacing w:val="0"/>
      </w:pPr>
      <w:rPr>
        <w:rFonts w:ascii="Arial" w:hAnsi="Arial"/>
        <w:b w:val="0"/>
        <w:i w:val="0"/>
        <w:color w:val="auto"/>
        <w:sz w:val="18"/>
      </w:rPr>
      <w:tblPr/>
      <w:trPr>
        <w:cantSplit w:val="0"/>
      </w:trPr>
      <w:tcPr>
        <w:tcBorders>
          <w:top w:val="single" w:sz="2" w:space="0" w:color="8499A6"/>
          <w:left w:val="nil"/>
          <w:bottom w:val="single" w:sz="2" w:space="0" w:color="8499A6"/>
          <w:right w:val="nil"/>
          <w:insideH w:val="single" w:sz="2" w:space="0" w:color="B3C1C9"/>
          <w:insideV w:val="nil"/>
          <w:tl2br w:val="nil"/>
          <w:tr2bl w:val="nil"/>
        </w:tcBorders>
      </w:tcPr>
    </w:tblStylePr>
  </w:style>
  <w:style w:type="table" w:styleId="TableGrid1">
    <w:name w:val="Table Grid 1"/>
    <w:basedOn w:val="TableNormal"/>
    <w:semiHidden/>
    <w:rsid w:val="00E4290C"/>
    <w:rPr>
      <w:rFonts w:ascii="Verdana" w:hAnsi="Verdana"/>
      <w:color w:val="6F6E6F"/>
      <w:sz w:val="18"/>
    </w:rPr>
    <w:tblPr>
      <w:tblBorders>
        <w:top w:val="single" w:sz="6" w:space="0" w:color="6F6E6F"/>
        <w:bottom w:val="single" w:sz="6" w:space="0" w:color="6F6E6F"/>
        <w:insideH w:val="single" w:sz="6" w:space="0" w:color="6F6E6F"/>
        <w:insideV w:val="single" w:sz="6" w:space="0" w:color="6F6E6F"/>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E4290C"/>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E4290C"/>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E4290C"/>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E4290C"/>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E4290C"/>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E4290C"/>
    <w:rPr>
      <w:bCs/>
    </w:rP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E4290C"/>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NumHead1">
    <w:name w:val="NumHead 1"/>
    <w:basedOn w:val="Heading1"/>
    <w:next w:val="BodyText"/>
    <w:link w:val="NumHead1CharChar"/>
    <w:rsid w:val="00E4290C"/>
    <w:pPr>
      <w:numPr>
        <w:numId w:val="18"/>
      </w:numPr>
    </w:pPr>
  </w:style>
  <w:style w:type="character" w:customStyle="1" w:styleId="TableBullet1CharChar">
    <w:name w:val="Table Bullet 1 Char Char"/>
    <w:basedOn w:val="DefaultParagraphFont"/>
    <w:link w:val="TableBullet1"/>
    <w:rsid w:val="00E4290C"/>
    <w:rPr>
      <w:rFonts w:ascii="Arial" w:eastAsia="MS Mincho" w:hAnsi="Arial"/>
      <w:kern w:val="16"/>
      <w:sz w:val="16"/>
      <w:szCs w:val="18"/>
      <w:lang w:val="en-US" w:eastAsia="ja-JP" w:bidi="ar-SA"/>
    </w:rPr>
  </w:style>
  <w:style w:type="paragraph" w:customStyle="1" w:styleId="NumHead2">
    <w:name w:val="NumHead 2"/>
    <w:basedOn w:val="NumHead1"/>
    <w:next w:val="BodyText"/>
    <w:link w:val="NumHead2CharChar"/>
    <w:rsid w:val="00E4290C"/>
    <w:pPr>
      <w:pageBreakBefore w:val="0"/>
      <w:numPr>
        <w:ilvl w:val="1"/>
      </w:numPr>
      <w:pBdr>
        <w:bottom w:val="none" w:sz="0" w:space="0" w:color="auto"/>
      </w:pBdr>
      <w:spacing w:before="360" w:after="60" w:line="280" w:lineRule="atLeast"/>
    </w:pPr>
    <w:rPr>
      <w:rFonts w:cs="Arial"/>
      <w:color w:val="0060A9"/>
      <w:sz w:val="25"/>
      <w:szCs w:val="25"/>
    </w:rPr>
  </w:style>
  <w:style w:type="paragraph" w:customStyle="1" w:styleId="TableTitle">
    <w:name w:val="Table Title"/>
    <w:basedOn w:val="TableText"/>
    <w:autoRedefine/>
    <w:rsid w:val="000B291C"/>
    <w:pPr>
      <w:spacing w:before="120" w:line="240" w:lineRule="atLeast"/>
    </w:pPr>
    <w:rPr>
      <w:b/>
      <w:color w:val="0060A9"/>
      <w:lang w:eastAsia="zh-CN"/>
    </w:rPr>
  </w:style>
  <w:style w:type="paragraph" w:customStyle="1" w:styleId="TableSubtitle">
    <w:name w:val="Table Subtitle"/>
    <w:basedOn w:val="TableText"/>
    <w:next w:val="TableText"/>
    <w:rsid w:val="00E32DBC"/>
    <w:pPr>
      <w:spacing w:before="0"/>
    </w:pPr>
    <w:rPr>
      <w:rFonts w:cs="Arial"/>
      <w:b/>
      <w:i/>
      <w:color w:val="003263"/>
      <w:lang w:eastAsia="zh-CN"/>
    </w:rPr>
  </w:style>
  <w:style w:type="paragraph" w:customStyle="1" w:styleId="TableHeading">
    <w:name w:val="Table Heading"/>
    <w:basedOn w:val="TableText"/>
    <w:rsid w:val="00E4290C"/>
    <w:pPr>
      <w:spacing w:before="360"/>
    </w:pPr>
    <w:rPr>
      <w:b/>
    </w:rPr>
  </w:style>
  <w:style w:type="character" w:customStyle="1" w:styleId="Blue">
    <w:name w:val="Blue"/>
    <w:basedOn w:val="DefaultParagraphFont"/>
    <w:semiHidden/>
    <w:rsid w:val="00E4290C"/>
    <w:rPr>
      <w:rFonts w:ascii="Verdana" w:hAnsi="Verdana"/>
      <w:color w:val="0045A9"/>
      <w:kern w:val="0"/>
      <w:lang w:val="en-GB"/>
    </w:rPr>
  </w:style>
  <w:style w:type="paragraph" w:styleId="ListBullet">
    <w:name w:val="List Bullet"/>
    <w:basedOn w:val="List"/>
    <w:link w:val="ListBulletChar"/>
    <w:rsid w:val="00E4290C"/>
    <w:pPr>
      <w:numPr>
        <w:numId w:val="9"/>
      </w:numPr>
    </w:pPr>
    <w:rPr>
      <w:color w:val="000000"/>
    </w:rPr>
  </w:style>
  <w:style w:type="character" w:customStyle="1" w:styleId="Heading1Char">
    <w:name w:val="Heading 1 Char"/>
    <w:basedOn w:val="DefaultParagraphFont"/>
    <w:link w:val="Heading1"/>
    <w:rsid w:val="00E4290C"/>
    <w:rPr>
      <w:rFonts w:ascii="Arial" w:eastAsia="MS Mincho" w:hAnsi="Arial"/>
      <w:color w:val="003263"/>
      <w:kern w:val="16"/>
      <w:sz w:val="32"/>
      <w:szCs w:val="32"/>
      <w:lang w:val="en-US" w:eastAsia="ja-JP" w:bidi="ar-SA"/>
    </w:rPr>
  </w:style>
  <w:style w:type="paragraph" w:customStyle="1" w:styleId="NumHead3">
    <w:name w:val="NumHead 3"/>
    <w:basedOn w:val="NumHead2"/>
    <w:next w:val="BodyText"/>
    <w:link w:val="NumHead3CharChar"/>
    <w:rsid w:val="00E4290C"/>
    <w:pPr>
      <w:numPr>
        <w:ilvl w:val="2"/>
      </w:numPr>
      <w:tabs>
        <w:tab w:val="left" w:pos="851"/>
      </w:tabs>
      <w:spacing w:after="0" w:line="260" w:lineRule="atLeast"/>
    </w:pPr>
    <w:rPr>
      <w:sz w:val="22"/>
    </w:rPr>
  </w:style>
  <w:style w:type="paragraph" w:styleId="BodyText">
    <w:name w:val="Body Text"/>
    <w:basedOn w:val="Normal"/>
    <w:link w:val="BodyTextChar"/>
    <w:rsid w:val="00E4290C"/>
    <w:pPr>
      <w:spacing w:before="120" w:after="120" w:line="260" w:lineRule="atLeast"/>
    </w:pPr>
  </w:style>
  <w:style w:type="paragraph" w:styleId="ListBullet4">
    <w:name w:val="List Bullet 4"/>
    <w:basedOn w:val="Normal"/>
    <w:semiHidden/>
    <w:rsid w:val="00E4290C"/>
    <w:pPr>
      <w:numPr>
        <w:numId w:val="12"/>
      </w:numPr>
    </w:pPr>
  </w:style>
  <w:style w:type="paragraph" w:styleId="ListBullet5">
    <w:name w:val="List Bullet 5"/>
    <w:basedOn w:val="Normal"/>
    <w:semiHidden/>
    <w:rsid w:val="00E4290C"/>
    <w:pPr>
      <w:numPr>
        <w:numId w:val="13"/>
      </w:numPr>
    </w:pPr>
  </w:style>
  <w:style w:type="paragraph" w:customStyle="1" w:styleId="NumHeadI">
    <w:name w:val="NumHead I"/>
    <w:basedOn w:val="Normal"/>
    <w:next w:val="Normal"/>
    <w:semiHidden/>
    <w:rsid w:val="00E4290C"/>
    <w:pPr>
      <w:keepLines/>
      <w:tabs>
        <w:tab w:val="num" w:pos="1008"/>
      </w:tabs>
      <w:spacing w:before="360" w:line="270" w:lineRule="atLeast"/>
      <w:ind w:left="1008" w:hanging="1008"/>
    </w:pPr>
    <w:rPr>
      <w:b/>
      <w:vanish/>
      <w:color w:val="FF0000"/>
    </w:rPr>
  </w:style>
  <w:style w:type="paragraph" w:customStyle="1" w:styleId="NumHeadII">
    <w:name w:val="NumHead 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II">
    <w:name w:val="NumHead I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V">
    <w:name w:val="NumHead IV"/>
    <w:basedOn w:val="Normal"/>
    <w:next w:val="Normal"/>
    <w:semiHidden/>
    <w:rsid w:val="00E4290C"/>
    <w:pPr>
      <w:keepNext/>
      <w:keepLines/>
      <w:tabs>
        <w:tab w:val="num" w:pos="1008"/>
      </w:tabs>
      <w:spacing w:before="360" w:line="270" w:lineRule="atLeast"/>
      <w:ind w:left="1008" w:hanging="1008"/>
    </w:pPr>
    <w:rPr>
      <w:b/>
    </w:rPr>
  </w:style>
  <w:style w:type="paragraph" w:customStyle="1" w:styleId="NumHeadV">
    <w:name w:val="NumHead V"/>
    <w:basedOn w:val="Normal"/>
    <w:next w:val="Normal"/>
    <w:semiHidden/>
    <w:rsid w:val="00E4290C"/>
    <w:pPr>
      <w:keepNext/>
      <w:keepLines/>
      <w:tabs>
        <w:tab w:val="num" w:pos="1008"/>
      </w:tabs>
      <w:spacing w:before="360" w:line="270" w:lineRule="atLeast"/>
      <w:ind w:left="1008" w:hanging="1008"/>
    </w:pPr>
    <w:rPr>
      <w:b/>
    </w:rPr>
  </w:style>
  <w:style w:type="character" w:customStyle="1" w:styleId="TitleChar">
    <w:name w:val="Title Char"/>
    <w:basedOn w:val="DefaultParagraphFont"/>
    <w:link w:val="Title"/>
    <w:rsid w:val="00E4290C"/>
    <w:rPr>
      <w:rFonts w:ascii="Arial" w:eastAsia="MS Mincho" w:hAnsi="Arial" w:cs="Arial"/>
      <w:color w:val="FFFFFF"/>
      <w:kern w:val="16"/>
      <w:sz w:val="40"/>
      <w:szCs w:val="40"/>
      <w:lang w:val="en-US" w:eastAsia="ja-JP" w:bidi="ar-SA"/>
    </w:rPr>
  </w:style>
  <w:style w:type="paragraph" w:styleId="Subtitle">
    <w:name w:val="Subtitle"/>
    <w:basedOn w:val="Title"/>
    <w:link w:val="SubtitleChar"/>
    <w:qFormat/>
    <w:rsid w:val="0039777B"/>
    <w:pPr>
      <w:spacing w:after="100" w:afterAutospacing="1" w:line="360" w:lineRule="atLeast"/>
    </w:pPr>
    <w:rPr>
      <w:b/>
      <w:i/>
      <w:sz w:val="28"/>
      <w:szCs w:val="28"/>
    </w:rPr>
  </w:style>
  <w:style w:type="paragraph" w:styleId="Salutation">
    <w:name w:val="Salutation"/>
    <w:basedOn w:val="Normal"/>
    <w:next w:val="Normal"/>
    <w:semiHidden/>
    <w:rsid w:val="00E4290C"/>
  </w:style>
  <w:style w:type="paragraph" w:styleId="MessageHeader">
    <w:name w:val="Message Header"/>
    <w:basedOn w:val="Normal"/>
    <w:semiHidden/>
    <w:rsid w:val="00E4290C"/>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customStyle="1" w:styleId="NumHead4">
    <w:name w:val="NumHead 4"/>
    <w:basedOn w:val="NumHead3"/>
    <w:next w:val="BodyText"/>
    <w:link w:val="NumHead4CharChar"/>
    <w:rsid w:val="00E4290C"/>
    <w:pPr>
      <w:numPr>
        <w:ilvl w:val="3"/>
      </w:numPr>
      <w:tabs>
        <w:tab w:val="clear" w:pos="851"/>
        <w:tab w:val="left" w:pos="907"/>
      </w:tabs>
    </w:pPr>
    <w:rPr>
      <w:sz w:val="21"/>
      <w:szCs w:val="21"/>
    </w:rPr>
  </w:style>
  <w:style w:type="character" w:customStyle="1" w:styleId="SubtitleChar">
    <w:name w:val="Subtitle Char"/>
    <w:basedOn w:val="TitleChar"/>
    <w:link w:val="Subtitle"/>
    <w:rsid w:val="0039777B"/>
    <w:rPr>
      <w:rFonts w:ascii="Arial" w:eastAsia="MS Mincho" w:hAnsi="Arial" w:cs="Arial"/>
      <w:b/>
      <w:i/>
      <w:color w:val="FFFFFF"/>
      <w:kern w:val="16"/>
      <w:sz w:val="28"/>
      <w:szCs w:val="28"/>
      <w:lang w:val="en-US" w:eastAsia="ja-JP" w:bidi="ar-SA"/>
    </w:rPr>
  </w:style>
  <w:style w:type="paragraph" w:customStyle="1" w:styleId="BodyTextBold">
    <w:name w:val="Body Text Bold"/>
    <w:basedOn w:val="BlockText"/>
    <w:next w:val="BodyText"/>
    <w:rsid w:val="00E4290C"/>
    <w:pPr>
      <w:ind w:left="0"/>
    </w:pPr>
    <w:rPr>
      <w:b/>
    </w:rPr>
  </w:style>
  <w:style w:type="paragraph" w:customStyle="1" w:styleId="NumHead5">
    <w:name w:val="NumHead 5"/>
    <w:basedOn w:val="NumHead4"/>
    <w:next w:val="BodyText"/>
    <w:link w:val="NumHead5CharChar"/>
    <w:rsid w:val="00E4290C"/>
    <w:pPr>
      <w:numPr>
        <w:ilvl w:val="4"/>
      </w:numPr>
      <w:tabs>
        <w:tab w:val="clear" w:pos="907"/>
        <w:tab w:val="left" w:pos="1021"/>
      </w:tabs>
      <w:spacing w:line="240" w:lineRule="atLeast"/>
    </w:pPr>
    <w:rPr>
      <w:szCs w:val="19"/>
    </w:rPr>
  </w:style>
  <w:style w:type="character" w:customStyle="1" w:styleId="NumHead1CharChar">
    <w:name w:val="NumHead 1 Char Char"/>
    <w:basedOn w:val="DefaultParagraphFont"/>
    <w:link w:val="NumHead1"/>
    <w:rsid w:val="00E4290C"/>
    <w:rPr>
      <w:rFonts w:ascii="Arial" w:eastAsia="MS Mincho" w:hAnsi="Arial"/>
      <w:color w:val="003263"/>
      <w:kern w:val="16"/>
      <w:sz w:val="32"/>
      <w:szCs w:val="32"/>
      <w:lang w:val="en-US" w:eastAsia="ja-JP" w:bidi="ar-SA"/>
    </w:rPr>
  </w:style>
  <w:style w:type="character" w:customStyle="1" w:styleId="NumHead2CharChar">
    <w:name w:val="NumHead 2 Char Char"/>
    <w:basedOn w:val="NumHead1CharChar"/>
    <w:link w:val="NumHead2"/>
    <w:rsid w:val="00E4290C"/>
    <w:rPr>
      <w:rFonts w:ascii="Arial" w:eastAsia="MS Mincho" w:hAnsi="Arial" w:cs="Arial"/>
      <w:color w:val="0060A9"/>
      <w:kern w:val="16"/>
      <w:sz w:val="25"/>
      <w:szCs w:val="25"/>
      <w:lang w:val="en-US" w:eastAsia="ja-JP" w:bidi="ar-SA"/>
    </w:rPr>
  </w:style>
  <w:style w:type="paragraph" w:customStyle="1" w:styleId="Question1">
    <w:name w:val="Question 1"/>
    <w:basedOn w:val="Normal"/>
    <w:next w:val="BodyText"/>
    <w:rsid w:val="00E4290C"/>
    <w:pPr>
      <w:keepNext/>
      <w:keepLines/>
      <w:numPr>
        <w:numId w:val="21"/>
      </w:numPr>
      <w:pBdr>
        <w:bottom w:val="single" w:sz="2" w:space="4" w:color="8499A6"/>
      </w:pBdr>
      <w:adjustRightInd/>
      <w:spacing w:before="600" w:after="60"/>
    </w:pPr>
    <w:rPr>
      <w:color w:val="0060A9"/>
      <w:lang w:val="en-CA" w:eastAsia="en-US"/>
    </w:rPr>
  </w:style>
  <w:style w:type="paragraph" w:customStyle="1" w:styleId="Question2">
    <w:name w:val="Question 2"/>
    <w:basedOn w:val="Question1"/>
    <w:next w:val="BodyText"/>
    <w:rsid w:val="00E4290C"/>
    <w:pPr>
      <w:numPr>
        <w:numId w:val="0"/>
      </w:numPr>
    </w:pPr>
  </w:style>
  <w:style w:type="paragraph" w:styleId="List">
    <w:name w:val="List"/>
    <w:basedOn w:val="BodyText"/>
    <w:link w:val="ListChar"/>
    <w:rsid w:val="00E4290C"/>
    <w:pPr>
      <w:numPr>
        <w:numId w:val="5"/>
      </w:numPr>
      <w:spacing w:line="240" w:lineRule="atLeast"/>
    </w:pPr>
    <w:rPr>
      <w:sz w:val="19"/>
      <w:szCs w:val="19"/>
      <w:lang w:val="en-CA"/>
    </w:rPr>
  </w:style>
  <w:style w:type="paragraph" w:customStyle="1" w:styleId="DateFrontpage">
    <w:name w:val="Date Front page"/>
    <w:basedOn w:val="BodyText"/>
    <w:rsid w:val="00E4290C"/>
    <w:pPr>
      <w:framePr w:w="4043" w:h="357" w:hRule="exact" w:hSpace="181" w:wrap="notBeside" w:vAnchor="page" w:hAnchor="page" w:x="1231" w:y="5217" w:anchorLock="1"/>
      <w:spacing w:after="240"/>
    </w:pPr>
    <w:rPr>
      <w:smallCaps/>
      <w:color w:val="FFFFFF"/>
      <w:sz w:val="16"/>
      <w:szCs w:val="16"/>
    </w:rPr>
  </w:style>
  <w:style w:type="character" w:customStyle="1" w:styleId="NumHead3CharChar">
    <w:name w:val="NumHead 3 Char Char"/>
    <w:basedOn w:val="NumHead2CharChar"/>
    <w:link w:val="NumHead3"/>
    <w:rsid w:val="00E4290C"/>
    <w:rPr>
      <w:rFonts w:ascii="Arial" w:eastAsia="MS Mincho" w:hAnsi="Arial" w:cs="Arial"/>
      <w:color w:val="0060A9"/>
      <w:kern w:val="16"/>
      <w:sz w:val="22"/>
      <w:szCs w:val="25"/>
      <w:lang w:val="en-US" w:eastAsia="ja-JP" w:bidi="ar-SA"/>
    </w:rPr>
  </w:style>
  <w:style w:type="character" w:customStyle="1" w:styleId="NumHead4CharChar">
    <w:name w:val="NumHead 4 Char Char"/>
    <w:basedOn w:val="NumHead3CharChar"/>
    <w:link w:val="NumHead4"/>
    <w:rsid w:val="00E4290C"/>
    <w:rPr>
      <w:rFonts w:ascii="Arial" w:eastAsia="MS Mincho" w:hAnsi="Arial" w:cs="Arial"/>
      <w:color w:val="0060A9"/>
      <w:kern w:val="16"/>
      <w:sz w:val="21"/>
      <w:szCs w:val="21"/>
      <w:lang w:val="en-US" w:eastAsia="ja-JP" w:bidi="ar-SA"/>
    </w:rPr>
  </w:style>
  <w:style w:type="character" w:customStyle="1" w:styleId="BodyTextChar">
    <w:name w:val="Body Text Char"/>
    <w:basedOn w:val="DefaultParagraphFont"/>
    <w:link w:val="BodyText"/>
    <w:rsid w:val="00E4290C"/>
    <w:rPr>
      <w:rFonts w:ascii="Arial" w:eastAsia="MS Mincho" w:hAnsi="Arial"/>
      <w:kern w:val="16"/>
      <w:lang w:val="en-US" w:eastAsia="ja-JP" w:bidi="ar-SA"/>
    </w:rPr>
  </w:style>
  <w:style w:type="paragraph" w:styleId="PlainText">
    <w:name w:val="Plain Text"/>
    <w:basedOn w:val="Normal"/>
    <w:semiHidden/>
    <w:rsid w:val="00E4290C"/>
    <w:rPr>
      <w:rFonts w:ascii="Courier New" w:hAnsi="Courier New" w:cs="Courier New"/>
    </w:rPr>
  </w:style>
  <w:style w:type="numbering" w:styleId="111111">
    <w:name w:val="Outline List 2"/>
    <w:basedOn w:val="NoList"/>
    <w:semiHidden/>
    <w:rsid w:val="00E4290C"/>
    <w:pPr>
      <w:numPr>
        <w:numId w:val="1"/>
      </w:numPr>
    </w:pPr>
  </w:style>
  <w:style w:type="paragraph" w:styleId="BlockText">
    <w:name w:val="Block Text"/>
    <w:basedOn w:val="Normal"/>
    <w:semiHidden/>
    <w:rsid w:val="00E4290C"/>
    <w:pPr>
      <w:ind w:left="1440" w:right="1440"/>
    </w:pPr>
  </w:style>
  <w:style w:type="character" w:customStyle="1" w:styleId="NumHead5CharChar">
    <w:name w:val="NumHead 5 Char Char"/>
    <w:basedOn w:val="NumHead4CharChar"/>
    <w:link w:val="NumHead5"/>
    <w:rsid w:val="00E4290C"/>
    <w:rPr>
      <w:rFonts w:ascii="Arial" w:eastAsia="MS Mincho" w:hAnsi="Arial" w:cs="Arial"/>
      <w:color w:val="0060A9"/>
      <w:kern w:val="16"/>
      <w:sz w:val="21"/>
      <w:szCs w:val="19"/>
      <w:lang w:val="en-US" w:eastAsia="ja-JP" w:bidi="ar-SA"/>
    </w:rPr>
  </w:style>
  <w:style w:type="character" w:customStyle="1" w:styleId="Heading1CharChar">
    <w:name w:val="Heading 1 Char Char"/>
    <w:basedOn w:val="DefaultParagraphFont"/>
    <w:rsid w:val="00541410"/>
    <w:rPr>
      <w:rFonts w:ascii="Arial" w:eastAsia="MS Mincho" w:hAnsi="Arial"/>
      <w:color w:val="003263"/>
      <w:kern w:val="16"/>
      <w:sz w:val="32"/>
      <w:szCs w:val="32"/>
      <w:lang w:val="en-US" w:eastAsia="ja-JP" w:bidi="ar-SA"/>
    </w:rPr>
  </w:style>
  <w:style w:type="paragraph" w:customStyle="1" w:styleId="Question3">
    <w:name w:val="Question 3"/>
    <w:basedOn w:val="Question1"/>
    <w:next w:val="BodyText"/>
    <w:rsid w:val="00E4290C"/>
    <w:pPr>
      <w:numPr>
        <w:numId w:val="22"/>
      </w:numPr>
    </w:pPr>
  </w:style>
  <w:style w:type="paragraph" w:customStyle="1" w:styleId="Question5">
    <w:name w:val="Question 5"/>
    <w:basedOn w:val="Question1"/>
    <w:next w:val="BodyText"/>
    <w:rsid w:val="00E4290C"/>
    <w:pPr>
      <w:numPr>
        <w:numId w:val="24"/>
      </w:numPr>
    </w:pPr>
  </w:style>
  <w:style w:type="paragraph" w:customStyle="1" w:styleId="Question4">
    <w:name w:val="Question 4"/>
    <w:basedOn w:val="Question1"/>
    <w:next w:val="BodyText"/>
    <w:rsid w:val="00E4290C"/>
    <w:pPr>
      <w:numPr>
        <w:numId w:val="23"/>
      </w:numPr>
    </w:pPr>
  </w:style>
  <w:style w:type="character" w:customStyle="1" w:styleId="Heading2Char">
    <w:name w:val="Heading 2 Char"/>
    <w:basedOn w:val="Heading1Char"/>
    <w:link w:val="Heading2"/>
    <w:rsid w:val="00E4290C"/>
    <w:rPr>
      <w:rFonts w:ascii="Arial" w:eastAsia="MS Mincho" w:hAnsi="Arial"/>
      <w:color w:val="0060A9"/>
      <w:kern w:val="16"/>
      <w:sz w:val="25"/>
      <w:szCs w:val="25"/>
      <w:lang w:val="en-US" w:eastAsia="ja-JP" w:bidi="ar-SA"/>
    </w:rPr>
  </w:style>
  <w:style w:type="paragraph" w:customStyle="1" w:styleId="Redtext">
    <w:name w:val="Red text"/>
    <w:basedOn w:val="BodyText"/>
    <w:rsid w:val="00E4290C"/>
    <w:rPr>
      <w:i/>
      <w:color w:val="FF0000"/>
    </w:rPr>
  </w:style>
  <w:style w:type="paragraph" w:customStyle="1" w:styleId="TitleDisclaimer">
    <w:name w:val="Title Disclaimer"/>
    <w:basedOn w:val="Heading1"/>
    <w:rsid w:val="00E4290C"/>
  </w:style>
  <w:style w:type="paragraph" w:customStyle="1" w:styleId="Quotation">
    <w:name w:val="Quotation"/>
    <w:basedOn w:val="SubHeading"/>
    <w:rsid w:val="0039777B"/>
    <w:pPr>
      <w:spacing w:after="120" w:line="280" w:lineRule="atLeast"/>
    </w:pPr>
    <w:rPr>
      <w:sz w:val="18"/>
    </w:rPr>
  </w:style>
  <w:style w:type="character" w:customStyle="1" w:styleId="ListChar">
    <w:name w:val="List Char"/>
    <w:basedOn w:val="DefaultParagraphFont"/>
    <w:link w:val="List"/>
    <w:rsid w:val="00E4290C"/>
    <w:rPr>
      <w:rFonts w:ascii="Arial" w:eastAsia="MS Mincho" w:hAnsi="Arial"/>
      <w:kern w:val="16"/>
      <w:sz w:val="19"/>
      <w:szCs w:val="19"/>
      <w:lang w:val="en-CA" w:eastAsia="ja-JP" w:bidi="ar-SA"/>
    </w:rPr>
  </w:style>
  <w:style w:type="character" w:customStyle="1" w:styleId="ListBulletChar">
    <w:name w:val="List Bullet Char"/>
    <w:basedOn w:val="DefaultParagraphFont"/>
    <w:link w:val="ListBullet"/>
    <w:rsid w:val="004A21A3"/>
    <w:rPr>
      <w:rFonts w:ascii="Arial" w:eastAsia="MS Mincho" w:hAnsi="Arial"/>
      <w:color w:val="000000"/>
      <w:kern w:val="16"/>
      <w:sz w:val="19"/>
      <w:szCs w:val="19"/>
      <w:lang w:val="en-CA" w:eastAsia="ja-JP" w:bidi="ar-SA"/>
    </w:rPr>
  </w:style>
  <w:style w:type="numbering" w:customStyle="1" w:styleId="NumHeadListChapter">
    <w:name w:val="NumHead List Chapter"/>
    <w:basedOn w:val="NoList"/>
    <w:semiHidden/>
    <w:rsid w:val="00E4290C"/>
    <w:pPr>
      <w:numPr>
        <w:numId w:val="29"/>
      </w:numPr>
    </w:pPr>
  </w:style>
  <w:style w:type="numbering" w:customStyle="1" w:styleId="NumHeadListAppendix">
    <w:name w:val="NumHead List Appendix"/>
    <w:basedOn w:val="NoList"/>
    <w:semiHidden/>
    <w:rsid w:val="00E4290C"/>
    <w:pPr>
      <w:numPr>
        <w:numId w:val="19"/>
      </w:numPr>
    </w:pPr>
  </w:style>
  <w:style w:type="character" w:customStyle="1" w:styleId="ListBullet2Char">
    <w:name w:val="List Bullet 2 Char"/>
    <w:basedOn w:val="ListBulletChar"/>
    <w:link w:val="ListBullet2"/>
    <w:rsid w:val="00E4290C"/>
    <w:rPr>
      <w:rFonts w:ascii="Arial" w:eastAsia="MS Mincho" w:hAnsi="Arial"/>
      <w:color w:val="000000"/>
      <w:kern w:val="16"/>
      <w:sz w:val="19"/>
      <w:szCs w:val="19"/>
      <w:lang w:val="en-CA" w:eastAsia="ja-JP" w:bidi="ar-SA"/>
    </w:rPr>
  </w:style>
  <w:style w:type="character" w:customStyle="1" w:styleId="TableTextCharChar">
    <w:name w:val="Table Text Char Char"/>
    <w:basedOn w:val="DefaultParagraphFont"/>
    <w:link w:val="TableText"/>
    <w:rsid w:val="00E4290C"/>
    <w:rPr>
      <w:rFonts w:ascii="Arial" w:eastAsia="MS Mincho" w:hAnsi="Arial"/>
      <w:kern w:val="16"/>
      <w:sz w:val="18"/>
      <w:szCs w:val="18"/>
      <w:lang w:val="en-US" w:eastAsia="ja-JP" w:bidi="ar-SA"/>
    </w:rPr>
  </w:style>
  <w:style w:type="paragraph" w:customStyle="1" w:styleId="SubHeading">
    <w:name w:val="Sub Heading"/>
    <w:next w:val="BodyText"/>
    <w:rsid w:val="0039777B"/>
    <w:pPr>
      <w:spacing w:before="120" w:after="1080" w:line="260" w:lineRule="atLeast"/>
    </w:pPr>
    <w:rPr>
      <w:rFonts w:ascii="Arial" w:eastAsia="MS Mincho" w:hAnsi="Arial"/>
      <w:b/>
      <w:i/>
      <w:color w:val="0060A9"/>
      <w:kern w:val="16"/>
      <w:sz w:val="24"/>
      <w:szCs w:val="24"/>
      <w:lang w:eastAsia="ja-JP"/>
    </w:rPr>
  </w:style>
  <w:style w:type="paragraph" w:customStyle="1" w:styleId="FootnoteSeparator">
    <w:name w:val="Footnote Separator"/>
    <w:basedOn w:val="Normal"/>
    <w:semiHidden/>
    <w:rsid w:val="00E4290C"/>
    <w:pPr>
      <w:keepLines/>
    </w:pPr>
    <w:rPr>
      <w:rFonts w:cs="Arial"/>
      <w:noProof/>
      <w:sz w:val="10"/>
      <w:szCs w:val="10"/>
      <w:lang w:eastAsia="en-GB"/>
    </w:rPr>
  </w:style>
  <w:style w:type="paragraph" w:customStyle="1" w:styleId="Default">
    <w:name w:val="Default"/>
    <w:semiHidden/>
    <w:rsid w:val="00E4290C"/>
    <w:pPr>
      <w:autoSpaceDE w:val="0"/>
      <w:autoSpaceDN w:val="0"/>
      <w:adjustRightInd w:val="0"/>
    </w:pPr>
    <w:rPr>
      <w:rFonts w:ascii="Arial" w:eastAsia="Times New Roman" w:hAnsi="Arial" w:cs="Arial"/>
      <w:color w:val="000000"/>
      <w:sz w:val="24"/>
      <w:szCs w:val="24"/>
    </w:rPr>
  </w:style>
  <w:style w:type="paragraph" w:customStyle="1" w:styleId="Heading1Spacer">
    <w:name w:val="Heading 1_Spacer"/>
    <w:basedOn w:val="Heading1"/>
    <w:next w:val="BodyText"/>
    <w:rsid w:val="00E4290C"/>
    <w:pPr>
      <w:pBdr>
        <w:bottom w:val="none" w:sz="0" w:space="0" w:color="auto"/>
      </w:pBdr>
      <w:ind w:left="578" w:hanging="578"/>
    </w:pPr>
    <w:rPr>
      <w:color w:val="FFFFFF"/>
      <w:sz w:val="36"/>
    </w:rPr>
  </w:style>
  <w:style w:type="character" w:styleId="Hyperlink">
    <w:name w:val="Hyperlink"/>
    <w:basedOn w:val="DefaultParagraphFont"/>
    <w:rsid w:val="00E4290C"/>
    <w:rPr>
      <w:rFonts w:ascii="Arial" w:hAnsi="Arial"/>
      <w:b/>
      <w:color w:val="000000"/>
      <w:sz w:val="20"/>
      <w:u w:val="none"/>
      <w:lang w:val="en-GB"/>
    </w:rPr>
  </w:style>
  <w:style w:type="character" w:customStyle="1" w:styleId="FooterChar">
    <w:name w:val="Footer Char"/>
    <w:basedOn w:val="DefaultParagraphFont"/>
    <w:link w:val="Footer"/>
    <w:rsid w:val="00887BA1"/>
    <w:rPr>
      <w:rFonts w:ascii="Arial" w:eastAsia="MS Mincho" w:hAnsi="Arial"/>
      <w:caps/>
      <w:noProof/>
      <w:snapToGrid w:val="0"/>
      <w:color w:val="003263"/>
      <w:spacing w:val="20"/>
      <w:kern w:val="12"/>
      <w:sz w:val="12"/>
      <w:szCs w:val="12"/>
      <w:lang w:eastAsia="ja-JP"/>
    </w:rPr>
  </w:style>
  <w:style w:type="paragraph" w:styleId="ListBullet2">
    <w:name w:val="List Bullet 2"/>
    <w:basedOn w:val="ListBullet"/>
    <w:link w:val="ListBullet2Char"/>
    <w:rsid w:val="00E4290C"/>
    <w:pPr>
      <w:numPr>
        <w:numId w:val="10"/>
      </w:numPr>
    </w:pPr>
  </w:style>
  <w:style w:type="paragraph" w:styleId="ListBullet3">
    <w:name w:val="List Bullet 3"/>
    <w:basedOn w:val="ListBullet2"/>
    <w:rsid w:val="00E4290C"/>
    <w:pPr>
      <w:numPr>
        <w:numId w:val="11"/>
      </w:numPr>
    </w:pPr>
    <w:rPr>
      <w:color w:val="auto"/>
    </w:rPr>
  </w:style>
  <w:style w:type="character" w:styleId="PageNumber">
    <w:name w:val="page number"/>
    <w:semiHidden/>
    <w:rsid w:val="00E4290C"/>
  </w:style>
  <w:style w:type="paragraph" w:customStyle="1" w:styleId="TableMultipleColumnTitle">
    <w:name w:val="Table Multiple Column Title"/>
    <w:basedOn w:val="Normal"/>
    <w:semiHidden/>
    <w:rsid w:val="00E4290C"/>
    <w:pPr>
      <w:keepNext/>
      <w:keepLines/>
      <w:spacing w:before="50" w:after="30"/>
      <w:jc w:val="center"/>
    </w:pPr>
    <w:rPr>
      <w:b/>
      <w:sz w:val="17"/>
      <w:szCs w:val="17"/>
    </w:rPr>
  </w:style>
  <w:style w:type="paragraph" w:customStyle="1" w:styleId="TableHeaderRowBlue">
    <w:name w:val="Table Header Row Blue"/>
    <w:basedOn w:val="TableHeaderRowBrightBlue"/>
    <w:next w:val="TableText"/>
    <w:link w:val="TableHeaderRowBlueChar"/>
    <w:rsid w:val="00E32DBC"/>
    <w:rPr>
      <w:bCs/>
      <w:color w:val="003263"/>
      <w:lang w:eastAsia="ja-JP"/>
    </w:rPr>
  </w:style>
  <w:style w:type="paragraph" w:customStyle="1" w:styleId="TableHeaderRowBrightBlue">
    <w:name w:val="Table Header Row Bright Blue"/>
    <w:next w:val="TableText"/>
    <w:link w:val="TableHeaderRowBrightBlueChar"/>
    <w:rsid w:val="00E32DBC"/>
    <w:pPr>
      <w:spacing w:before="40" w:after="40" w:line="200" w:lineRule="atLeast"/>
      <w:jc w:val="center"/>
    </w:pPr>
    <w:rPr>
      <w:rFonts w:ascii="Arial" w:eastAsia="MS Mincho" w:hAnsi="Arial" w:cs="Arial"/>
      <w:b/>
      <w:color w:val="0060A9"/>
      <w:kern w:val="16"/>
      <w:sz w:val="16"/>
      <w:szCs w:val="18"/>
      <w:lang w:eastAsia="zh-CN"/>
    </w:rPr>
  </w:style>
  <w:style w:type="paragraph" w:customStyle="1" w:styleId="Disclaimer">
    <w:name w:val="Disclaimer"/>
    <w:basedOn w:val="BodyText"/>
    <w:rsid w:val="00E4290C"/>
    <w:pPr>
      <w:framePr w:hSpace="181" w:wrap="around" w:vAnchor="page" w:hAnchor="text" w:y="13402"/>
      <w:spacing w:before="80" w:after="80" w:line="240" w:lineRule="auto"/>
      <w:jc w:val="both"/>
    </w:pPr>
    <w:rPr>
      <w:rFonts w:eastAsia="Times New Roman"/>
      <w:sz w:val="13"/>
      <w:szCs w:val="13"/>
    </w:rPr>
  </w:style>
  <w:style w:type="paragraph" w:customStyle="1" w:styleId="FooterCopyright">
    <w:name w:val="Footer Copyright"/>
    <w:basedOn w:val="FooterBackcover"/>
    <w:rsid w:val="00E4290C"/>
    <w:pPr>
      <w:jc w:val="right"/>
    </w:pPr>
    <w:rPr>
      <w:sz w:val="18"/>
    </w:rPr>
  </w:style>
  <w:style w:type="paragraph" w:customStyle="1" w:styleId="TableMultipleTitle">
    <w:name w:val="Table Multiple Title"/>
    <w:basedOn w:val="Normal"/>
    <w:next w:val="EndnoteText"/>
    <w:semiHidden/>
    <w:rsid w:val="00E4290C"/>
    <w:pPr>
      <w:keepNext/>
      <w:spacing w:before="300" w:after="30" w:line="230" w:lineRule="atLeast"/>
      <w:jc w:val="center"/>
    </w:pPr>
    <w:rPr>
      <w:b/>
      <w:szCs w:val="18"/>
    </w:rPr>
  </w:style>
  <w:style w:type="paragraph" w:customStyle="1" w:styleId="Heading1Sub-Heading">
    <w:name w:val="Heading 1 + Sub-Heading"/>
    <w:basedOn w:val="Heading1"/>
    <w:rsid w:val="00E4290C"/>
    <w:pPr>
      <w:spacing w:after="120"/>
    </w:pPr>
  </w:style>
  <w:style w:type="character" w:customStyle="1" w:styleId="Lead-inEmphasis">
    <w:name w:val="Lead-in Emphasis"/>
    <w:rsid w:val="00E4290C"/>
    <w:rPr>
      <w:rFonts w:ascii="Arial Black" w:hAnsi="Arial Black"/>
      <w:spacing w:val="-4"/>
      <w:sz w:val="18"/>
    </w:rPr>
  </w:style>
  <w:style w:type="paragraph" w:customStyle="1" w:styleId="RAGRed">
    <w:name w:val="RAG Red"/>
    <w:rsid w:val="00E4290C"/>
    <w:rPr>
      <w:rFonts w:ascii="Wingdings" w:eastAsia="MS Mincho" w:hAnsi="Wingdings"/>
      <w:color w:val="F93F26"/>
      <w:kern w:val="16"/>
      <w:szCs w:val="18"/>
      <w:lang w:eastAsia="ja-JP"/>
    </w:rPr>
  </w:style>
  <w:style w:type="paragraph" w:customStyle="1" w:styleId="RAGAmber">
    <w:name w:val="RAG Amber"/>
    <w:basedOn w:val="RAGRed"/>
    <w:rsid w:val="00E4290C"/>
    <w:rPr>
      <w:color w:val="FCA311"/>
    </w:rPr>
  </w:style>
  <w:style w:type="paragraph" w:customStyle="1" w:styleId="RAGGreen">
    <w:name w:val="RAG Green"/>
    <w:basedOn w:val="RAGAmber"/>
    <w:rsid w:val="00E4290C"/>
    <w:rPr>
      <w:color w:val="C0D30B"/>
    </w:rPr>
  </w:style>
  <w:style w:type="character" w:styleId="FootnoteReference">
    <w:name w:val="footnote reference"/>
    <w:basedOn w:val="DefaultParagraphFont"/>
    <w:semiHidden/>
    <w:rsid w:val="00E4290C"/>
    <w:rPr>
      <w:vertAlign w:val="superscript"/>
      <w:lang w:val="en-GB"/>
    </w:rPr>
  </w:style>
  <w:style w:type="table" w:customStyle="1" w:styleId="RBCFigureTable">
    <w:name w:val="RBC Figure Table"/>
    <w:basedOn w:val="TableNormal"/>
    <w:rsid w:val="00E4290C"/>
    <w:pPr>
      <w:spacing w:before="60" w:after="60"/>
    </w:pPr>
    <w:rPr>
      <w:rFonts w:ascii="Arial" w:eastAsia="Times New Roman" w:hAnsi="Arial"/>
    </w:rPr>
    <w:tblPr>
      <w:tblStyleRowBandSize w:val="1"/>
      <w:tblStyleColBandSize w:val="3"/>
    </w:tblPr>
    <w:tcPr>
      <w:shd w:val="clear" w:color="auto" w:fill="auto"/>
    </w:tcPr>
    <w:tblStylePr w:type="firstRow">
      <w:pPr>
        <w:jc w:val="left"/>
      </w:pPr>
      <w:rPr>
        <w:rFonts w:ascii="Arial" w:hAnsi="Arial"/>
        <w:b/>
        <w:color w:val="FFFFFF"/>
        <w:sz w:val="18"/>
      </w:rPr>
      <w:tblPr/>
      <w:tcPr>
        <w:tcBorders>
          <w:top w:val="nil"/>
          <w:left w:val="nil"/>
          <w:bottom w:val="nil"/>
          <w:right w:val="nil"/>
          <w:insideH w:val="nil"/>
          <w:insideV w:val="nil"/>
          <w:tl2br w:val="nil"/>
          <w:tr2bl w:val="nil"/>
        </w:tcBorders>
        <w:shd w:val="clear" w:color="auto" w:fill="00254B"/>
      </w:tcPr>
    </w:tblStylePr>
    <w:tblStylePr w:type="lastRow">
      <w:pPr>
        <w:wordWrap/>
        <w:spacing w:beforeLines="0" w:before="0" w:beforeAutospacing="0"/>
        <w:ind w:leftChars="0" w:left="0" w:rightChars="0" w:right="0"/>
      </w:pPr>
      <w:rPr>
        <w:rFonts w:ascii="Arial" w:hAnsi="Arial"/>
        <w:b/>
        <w:sz w:val="18"/>
      </w:rPr>
      <w:tblPr/>
      <w:tcPr>
        <w:tcBorders>
          <w:top w:val="single" w:sz="6" w:space="0" w:color="A29989"/>
          <w:bottom w:val="single" w:sz="6" w:space="0" w:color="auto"/>
        </w:tcBorders>
        <w:shd w:val="clear" w:color="auto" w:fill="auto"/>
      </w:tcPr>
    </w:tblStylePr>
    <w:tblStylePr w:type="firstCol">
      <w:tblPr/>
      <w:tcPr>
        <w:tcBorders>
          <w:top w:val="nil"/>
          <w:left w:val="nil"/>
          <w:bottom w:val="nil"/>
          <w:right w:val="nil"/>
          <w:insideH w:val="nil"/>
          <w:insideV w:val="nil"/>
        </w:tcBorders>
        <w:shd w:val="clear" w:color="auto" w:fill="auto"/>
      </w:tcPr>
    </w:tblStylePr>
  </w:style>
  <w:style w:type="character" w:customStyle="1" w:styleId="TableBullet2CharChar">
    <w:name w:val="Table Bullet 2 Char Char"/>
    <w:basedOn w:val="TableBullet1CharChar"/>
    <w:link w:val="TableBullet2"/>
    <w:rsid w:val="00E4290C"/>
    <w:rPr>
      <w:rFonts w:ascii="Arial" w:eastAsia="MS Mincho" w:hAnsi="Arial"/>
      <w:kern w:val="16"/>
      <w:sz w:val="16"/>
      <w:szCs w:val="18"/>
      <w:lang w:val="en-CA" w:eastAsia="ja-JP" w:bidi="ar-SA"/>
    </w:rPr>
  </w:style>
  <w:style w:type="numbering" w:styleId="1ai">
    <w:name w:val="Outline List 1"/>
    <w:basedOn w:val="NoList"/>
    <w:semiHidden/>
    <w:rsid w:val="00E4290C"/>
    <w:pPr>
      <w:numPr>
        <w:numId w:val="2"/>
      </w:numPr>
    </w:pPr>
  </w:style>
  <w:style w:type="numbering" w:styleId="ArticleSection">
    <w:name w:val="Outline List 3"/>
    <w:basedOn w:val="NoList"/>
    <w:semiHidden/>
    <w:rsid w:val="00E4290C"/>
    <w:pPr>
      <w:numPr>
        <w:numId w:val="3"/>
      </w:numPr>
    </w:pPr>
  </w:style>
  <w:style w:type="paragraph" w:styleId="BodyText2">
    <w:name w:val="Body Text 2"/>
    <w:basedOn w:val="Normal"/>
    <w:semiHidden/>
    <w:rsid w:val="00E4290C"/>
    <w:pPr>
      <w:spacing w:line="480" w:lineRule="auto"/>
    </w:pPr>
  </w:style>
  <w:style w:type="paragraph" w:styleId="BodyText3">
    <w:name w:val="Body Text 3"/>
    <w:basedOn w:val="Normal"/>
    <w:semiHidden/>
    <w:rsid w:val="00E4290C"/>
    <w:rPr>
      <w:sz w:val="16"/>
      <w:szCs w:val="16"/>
    </w:rPr>
  </w:style>
  <w:style w:type="paragraph" w:styleId="BodyTextFirstIndent">
    <w:name w:val="Body Text First Indent"/>
    <w:basedOn w:val="BodyText"/>
    <w:semiHidden/>
    <w:rsid w:val="00E4290C"/>
    <w:pPr>
      <w:ind w:firstLine="210"/>
    </w:pPr>
  </w:style>
  <w:style w:type="paragraph" w:styleId="BodyTextIndent">
    <w:name w:val="Body Text Indent"/>
    <w:basedOn w:val="Normal"/>
    <w:semiHidden/>
    <w:rsid w:val="00E4290C"/>
    <w:pPr>
      <w:ind w:left="283"/>
    </w:pPr>
  </w:style>
  <w:style w:type="paragraph" w:styleId="BodyTextFirstIndent2">
    <w:name w:val="Body Text First Indent 2"/>
    <w:basedOn w:val="BodyTextIndent"/>
    <w:semiHidden/>
    <w:rsid w:val="00E4290C"/>
    <w:pPr>
      <w:ind w:firstLine="210"/>
    </w:pPr>
  </w:style>
  <w:style w:type="paragraph" w:styleId="BodyTextIndent2">
    <w:name w:val="Body Text Indent 2"/>
    <w:basedOn w:val="Normal"/>
    <w:semiHidden/>
    <w:rsid w:val="00E4290C"/>
    <w:pPr>
      <w:spacing w:line="480" w:lineRule="auto"/>
      <w:ind w:left="283"/>
    </w:pPr>
  </w:style>
  <w:style w:type="paragraph" w:styleId="BodyTextIndent3">
    <w:name w:val="Body Text Indent 3"/>
    <w:basedOn w:val="Normal"/>
    <w:semiHidden/>
    <w:rsid w:val="00E4290C"/>
    <w:pPr>
      <w:ind w:left="283"/>
    </w:pPr>
    <w:rPr>
      <w:sz w:val="16"/>
      <w:szCs w:val="16"/>
    </w:rPr>
  </w:style>
  <w:style w:type="paragraph" w:styleId="Closing">
    <w:name w:val="Closing"/>
    <w:basedOn w:val="Normal"/>
    <w:semiHidden/>
    <w:rsid w:val="00E4290C"/>
    <w:pPr>
      <w:ind w:left="4252"/>
    </w:pPr>
  </w:style>
  <w:style w:type="paragraph" w:styleId="Date">
    <w:name w:val="Date"/>
    <w:basedOn w:val="Normal"/>
    <w:next w:val="Normal"/>
    <w:semiHidden/>
    <w:rsid w:val="00E4290C"/>
  </w:style>
  <w:style w:type="paragraph" w:styleId="E-mailSignature">
    <w:name w:val="E-mail Signature"/>
    <w:basedOn w:val="Normal"/>
    <w:semiHidden/>
    <w:rsid w:val="00E4290C"/>
  </w:style>
  <w:style w:type="character" w:styleId="Emphasis">
    <w:name w:val="Emphasis"/>
    <w:basedOn w:val="DefaultParagraphFont"/>
    <w:qFormat/>
    <w:rsid w:val="00E4290C"/>
    <w:rPr>
      <w:i/>
      <w:iCs/>
      <w:lang w:val="en-GB"/>
    </w:rPr>
  </w:style>
  <w:style w:type="paragraph" w:styleId="EnvelopeAddress">
    <w:name w:val="envelope address"/>
    <w:basedOn w:val="Normal"/>
    <w:semiHidden/>
    <w:rsid w:val="00E4290C"/>
    <w:pPr>
      <w:framePr w:w="7920" w:h="1980" w:hRule="exact" w:hSpace="180" w:wrap="auto" w:hAnchor="page" w:xAlign="center" w:yAlign="bottom"/>
      <w:ind w:left="2880"/>
    </w:pPr>
    <w:rPr>
      <w:rFonts w:cs="Arial"/>
    </w:rPr>
  </w:style>
  <w:style w:type="paragraph" w:styleId="EnvelopeReturn">
    <w:name w:val="envelope return"/>
    <w:basedOn w:val="Normal"/>
    <w:semiHidden/>
    <w:rsid w:val="00E4290C"/>
    <w:rPr>
      <w:rFonts w:cs="Arial"/>
    </w:rPr>
  </w:style>
  <w:style w:type="character" w:styleId="FollowedHyperlink">
    <w:name w:val="FollowedHyperlink"/>
    <w:basedOn w:val="DefaultParagraphFont"/>
    <w:semiHidden/>
    <w:rsid w:val="00E4290C"/>
    <w:rPr>
      <w:color w:val="800080"/>
      <w:u w:val="single"/>
      <w:lang w:val="en-GB"/>
    </w:rPr>
  </w:style>
  <w:style w:type="character" w:styleId="HTMLAcronym">
    <w:name w:val="HTML Acronym"/>
    <w:basedOn w:val="DefaultParagraphFont"/>
    <w:semiHidden/>
    <w:rsid w:val="00E4290C"/>
    <w:rPr>
      <w:lang w:val="en-GB"/>
    </w:rPr>
  </w:style>
  <w:style w:type="paragraph" w:styleId="HTMLAddress">
    <w:name w:val="HTML Address"/>
    <w:basedOn w:val="Normal"/>
    <w:semiHidden/>
    <w:rsid w:val="00E4290C"/>
    <w:rPr>
      <w:i/>
      <w:iCs/>
    </w:rPr>
  </w:style>
  <w:style w:type="character" w:styleId="HTMLCite">
    <w:name w:val="HTML Cite"/>
    <w:basedOn w:val="DefaultParagraphFont"/>
    <w:semiHidden/>
    <w:rsid w:val="00E4290C"/>
    <w:rPr>
      <w:i/>
      <w:iCs/>
      <w:lang w:val="en-GB"/>
    </w:rPr>
  </w:style>
  <w:style w:type="character" w:styleId="HTMLCode">
    <w:name w:val="HTML Code"/>
    <w:basedOn w:val="DefaultParagraphFont"/>
    <w:semiHidden/>
    <w:rsid w:val="00E4290C"/>
    <w:rPr>
      <w:rFonts w:ascii="Courier New" w:hAnsi="Courier New" w:cs="Courier New"/>
      <w:sz w:val="20"/>
      <w:szCs w:val="20"/>
      <w:lang w:val="en-GB"/>
    </w:rPr>
  </w:style>
  <w:style w:type="character" w:styleId="HTMLDefinition">
    <w:name w:val="HTML Definition"/>
    <w:basedOn w:val="DefaultParagraphFont"/>
    <w:semiHidden/>
    <w:rsid w:val="00E4290C"/>
    <w:rPr>
      <w:i/>
      <w:iCs/>
      <w:lang w:val="en-GB"/>
    </w:rPr>
  </w:style>
  <w:style w:type="character" w:styleId="HTMLKeyboard">
    <w:name w:val="HTML Keyboard"/>
    <w:basedOn w:val="DefaultParagraphFont"/>
    <w:semiHidden/>
    <w:rsid w:val="00E4290C"/>
    <w:rPr>
      <w:rFonts w:ascii="Courier New" w:hAnsi="Courier New" w:cs="Courier New"/>
      <w:sz w:val="20"/>
      <w:szCs w:val="20"/>
      <w:lang w:val="en-GB"/>
    </w:rPr>
  </w:style>
  <w:style w:type="paragraph" w:styleId="HTMLPreformatted">
    <w:name w:val="HTML Preformatted"/>
    <w:basedOn w:val="Normal"/>
    <w:semiHidden/>
    <w:rsid w:val="00E4290C"/>
    <w:rPr>
      <w:rFonts w:ascii="Courier New" w:hAnsi="Courier New" w:cs="Courier New"/>
    </w:rPr>
  </w:style>
  <w:style w:type="character" w:styleId="HTMLSample">
    <w:name w:val="HTML Sample"/>
    <w:basedOn w:val="DefaultParagraphFont"/>
    <w:semiHidden/>
    <w:rsid w:val="00E4290C"/>
    <w:rPr>
      <w:rFonts w:ascii="Courier New" w:hAnsi="Courier New" w:cs="Courier New"/>
      <w:lang w:val="en-GB"/>
    </w:rPr>
  </w:style>
  <w:style w:type="character" w:styleId="HTMLTypewriter">
    <w:name w:val="HTML Typewriter"/>
    <w:basedOn w:val="DefaultParagraphFont"/>
    <w:semiHidden/>
    <w:rsid w:val="00E4290C"/>
    <w:rPr>
      <w:rFonts w:ascii="Courier New" w:hAnsi="Courier New" w:cs="Courier New"/>
      <w:sz w:val="20"/>
      <w:szCs w:val="20"/>
      <w:lang w:val="en-GB"/>
    </w:rPr>
  </w:style>
  <w:style w:type="character" w:styleId="HTMLVariable">
    <w:name w:val="HTML Variable"/>
    <w:basedOn w:val="DefaultParagraphFont"/>
    <w:semiHidden/>
    <w:rsid w:val="00E4290C"/>
    <w:rPr>
      <w:i/>
      <w:iCs/>
      <w:lang w:val="en-GB"/>
    </w:rPr>
  </w:style>
  <w:style w:type="character" w:styleId="LineNumber">
    <w:name w:val="line number"/>
    <w:basedOn w:val="DefaultParagraphFont"/>
    <w:semiHidden/>
    <w:rsid w:val="00E4290C"/>
    <w:rPr>
      <w:lang w:val="en-GB"/>
    </w:rPr>
  </w:style>
  <w:style w:type="paragraph" w:styleId="List2">
    <w:name w:val="List 2"/>
    <w:basedOn w:val="List"/>
    <w:rsid w:val="00E4290C"/>
    <w:pPr>
      <w:numPr>
        <w:numId w:val="6"/>
      </w:numPr>
    </w:pPr>
  </w:style>
  <w:style w:type="paragraph" w:styleId="List3">
    <w:name w:val="List 3"/>
    <w:basedOn w:val="List2"/>
    <w:rsid w:val="00E4290C"/>
    <w:pPr>
      <w:numPr>
        <w:numId w:val="7"/>
      </w:numPr>
    </w:pPr>
  </w:style>
  <w:style w:type="paragraph" w:styleId="List4">
    <w:name w:val="List 4"/>
    <w:basedOn w:val="List3"/>
    <w:rsid w:val="00E4290C"/>
    <w:pPr>
      <w:numPr>
        <w:numId w:val="8"/>
      </w:numPr>
    </w:pPr>
    <w:rPr>
      <w:rFonts w:cs="Arial"/>
    </w:rPr>
  </w:style>
  <w:style w:type="paragraph" w:styleId="List5">
    <w:name w:val="List 5"/>
    <w:basedOn w:val="Normal"/>
    <w:semiHidden/>
    <w:rsid w:val="00E4290C"/>
    <w:pPr>
      <w:ind w:left="1415" w:hanging="283"/>
    </w:pPr>
  </w:style>
  <w:style w:type="paragraph" w:styleId="ListContinue">
    <w:name w:val="List Continue"/>
    <w:basedOn w:val="Normal"/>
    <w:semiHidden/>
    <w:rsid w:val="00E4290C"/>
    <w:pPr>
      <w:ind w:left="283"/>
    </w:pPr>
  </w:style>
  <w:style w:type="paragraph" w:styleId="ListContinue2">
    <w:name w:val="List Continue 2"/>
    <w:basedOn w:val="Normal"/>
    <w:semiHidden/>
    <w:rsid w:val="00E4290C"/>
    <w:pPr>
      <w:ind w:left="566"/>
    </w:pPr>
  </w:style>
  <w:style w:type="paragraph" w:styleId="ListContinue3">
    <w:name w:val="List Continue 3"/>
    <w:basedOn w:val="Normal"/>
    <w:semiHidden/>
    <w:rsid w:val="00E4290C"/>
    <w:pPr>
      <w:ind w:left="849"/>
    </w:pPr>
  </w:style>
  <w:style w:type="paragraph" w:styleId="ListContinue4">
    <w:name w:val="List Continue 4"/>
    <w:basedOn w:val="Normal"/>
    <w:semiHidden/>
    <w:rsid w:val="00E4290C"/>
    <w:pPr>
      <w:ind w:left="1132"/>
    </w:pPr>
  </w:style>
  <w:style w:type="paragraph" w:styleId="ListContinue5">
    <w:name w:val="List Continue 5"/>
    <w:basedOn w:val="Normal"/>
    <w:semiHidden/>
    <w:rsid w:val="00E4290C"/>
    <w:pPr>
      <w:ind w:left="1415"/>
    </w:pPr>
  </w:style>
  <w:style w:type="paragraph" w:styleId="ListNumber">
    <w:name w:val="List Number"/>
    <w:basedOn w:val="List"/>
    <w:rsid w:val="00E4290C"/>
    <w:pPr>
      <w:numPr>
        <w:numId w:val="14"/>
      </w:numPr>
      <w:spacing w:before="60"/>
    </w:pPr>
  </w:style>
  <w:style w:type="paragraph" w:styleId="ListNumber2">
    <w:name w:val="List Number 2"/>
    <w:basedOn w:val="Normal"/>
    <w:semiHidden/>
    <w:rsid w:val="00E4290C"/>
    <w:pPr>
      <w:numPr>
        <w:numId w:val="15"/>
      </w:numPr>
    </w:pPr>
  </w:style>
  <w:style w:type="paragraph" w:styleId="ListNumber3">
    <w:name w:val="List Number 3"/>
    <w:basedOn w:val="Normal"/>
    <w:semiHidden/>
    <w:rsid w:val="00E4290C"/>
    <w:pPr>
      <w:numPr>
        <w:numId w:val="16"/>
      </w:numPr>
    </w:pPr>
  </w:style>
  <w:style w:type="paragraph" w:styleId="ListNumber4">
    <w:name w:val="List Number 4"/>
    <w:basedOn w:val="Normal"/>
    <w:semiHidden/>
    <w:rsid w:val="00E4290C"/>
  </w:style>
  <w:style w:type="paragraph" w:styleId="ListNumber5">
    <w:name w:val="List Number 5"/>
    <w:basedOn w:val="Normal"/>
    <w:semiHidden/>
    <w:rsid w:val="00E4290C"/>
    <w:pPr>
      <w:numPr>
        <w:numId w:val="17"/>
      </w:numPr>
    </w:pPr>
  </w:style>
  <w:style w:type="paragraph" w:styleId="NormalWeb">
    <w:name w:val="Normal (Web)"/>
    <w:basedOn w:val="Normal"/>
    <w:semiHidden/>
    <w:rsid w:val="00E4290C"/>
  </w:style>
  <w:style w:type="paragraph" w:styleId="NormalIndent">
    <w:name w:val="Normal Indent"/>
    <w:basedOn w:val="Normal"/>
    <w:semiHidden/>
    <w:rsid w:val="00E4290C"/>
    <w:pPr>
      <w:ind w:left="720"/>
    </w:pPr>
  </w:style>
  <w:style w:type="paragraph" w:styleId="NoteHeading">
    <w:name w:val="Note Heading"/>
    <w:basedOn w:val="Normal"/>
    <w:next w:val="Normal"/>
    <w:semiHidden/>
    <w:rsid w:val="00E4290C"/>
  </w:style>
  <w:style w:type="paragraph" w:styleId="Signature">
    <w:name w:val="Signature"/>
    <w:basedOn w:val="Normal"/>
    <w:semiHidden/>
    <w:rsid w:val="00E4290C"/>
    <w:pPr>
      <w:ind w:left="4252"/>
    </w:pPr>
  </w:style>
  <w:style w:type="character" w:styleId="Strong">
    <w:name w:val="Strong"/>
    <w:basedOn w:val="DefaultParagraphFont"/>
    <w:qFormat/>
    <w:rsid w:val="00E4290C"/>
    <w:rPr>
      <w:rFonts w:ascii="Verdana" w:hAnsi="Verdana"/>
      <w:b/>
      <w:bCs/>
      <w:lang w:val="en-GB"/>
    </w:rPr>
  </w:style>
  <w:style w:type="table" w:styleId="Table3Deffects1">
    <w:name w:val="Table 3D effects 1"/>
    <w:basedOn w:val="TableNormal"/>
    <w:semiHidden/>
    <w:rsid w:val="00E4290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E4290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E4290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E4290C"/>
    <w:rPr>
      <w:rFonts w:ascii="Verdana" w:hAnsi="Verdana"/>
      <w:color w:val="6F6E6F"/>
      <w:sz w:val="18"/>
    </w:rPr>
    <w:tblPr>
      <w:tblBorders>
        <w:top w:val="single" w:sz="6" w:space="0" w:color="6F6E6F"/>
        <w:left w:val="single" w:sz="6" w:space="0" w:color="6F6E6F"/>
        <w:bottom w:val="single" w:sz="6" w:space="0" w:color="6F6E6F"/>
        <w:right w:val="single" w:sz="6" w:space="0" w:color="6F6E6F"/>
        <w:insideH w:val="single" w:sz="6" w:space="0" w:color="6F6E6F"/>
        <w:insideV w:val="single" w:sz="6" w:space="0" w:color="6F6E6F"/>
      </w:tblBorders>
      <w:tblCellMar>
        <w:left w:w="115" w:type="dxa"/>
        <w:right w:w="115"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E4290C"/>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E4290C"/>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E4290C"/>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E4290C"/>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E4290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E4290C"/>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E4290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E4290C"/>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E4290C"/>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E4290C"/>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E4290C"/>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E4290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E4290C"/>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List1">
    <w:name w:val="Table List 1"/>
    <w:basedOn w:val="TableNormal"/>
    <w:semiHidden/>
    <w:rsid w:val="00E4290C"/>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E4290C"/>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E4290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E4290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E4290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E4290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E4290C"/>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E4290C"/>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E4290C"/>
    <w:rPr>
      <w:rFonts w:ascii="Verdana" w:hAnsi="Verdana"/>
      <w:sz w:val="18"/>
    </w:rPr>
    <w:tblPr>
      <w:tblBorders>
        <w:top w:val="single" w:sz="6" w:space="0" w:color="6F6E6F"/>
        <w:bottom w:val="single" w:sz="6" w:space="0" w:color="6F6E6F"/>
        <w:insideH w:val="single" w:sz="6" w:space="0" w:color="6F6E6F"/>
        <w:insideV w:val="single" w:sz="6" w:space="0" w:color="6F6E6F"/>
      </w:tblBorders>
    </w:tblPr>
    <w:tcPr>
      <w:shd w:val="clear" w:color="auto" w:fill="FFFFFF"/>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E4290C"/>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E4290C"/>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E4290C"/>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E4290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E4290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semiHidden/>
    <w:rsid w:val="00E4290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E4290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E4290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Subtitle"/>
    <w:link w:val="TitleChar"/>
    <w:qFormat/>
    <w:rsid w:val="00E4290C"/>
    <w:pPr>
      <w:spacing w:before="240" w:after="240" w:line="240" w:lineRule="auto"/>
      <w:ind w:right="5778"/>
    </w:pPr>
    <w:rPr>
      <w:rFonts w:cs="Arial"/>
      <w:color w:val="FFFFFF"/>
      <w:sz w:val="40"/>
      <w:szCs w:val="40"/>
    </w:rPr>
  </w:style>
  <w:style w:type="table" w:styleId="TableTheme">
    <w:name w:val="Table Theme"/>
    <w:basedOn w:val="TableNormal"/>
    <w:semiHidden/>
    <w:rsid w:val="00E42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ondlevelSubtitle">
    <w:name w:val="Second level Subtitle"/>
    <w:basedOn w:val="BodyText"/>
    <w:rsid w:val="00E4290C"/>
    <w:rPr>
      <w:rFonts w:ascii="Arial Bold" w:hAnsi="Arial Bold"/>
      <w:b/>
      <w:color w:val="FFFFFF"/>
    </w:rPr>
  </w:style>
  <w:style w:type="character" w:customStyle="1" w:styleId="SubtitleDateChar">
    <w:name w:val="Subtitle Date Char"/>
    <w:basedOn w:val="SubtitleChar"/>
    <w:link w:val="SubtitleDate"/>
    <w:rsid w:val="00E4290C"/>
    <w:rPr>
      <w:rFonts w:ascii="Georgia" w:eastAsia="MS Mincho" w:hAnsi="Georgia" w:cs="Arial"/>
      <w:b/>
      <w:i/>
      <w:color w:val="FFFFFF"/>
      <w:kern w:val="16"/>
      <w:sz w:val="28"/>
      <w:szCs w:val="28"/>
      <w:lang w:val="en-US" w:eastAsia="ja-JP" w:bidi="ar-SA"/>
    </w:rPr>
  </w:style>
  <w:style w:type="paragraph" w:customStyle="1" w:styleId="TableCharttitle">
    <w:name w:val="Table Chart title"/>
    <w:basedOn w:val="TableTitle"/>
    <w:rsid w:val="00E32DBC"/>
    <w:pPr>
      <w:spacing w:before="40"/>
      <w:jc w:val="center"/>
    </w:pPr>
  </w:style>
  <w:style w:type="character" w:customStyle="1" w:styleId="TableHeaderRowBlueChar">
    <w:name w:val="Table Header Row Blue Char"/>
    <w:basedOn w:val="TableTextCharChar"/>
    <w:link w:val="TableHeaderRowBlue"/>
    <w:rsid w:val="00E32DBC"/>
    <w:rPr>
      <w:rFonts w:ascii="Arial" w:eastAsia="MS Mincho" w:hAnsi="Arial" w:cs="Arial"/>
      <w:b/>
      <w:bCs/>
      <w:color w:val="003263"/>
      <w:kern w:val="16"/>
      <w:sz w:val="16"/>
      <w:szCs w:val="18"/>
      <w:lang w:val="en-US" w:eastAsia="ja-JP" w:bidi="ar-SA"/>
    </w:rPr>
  </w:style>
  <w:style w:type="character" w:customStyle="1" w:styleId="TableHeaderRowBrightBlueChar">
    <w:name w:val="Table Header Row Bright Blue Char"/>
    <w:basedOn w:val="TableTextCharChar"/>
    <w:link w:val="TableHeaderRowBrightBlue"/>
    <w:rsid w:val="00E32DBC"/>
    <w:rPr>
      <w:rFonts w:ascii="Arial" w:eastAsia="MS Mincho" w:hAnsi="Arial" w:cs="Arial"/>
      <w:b/>
      <w:color w:val="0060A9"/>
      <w:kern w:val="16"/>
      <w:sz w:val="16"/>
      <w:szCs w:val="18"/>
      <w:lang w:val="en-US" w:eastAsia="zh-CN" w:bidi="ar-SA"/>
    </w:rPr>
  </w:style>
  <w:style w:type="paragraph" w:customStyle="1" w:styleId="TableTextRightAlign">
    <w:name w:val="Table Text Right Align"/>
    <w:basedOn w:val="TableText"/>
    <w:rsid w:val="00E4290C"/>
    <w:pPr>
      <w:jc w:val="right"/>
    </w:pPr>
  </w:style>
  <w:style w:type="paragraph" w:customStyle="1" w:styleId="TableTitle1">
    <w:name w:val="Table Title 1"/>
    <w:basedOn w:val="TableText"/>
    <w:rsid w:val="00E4290C"/>
    <w:rPr>
      <w:b/>
      <w:color w:val="0060A9"/>
      <w:lang w:eastAsia="zh-CN"/>
    </w:rPr>
  </w:style>
  <w:style w:type="paragraph" w:customStyle="1" w:styleId="TableTitle2">
    <w:name w:val="Table Title 2"/>
    <w:basedOn w:val="TableTitle1"/>
    <w:rsid w:val="00E4290C"/>
    <w:rPr>
      <w:color w:val="FFFFFF"/>
    </w:rPr>
  </w:style>
  <w:style w:type="paragraph" w:customStyle="1" w:styleId="BioName">
    <w:name w:val="Bio Name"/>
    <w:basedOn w:val="Normal"/>
    <w:next w:val="Normal"/>
    <w:rsid w:val="00E4290C"/>
    <w:pPr>
      <w:adjustRightInd/>
      <w:spacing w:before="120" w:after="60" w:line="240" w:lineRule="auto"/>
    </w:pPr>
    <w:rPr>
      <w:b/>
      <w:color w:val="003263"/>
      <w:kern w:val="14"/>
      <w:sz w:val="16"/>
      <w:szCs w:val="16"/>
    </w:rPr>
  </w:style>
  <w:style w:type="paragraph" w:customStyle="1" w:styleId="BioTitle">
    <w:name w:val="Bio Title"/>
    <w:basedOn w:val="BioName"/>
    <w:next w:val="BodyText"/>
    <w:rsid w:val="00E4290C"/>
    <w:pPr>
      <w:spacing w:before="0" w:after="120"/>
    </w:pPr>
    <w:rPr>
      <w:rFonts w:eastAsia="Times New Roman"/>
      <w:color w:val="5A5A5A"/>
    </w:rPr>
  </w:style>
  <w:style w:type="character" w:customStyle="1" w:styleId="GraphicCharChar">
    <w:name w:val="Graphic Char Char"/>
    <w:basedOn w:val="TableTextCharChar"/>
    <w:link w:val="Graphic"/>
    <w:rsid w:val="00E4290C"/>
    <w:rPr>
      <w:rFonts w:ascii="Arial" w:eastAsia="MS Mincho" w:hAnsi="Arial"/>
      <w:kern w:val="16"/>
      <w:sz w:val="18"/>
      <w:szCs w:val="18"/>
      <w:lang w:val="en-US" w:eastAsia="ja-JP" w:bidi="ar-SA"/>
    </w:rPr>
  </w:style>
  <w:style w:type="paragraph" w:customStyle="1" w:styleId="TableBullet3">
    <w:name w:val="Table Bullet 3"/>
    <w:basedOn w:val="TableBullet2"/>
    <w:rsid w:val="00E4290C"/>
    <w:pPr>
      <w:numPr>
        <w:numId w:val="27"/>
      </w:numPr>
      <w:tabs>
        <w:tab w:val="left" w:pos="595"/>
      </w:tabs>
    </w:pPr>
  </w:style>
  <w:style w:type="paragraph" w:customStyle="1" w:styleId="TableText">
    <w:name w:val="Table Text"/>
    <w:basedOn w:val="BodyText"/>
    <w:link w:val="TableTextCharChar"/>
    <w:rsid w:val="00E4290C"/>
    <w:pPr>
      <w:spacing w:before="80" w:after="80" w:line="180" w:lineRule="atLeast"/>
    </w:pPr>
    <w:rPr>
      <w:sz w:val="18"/>
      <w:szCs w:val="18"/>
    </w:rPr>
  </w:style>
  <w:style w:type="paragraph" w:customStyle="1" w:styleId="Graphic">
    <w:name w:val="Graphic"/>
    <w:basedOn w:val="BodyText"/>
    <w:next w:val="BodyText"/>
    <w:link w:val="GraphicCharChar"/>
    <w:rsid w:val="00E4290C"/>
    <w:pPr>
      <w:spacing w:before="20" w:after="20" w:line="240" w:lineRule="auto"/>
      <w:ind w:left="-58" w:right="-58"/>
      <w:jc w:val="center"/>
    </w:pPr>
    <w:rPr>
      <w:sz w:val="18"/>
      <w:szCs w:val="18"/>
    </w:rPr>
  </w:style>
  <w:style w:type="paragraph" w:customStyle="1" w:styleId="MiniMarker">
    <w:name w:val="Mini Marker"/>
    <w:basedOn w:val="BodyText"/>
    <w:next w:val="BodyText"/>
    <w:rsid w:val="00E4290C"/>
    <w:pPr>
      <w:spacing w:before="0" w:after="0" w:line="240" w:lineRule="auto"/>
    </w:pPr>
    <w:rPr>
      <w:sz w:val="10"/>
    </w:rPr>
  </w:style>
  <w:style w:type="paragraph" w:customStyle="1" w:styleId="Headingpage2">
    <w:name w:val="Heading_page2"/>
    <w:basedOn w:val="Heading1"/>
    <w:next w:val="Normal"/>
    <w:link w:val="Headingpage2CharChar"/>
    <w:semiHidden/>
    <w:rsid w:val="00E4290C"/>
    <w:pPr>
      <w:tabs>
        <w:tab w:val="left" w:pos="216"/>
      </w:tabs>
      <w:spacing w:after="240" w:line="240" w:lineRule="atLeast"/>
      <w:ind w:left="216" w:hanging="216"/>
    </w:pPr>
    <w:rPr>
      <w:bCs/>
      <w:color w:val="6F6E6E"/>
      <w:sz w:val="16"/>
    </w:rPr>
  </w:style>
  <w:style w:type="paragraph" w:customStyle="1" w:styleId="TableFootnote">
    <w:name w:val="Table Footnote"/>
    <w:rsid w:val="00E4290C"/>
    <w:pPr>
      <w:spacing w:before="40"/>
    </w:pPr>
    <w:rPr>
      <w:rFonts w:ascii="Arial" w:eastAsia="MS Mincho" w:hAnsi="Arial"/>
      <w:kern w:val="16"/>
      <w:sz w:val="14"/>
      <w:szCs w:val="14"/>
      <w:lang w:eastAsia="zh-CN"/>
    </w:rPr>
  </w:style>
  <w:style w:type="paragraph" w:customStyle="1" w:styleId="TableSource">
    <w:name w:val="Table Source"/>
    <w:basedOn w:val="TableFootnote"/>
    <w:rsid w:val="00E4290C"/>
    <w:rPr>
      <w:i/>
    </w:rPr>
  </w:style>
  <w:style w:type="paragraph" w:customStyle="1" w:styleId="TableBulletNumeric">
    <w:name w:val="Table Bullet Numeric"/>
    <w:basedOn w:val="TableText"/>
    <w:rsid w:val="00E4290C"/>
    <w:pPr>
      <w:numPr>
        <w:numId w:val="28"/>
      </w:numPr>
      <w:spacing w:line="240" w:lineRule="auto"/>
      <w:contextualSpacing/>
    </w:pPr>
    <w:rPr>
      <w:sz w:val="16"/>
    </w:rPr>
  </w:style>
  <w:style w:type="paragraph" w:customStyle="1" w:styleId="TableBullet1">
    <w:name w:val="Table Bullet 1"/>
    <w:basedOn w:val="TableText"/>
    <w:link w:val="TableBullet1CharChar"/>
    <w:rsid w:val="00E4290C"/>
    <w:pPr>
      <w:numPr>
        <w:numId w:val="25"/>
      </w:numPr>
      <w:spacing w:line="200" w:lineRule="atLeast"/>
      <w:contextualSpacing/>
    </w:pPr>
    <w:rPr>
      <w:sz w:val="16"/>
    </w:rPr>
  </w:style>
  <w:style w:type="paragraph" w:customStyle="1" w:styleId="TableBullet2">
    <w:name w:val="Table Bullet 2"/>
    <w:basedOn w:val="TableBullet1"/>
    <w:link w:val="TableBullet2CharChar"/>
    <w:rsid w:val="00E4290C"/>
    <w:pPr>
      <w:numPr>
        <w:numId w:val="26"/>
      </w:numPr>
    </w:pPr>
    <w:rPr>
      <w:lang w:val="en-CA"/>
    </w:rPr>
  </w:style>
  <w:style w:type="paragraph" w:customStyle="1" w:styleId="SubtitleDate">
    <w:name w:val="Subtitle Date"/>
    <w:basedOn w:val="Subtitle"/>
    <w:next w:val="BodyText"/>
    <w:link w:val="SubtitleDateChar"/>
    <w:rsid w:val="00E4290C"/>
    <w:pPr>
      <w:spacing w:before="120"/>
    </w:pPr>
  </w:style>
  <w:style w:type="character" w:customStyle="1" w:styleId="Headingpage2CharChar">
    <w:name w:val="Heading_page2 Char Char"/>
    <w:basedOn w:val="DefaultParagraphFont"/>
    <w:link w:val="Headingpage2"/>
    <w:rsid w:val="00E4290C"/>
    <w:rPr>
      <w:rFonts w:ascii="Arial" w:eastAsia="MS Mincho" w:hAnsi="Arial"/>
      <w:bCs/>
      <w:color w:val="6F6E6E"/>
      <w:kern w:val="16"/>
      <w:sz w:val="16"/>
      <w:szCs w:val="32"/>
      <w:lang w:val="en-US" w:eastAsia="ja-JP" w:bidi="ar-SA"/>
    </w:rPr>
  </w:style>
  <w:style w:type="paragraph" w:styleId="TOCHeading">
    <w:name w:val="TOC Heading"/>
    <w:basedOn w:val="Heading1"/>
    <w:next w:val="BodyText"/>
    <w:qFormat/>
    <w:rsid w:val="00E4290C"/>
  </w:style>
  <w:style w:type="paragraph" w:customStyle="1" w:styleId="FooterBackcover">
    <w:name w:val="Footer Backcover"/>
    <w:basedOn w:val="Normal"/>
    <w:rsid w:val="00E4290C"/>
    <w:pPr>
      <w:spacing w:before="0" w:after="60" w:line="240" w:lineRule="auto"/>
    </w:pPr>
    <w:rPr>
      <w:rFonts w:cs="Arial"/>
      <w:color w:val="002144"/>
      <w:spacing w:val="4"/>
      <w:szCs w:val="16"/>
      <w:lang w:val="en-CA"/>
    </w:rPr>
  </w:style>
  <w:style w:type="paragraph" w:customStyle="1" w:styleId="Sub-heading">
    <w:name w:val="Sub-heading"/>
    <w:basedOn w:val="SubHeading"/>
    <w:link w:val="Sub-headingChar"/>
    <w:qFormat/>
    <w:rsid w:val="00BC14D8"/>
    <w:rPr>
      <w:lang w:val="en-CA"/>
    </w:rPr>
  </w:style>
  <w:style w:type="character" w:customStyle="1" w:styleId="Sub-headingChar">
    <w:name w:val="Sub-heading Char"/>
    <w:basedOn w:val="DefaultParagraphFont"/>
    <w:link w:val="Sub-heading"/>
    <w:rsid w:val="00BC14D8"/>
    <w:rPr>
      <w:rFonts w:ascii="Arial" w:eastAsia="MS Mincho" w:hAnsi="Arial"/>
      <w:b/>
      <w:i/>
      <w:color w:val="0060A9"/>
      <w:kern w:val="16"/>
      <w:sz w:val="24"/>
      <w:szCs w:val="24"/>
      <w:lang w:val="en-CA" w:eastAsia="ja-JP"/>
    </w:rPr>
  </w:style>
  <w:style w:type="paragraph" w:styleId="ListParagraph">
    <w:name w:val="List Paragraph"/>
    <w:basedOn w:val="Normal"/>
    <w:uiPriority w:val="34"/>
    <w:qFormat/>
    <w:rsid w:val="006941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041350">
      <w:bodyDiv w:val="1"/>
      <w:marLeft w:val="0"/>
      <w:marRight w:val="0"/>
      <w:marTop w:val="0"/>
      <w:marBottom w:val="0"/>
      <w:divBdr>
        <w:top w:val="none" w:sz="0" w:space="0" w:color="auto"/>
        <w:left w:val="none" w:sz="0" w:space="0" w:color="auto"/>
        <w:bottom w:val="none" w:sz="0" w:space="0" w:color="auto"/>
        <w:right w:val="none" w:sz="0" w:space="0" w:color="auto"/>
      </w:divBdr>
    </w:div>
    <w:div w:id="250508782">
      <w:bodyDiv w:val="1"/>
      <w:marLeft w:val="0"/>
      <w:marRight w:val="0"/>
      <w:marTop w:val="0"/>
      <w:marBottom w:val="0"/>
      <w:divBdr>
        <w:top w:val="none" w:sz="0" w:space="0" w:color="auto"/>
        <w:left w:val="none" w:sz="0" w:space="0" w:color="auto"/>
        <w:bottom w:val="none" w:sz="0" w:space="0" w:color="auto"/>
        <w:right w:val="none" w:sz="0" w:space="0" w:color="auto"/>
      </w:divBdr>
    </w:div>
    <w:div w:id="419108262">
      <w:bodyDiv w:val="1"/>
      <w:marLeft w:val="0"/>
      <w:marRight w:val="0"/>
      <w:marTop w:val="0"/>
      <w:marBottom w:val="0"/>
      <w:divBdr>
        <w:top w:val="none" w:sz="0" w:space="0" w:color="auto"/>
        <w:left w:val="none" w:sz="0" w:space="0" w:color="auto"/>
        <w:bottom w:val="none" w:sz="0" w:space="0" w:color="auto"/>
        <w:right w:val="none" w:sz="0" w:space="0" w:color="auto"/>
      </w:divBdr>
      <w:divsChild>
        <w:div w:id="1908610550">
          <w:marLeft w:val="0"/>
          <w:marRight w:val="0"/>
          <w:marTop w:val="0"/>
          <w:marBottom w:val="0"/>
          <w:divBdr>
            <w:top w:val="none" w:sz="0" w:space="0" w:color="auto"/>
            <w:left w:val="none" w:sz="0" w:space="0" w:color="auto"/>
            <w:bottom w:val="none" w:sz="0" w:space="0" w:color="auto"/>
            <w:right w:val="none" w:sz="0" w:space="0" w:color="auto"/>
          </w:divBdr>
          <w:divsChild>
            <w:div w:id="43568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96913">
      <w:bodyDiv w:val="1"/>
      <w:marLeft w:val="0"/>
      <w:marRight w:val="0"/>
      <w:marTop w:val="0"/>
      <w:marBottom w:val="0"/>
      <w:divBdr>
        <w:top w:val="none" w:sz="0" w:space="0" w:color="auto"/>
        <w:left w:val="none" w:sz="0" w:space="0" w:color="auto"/>
        <w:bottom w:val="none" w:sz="0" w:space="0" w:color="auto"/>
        <w:right w:val="none" w:sz="0" w:space="0" w:color="auto"/>
      </w:divBdr>
      <w:divsChild>
        <w:div w:id="1492678865">
          <w:marLeft w:val="0"/>
          <w:marRight w:val="0"/>
          <w:marTop w:val="0"/>
          <w:marBottom w:val="0"/>
          <w:divBdr>
            <w:top w:val="none" w:sz="0" w:space="0" w:color="auto"/>
            <w:left w:val="none" w:sz="0" w:space="0" w:color="auto"/>
            <w:bottom w:val="none" w:sz="0" w:space="0" w:color="auto"/>
            <w:right w:val="none" w:sz="0" w:space="0" w:color="auto"/>
          </w:divBdr>
        </w:div>
      </w:divsChild>
    </w:div>
    <w:div w:id="473179177">
      <w:bodyDiv w:val="1"/>
      <w:marLeft w:val="0"/>
      <w:marRight w:val="0"/>
      <w:marTop w:val="0"/>
      <w:marBottom w:val="0"/>
      <w:divBdr>
        <w:top w:val="none" w:sz="0" w:space="0" w:color="auto"/>
        <w:left w:val="none" w:sz="0" w:space="0" w:color="auto"/>
        <w:bottom w:val="none" w:sz="0" w:space="0" w:color="auto"/>
        <w:right w:val="none" w:sz="0" w:space="0" w:color="auto"/>
      </w:divBdr>
      <w:divsChild>
        <w:div w:id="2101171430">
          <w:marLeft w:val="0"/>
          <w:marRight w:val="0"/>
          <w:marTop w:val="0"/>
          <w:marBottom w:val="0"/>
          <w:divBdr>
            <w:top w:val="none" w:sz="0" w:space="0" w:color="auto"/>
            <w:left w:val="none" w:sz="0" w:space="0" w:color="auto"/>
            <w:bottom w:val="none" w:sz="0" w:space="0" w:color="auto"/>
            <w:right w:val="none" w:sz="0" w:space="0" w:color="auto"/>
          </w:divBdr>
        </w:div>
      </w:divsChild>
    </w:div>
    <w:div w:id="532115178">
      <w:bodyDiv w:val="1"/>
      <w:marLeft w:val="0"/>
      <w:marRight w:val="0"/>
      <w:marTop w:val="0"/>
      <w:marBottom w:val="0"/>
      <w:divBdr>
        <w:top w:val="none" w:sz="0" w:space="0" w:color="auto"/>
        <w:left w:val="none" w:sz="0" w:space="0" w:color="auto"/>
        <w:bottom w:val="none" w:sz="0" w:space="0" w:color="auto"/>
        <w:right w:val="none" w:sz="0" w:space="0" w:color="auto"/>
      </w:divBdr>
    </w:div>
    <w:div w:id="557667598">
      <w:bodyDiv w:val="1"/>
      <w:marLeft w:val="0"/>
      <w:marRight w:val="0"/>
      <w:marTop w:val="0"/>
      <w:marBottom w:val="0"/>
      <w:divBdr>
        <w:top w:val="none" w:sz="0" w:space="0" w:color="auto"/>
        <w:left w:val="none" w:sz="0" w:space="0" w:color="auto"/>
        <w:bottom w:val="none" w:sz="0" w:space="0" w:color="auto"/>
        <w:right w:val="none" w:sz="0" w:space="0" w:color="auto"/>
      </w:divBdr>
      <w:divsChild>
        <w:div w:id="431826404">
          <w:marLeft w:val="0"/>
          <w:marRight w:val="0"/>
          <w:marTop w:val="0"/>
          <w:marBottom w:val="0"/>
          <w:divBdr>
            <w:top w:val="none" w:sz="0" w:space="0" w:color="auto"/>
            <w:left w:val="none" w:sz="0" w:space="0" w:color="auto"/>
            <w:bottom w:val="none" w:sz="0" w:space="0" w:color="auto"/>
            <w:right w:val="none" w:sz="0" w:space="0" w:color="auto"/>
          </w:divBdr>
          <w:divsChild>
            <w:div w:id="49468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423">
      <w:bodyDiv w:val="1"/>
      <w:marLeft w:val="0"/>
      <w:marRight w:val="0"/>
      <w:marTop w:val="0"/>
      <w:marBottom w:val="0"/>
      <w:divBdr>
        <w:top w:val="none" w:sz="0" w:space="0" w:color="auto"/>
        <w:left w:val="none" w:sz="0" w:space="0" w:color="auto"/>
        <w:bottom w:val="none" w:sz="0" w:space="0" w:color="auto"/>
        <w:right w:val="none" w:sz="0" w:space="0" w:color="auto"/>
      </w:divBdr>
    </w:div>
    <w:div w:id="608969601">
      <w:bodyDiv w:val="1"/>
      <w:marLeft w:val="0"/>
      <w:marRight w:val="0"/>
      <w:marTop w:val="0"/>
      <w:marBottom w:val="0"/>
      <w:divBdr>
        <w:top w:val="none" w:sz="0" w:space="0" w:color="auto"/>
        <w:left w:val="none" w:sz="0" w:space="0" w:color="auto"/>
        <w:bottom w:val="none" w:sz="0" w:space="0" w:color="auto"/>
        <w:right w:val="none" w:sz="0" w:space="0" w:color="auto"/>
      </w:divBdr>
      <w:divsChild>
        <w:div w:id="2128503102">
          <w:marLeft w:val="0"/>
          <w:marRight w:val="0"/>
          <w:marTop w:val="0"/>
          <w:marBottom w:val="0"/>
          <w:divBdr>
            <w:top w:val="none" w:sz="0" w:space="0" w:color="auto"/>
            <w:left w:val="none" w:sz="0" w:space="0" w:color="auto"/>
            <w:bottom w:val="none" w:sz="0" w:space="0" w:color="auto"/>
            <w:right w:val="none" w:sz="0" w:space="0" w:color="auto"/>
          </w:divBdr>
          <w:divsChild>
            <w:div w:id="14109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9747">
      <w:bodyDiv w:val="1"/>
      <w:marLeft w:val="0"/>
      <w:marRight w:val="0"/>
      <w:marTop w:val="100"/>
      <w:marBottom w:val="100"/>
      <w:divBdr>
        <w:top w:val="none" w:sz="0" w:space="0" w:color="auto"/>
        <w:left w:val="none" w:sz="0" w:space="0" w:color="auto"/>
        <w:bottom w:val="none" w:sz="0" w:space="0" w:color="auto"/>
        <w:right w:val="none" w:sz="0" w:space="0" w:color="auto"/>
      </w:divBdr>
      <w:divsChild>
        <w:div w:id="759569598">
          <w:marLeft w:val="0"/>
          <w:marRight w:val="0"/>
          <w:marTop w:val="100"/>
          <w:marBottom w:val="100"/>
          <w:divBdr>
            <w:top w:val="none" w:sz="0" w:space="0" w:color="auto"/>
            <w:left w:val="none" w:sz="0" w:space="0" w:color="auto"/>
            <w:bottom w:val="none" w:sz="0" w:space="0" w:color="auto"/>
            <w:right w:val="none" w:sz="0" w:space="0" w:color="auto"/>
          </w:divBdr>
          <w:divsChild>
            <w:div w:id="410006576">
              <w:marLeft w:val="0"/>
              <w:marRight w:val="0"/>
              <w:marTop w:val="100"/>
              <w:marBottom w:val="100"/>
              <w:divBdr>
                <w:top w:val="none" w:sz="0" w:space="0" w:color="auto"/>
                <w:left w:val="none" w:sz="0" w:space="0" w:color="auto"/>
                <w:bottom w:val="none" w:sz="0" w:space="0" w:color="auto"/>
                <w:right w:val="none" w:sz="0" w:space="0" w:color="auto"/>
              </w:divBdr>
              <w:divsChild>
                <w:div w:id="1976328166">
                  <w:marLeft w:val="635"/>
                  <w:marRight w:val="0"/>
                  <w:marTop w:val="311"/>
                  <w:marBottom w:val="0"/>
                  <w:divBdr>
                    <w:top w:val="none" w:sz="0" w:space="0" w:color="auto"/>
                    <w:left w:val="none" w:sz="0" w:space="0" w:color="auto"/>
                    <w:bottom w:val="none" w:sz="0" w:space="0" w:color="auto"/>
                    <w:right w:val="none" w:sz="0" w:space="0" w:color="auto"/>
                  </w:divBdr>
                </w:div>
              </w:divsChild>
            </w:div>
          </w:divsChild>
        </w:div>
      </w:divsChild>
    </w:div>
    <w:div w:id="866721202">
      <w:bodyDiv w:val="1"/>
      <w:marLeft w:val="0"/>
      <w:marRight w:val="0"/>
      <w:marTop w:val="0"/>
      <w:marBottom w:val="0"/>
      <w:divBdr>
        <w:top w:val="none" w:sz="0" w:space="0" w:color="auto"/>
        <w:left w:val="none" w:sz="0" w:space="0" w:color="auto"/>
        <w:bottom w:val="none" w:sz="0" w:space="0" w:color="auto"/>
        <w:right w:val="none" w:sz="0" w:space="0" w:color="auto"/>
      </w:divBdr>
    </w:div>
    <w:div w:id="917983250">
      <w:bodyDiv w:val="1"/>
      <w:marLeft w:val="0"/>
      <w:marRight w:val="0"/>
      <w:marTop w:val="0"/>
      <w:marBottom w:val="0"/>
      <w:divBdr>
        <w:top w:val="none" w:sz="0" w:space="0" w:color="auto"/>
        <w:left w:val="none" w:sz="0" w:space="0" w:color="auto"/>
        <w:bottom w:val="none" w:sz="0" w:space="0" w:color="auto"/>
        <w:right w:val="none" w:sz="0" w:space="0" w:color="auto"/>
      </w:divBdr>
      <w:divsChild>
        <w:div w:id="1799034166">
          <w:marLeft w:val="0"/>
          <w:marRight w:val="0"/>
          <w:marTop w:val="0"/>
          <w:marBottom w:val="0"/>
          <w:divBdr>
            <w:top w:val="none" w:sz="0" w:space="0" w:color="auto"/>
            <w:left w:val="none" w:sz="0" w:space="0" w:color="auto"/>
            <w:bottom w:val="none" w:sz="0" w:space="0" w:color="auto"/>
            <w:right w:val="none" w:sz="0" w:space="0" w:color="auto"/>
          </w:divBdr>
        </w:div>
      </w:divsChild>
    </w:div>
    <w:div w:id="995374417">
      <w:bodyDiv w:val="1"/>
      <w:marLeft w:val="0"/>
      <w:marRight w:val="0"/>
      <w:marTop w:val="0"/>
      <w:marBottom w:val="0"/>
      <w:divBdr>
        <w:top w:val="none" w:sz="0" w:space="0" w:color="auto"/>
        <w:left w:val="none" w:sz="0" w:space="0" w:color="auto"/>
        <w:bottom w:val="none" w:sz="0" w:space="0" w:color="auto"/>
        <w:right w:val="none" w:sz="0" w:space="0" w:color="auto"/>
      </w:divBdr>
      <w:divsChild>
        <w:div w:id="477695605">
          <w:marLeft w:val="0"/>
          <w:marRight w:val="0"/>
          <w:marTop w:val="0"/>
          <w:marBottom w:val="0"/>
          <w:divBdr>
            <w:top w:val="none" w:sz="0" w:space="0" w:color="auto"/>
            <w:left w:val="none" w:sz="0" w:space="0" w:color="auto"/>
            <w:bottom w:val="none" w:sz="0" w:space="0" w:color="auto"/>
            <w:right w:val="none" w:sz="0" w:space="0" w:color="auto"/>
          </w:divBdr>
          <w:divsChild>
            <w:div w:id="824978076">
              <w:marLeft w:val="0"/>
              <w:marRight w:val="0"/>
              <w:marTop w:val="0"/>
              <w:marBottom w:val="0"/>
              <w:divBdr>
                <w:top w:val="none" w:sz="0" w:space="0" w:color="auto"/>
                <w:left w:val="none" w:sz="0" w:space="0" w:color="auto"/>
                <w:bottom w:val="none" w:sz="0" w:space="0" w:color="auto"/>
                <w:right w:val="none" w:sz="0" w:space="0" w:color="auto"/>
              </w:divBdr>
            </w:div>
            <w:div w:id="9071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945331">
      <w:bodyDiv w:val="1"/>
      <w:marLeft w:val="0"/>
      <w:marRight w:val="0"/>
      <w:marTop w:val="0"/>
      <w:marBottom w:val="0"/>
      <w:divBdr>
        <w:top w:val="none" w:sz="0" w:space="0" w:color="auto"/>
        <w:left w:val="none" w:sz="0" w:space="0" w:color="auto"/>
        <w:bottom w:val="none" w:sz="0" w:space="0" w:color="auto"/>
        <w:right w:val="none" w:sz="0" w:space="0" w:color="auto"/>
      </w:divBdr>
      <w:divsChild>
        <w:div w:id="434524781">
          <w:marLeft w:val="0"/>
          <w:marRight w:val="0"/>
          <w:marTop w:val="0"/>
          <w:marBottom w:val="0"/>
          <w:divBdr>
            <w:top w:val="none" w:sz="0" w:space="0" w:color="auto"/>
            <w:left w:val="none" w:sz="0" w:space="0" w:color="auto"/>
            <w:bottom w:val="none" w:sz="0" w:space="0" w:color="auto"/>
            <w:right w:val="none" w:sz="0" w:space="0" w:color="auto"/>
          </w:divBdr>
          <w:divsChild>
            <w:div w:id="597058011">
              <w:marLeft w:val="0"/>
              <w:marRight w:val="0"/>
              <w:marTop w:val="0"/>
              <w:marBottom w:val="0"/>
              <w:divBdr>
                <w:top w:val="none" w:sz="0" w:space="0" w:color="auto"/>
                <w:left w:val="none" w:sz="0" w:space="0" w:color="auto"/>
                <w:bottom w:val="none" w:sz="0" w:space="0" w:color="auto"/>
                <w:right w:val="none" w:sz="0" w:space="0" w:color="auto"/>
              </w:divBdr>
            </w:div>
            <w:div w:id="939728170">
              <w:marLeft w:val="0"/>
              <w:marRight w:val="0"/>
              <w:marTop w:val="0"/>
              <w:marBottom w:val="0"/>
              <w:divBdr>
                <w:top w:val="none" w:sz="0" w:space="0" w:color="auto"/>
                <w:left w:val="none" w:sz="0" w:space="0" w:color="auto"/>
                <w:bottom w:val="none" w:sz="0" w:space="0" w:color="auto"/>
                <w:right w:val="none" w:sz="0" w:space="0" w:color="auto"/>
              </w:divBdr>
            </w:div>
            <w:div w:id="1556968030">
              <w:marLeft w:val="0"/>
              <w:marRight w:val="0"/>
              <w:marTop w:val="0"/>
              <w:marBottom w:val="0"/>
              <w:divBdr>
                <w:top w:val="none" w:sz="0" w:space="0" w:color="auto"/>
                <w:left w:val="none" w:sz="0" w:space="0" w:color="auto"/>
                <w:bottom w:val="none" w:sz="0" w:space="0" w:color="auto"/>
                <w:right w:val="none" w:sz="0" w:space="0" w:color="auto"/>
              </w:divBdr>
            </w:div>
            <w:div w:id="209357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72897">
      <w:bodyDiv w:val="1"/>
      <w:marLeft w:val="0"/>
      <w:marRight w:val="0"/>
      <w:marTop w:val="0"/>
      <w:marBottom w:val="0"/>
      <w:divBdr>
        <w:top w:val="none" w:sz="0" w:space="0" w:color="auto"/>
        <w:left w:val="none" w:sz="0" w:space="0" w:color="auto"/>
        <w:bottom w:val="none" w:sz="0" w:space="0" w:color="auto"/>
        <w:right w:val="none" w:sz="0" w:space="0" w:color="auto"/>
      </w:divBdr>
      <w:divsChild>
        <w:div w:id="689648905">
          <w:marLeft w:val="0"/>
          <w:marRight w:val="0"/>
          <w:marTop w:val="0"/>
          <w:marBottom w:val="0"/>
          <w:divBdr>
            <w:top w:val="none" w:sz="0" w:space="0" w:color="auto"/>
            <w:left w:val="none" w:sz="0" w:space="0" w:color="auto"/>
            <w:bottom w:val="none" w:sz="0" w:space="0" w:color="auto"/>
            <w:right w:val="none" w:sz="0" w:space="0" w:color="auto"/>
          </w:divBdr>
        </w:div>
      </w:divsChild>
    </w:div>
    <w:div w:id="1113355612">
      <w:bodyDiv w:val="1"/>
      <w:marLeft w:val="0"/>
      <w:marRight w:val="0"/>
      <w:marTop w:val="0"/>
      <w:marBottom w:val="0"/>
      <w:divBdr>
        <w:top w:val="none" w:sz="0" w:space="0" w:color="auto"/>
        <w:left w:val="none" w:sz="0" w:space="0" w:color="auto"/>
        <w:bottom w:val="none" w:sz="0" w:space="0" w:color="auto"/>
        <w:right w:val="none" w:sz="0" w:space="0" w:color="auto"/>
      </w:divBdr>
    </w:div>
    <w:div w:id="1135752704">
      <w:bodyDiv w:val="1"/>
      <w:marLeft w:val="0"/>
      <w:marRight w:val="0"/>
      <w:marTop w:val="0"/>
      <w:marBottom w:val="0"/>
      <w:divBdr>
        <w:top w:val="none" w:sz="0" w:space="0" w:color="auto"/>
        <w:left w:val="none" w:sz="0" w:space="0" w:color="auto"/>
        <w:bottom w:val="none" w:sz="0" w:space="0" w:color="auto"/>
        <w:right w:val="none" w:sz="0" w:space="0" w:color="auto"/>
      </w:divBdr>
      <w:divsChild>
        <w:div w:id="1218709456">
          <w:marLeft w:val="0"/>
          <w:marRight w:val="0"/>
          <w:marTop w:val="0"/>
          <w:marBottom w:val="0"/>
          <w:divBdr>
            <w:top w:val="none" w:sz="0" w:space="0" w:color="auto"/>
            <w:left w:val="none" w:sz="0" w:space="0" w:color="auto"/>
            <w:bottom w:val="none" w:sz="0" w:space="0" w:color="auto"/>
            <w:right w:val="none" w:sz="0" w:space="0" w:color="auto"/>
          </w:divBdr>
          <w:divsChild>
            <w:div w:id="17503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0639">
      <w:bodyDiv w:val="1"/>
      <w:marLeft w:val="0"/>
      <w:marRight w:val="0"/>
      <w:marTop w:val="0"/>
      <w:marBottom w:val="0"/>
      <w:divBdr>
        <w:top w:val="none" w:sz="0" w:space="0" w:color="auto"/>
        <w:left w:val="none" w:sz="0" w:space="0" w:color="auto"/>
        <w:bottom w:val="none" w:sz="0" w:space="0" w:color="auto"/>
        <w:right w:val="none" w:sz="0" w:space="0" w:color="auto"/>
      </w:divBdr>
      <w:divsChild>
        <w:div w:id="1110130324">
          <w:marLeft w:val="0"/>
          <w:marRight w:val="0"/>
          <w:marTop w:val="0"/>
          <w:marBottom w:val="0"/>
          <w:divBdr>
            <w:top w:val="none" w:sz="0" w:space="0" w:color="auto"/>
            <w:left w:val="none" w:sz="0" w:space="0" w:color="auto"/>
            <w:bottom w:val="none" w:sz="0" w:space="0" w:color="auto"/>
            <w:right w:val="none" w:sz="0" w:space="0" w:color="auto"/>
          </w:divBdr>
          <w:divsChild>
            <w:div w:id="12521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044934">
      <w:bodyDiv w:val="1"/>
      <w:marLeft w:val="0"/>
      <w:marRight w:val="0"/>
      <w:marTop w:val="0"/>
      <w:marBottom w:val="0"/>
      <w:divBdr>
        <w:top w:val="none" w:sz="0" w:space="0" w:color="auto"/>
        <w:left w:val="none" w:sz="0" w:space="0" w:color="auto"/>
        <w:bottom w:val="none" w:sz="0" w:space="0" w:color="auto"/>
        <w:right w:val="none" w:sz="0" w:space="0" w:color="auto"/>
      </w:divBdr>
      <w:divsChild>
        <w:div w:id="127478066">
          <w:marLeft w:val="0"/>
          <w:marRight w:val="0"/>
          <w:marTop w:val="0"/>
          <w:marBottom w:val="0"/>
          <w:divBdr>
            <w:top w:val="none" w:sz="0" w:space="0" w:color="auto"/>
            <w:left w:val="none" w:sz="0" w:space="0" w:color="auto"/>
            <w:bottom w:val="none" w:sz="0" w:space="0" w:color="auto"/>
            <w:right w:val="none" w:sz="0" w:space="0" w:color="auto"/>
          </w:divBdr>
        </w:div>
      </w:divsChild>
    </w:div>
    <w:div w:id="1497306478">
      <w:bodyDiv w:val="1"/>
      <w:marLeft w:val="0"/>
      <w:marRight w:val="0"/>
      <w:marTop w:val="0"/>
      <w:marBottom w:val="0"/>
      <w:divBdr>
        <w:top w:val="none" w:sz="0" w:space="0" w:color="auto"/>
        <w:left w:val="none" w:sz="0" w:space="0" w:color="auto"/>
        <w:bottom w:val="none" w:sz="0" w:space="0" w:color="auto"/>
        <w:right w:val="none" w:sz="0" w:space="0" w:color="auto"/>
      </w:divBdr>
      <w:divsChild>
        <w:div w:id="1600328631">
          <w:marLeft w:val="0"/>
          <w:marRight w:val="0"/>
          <w:marTop w:val="0"/>
          <w:marBottom w:val="0"/>
          <w:divBdr>
            <w:top w:val="none" w:sz="0" w:space="0" w:color="auto"/>
            <w:left w:val="none" w:sz="0" w:space="0" w:color="auto"/>
            <w:bottom w:val="none" w:sz="0" w:space="0" w:color="auto"/>
            <w:right w:val="none" w:sz="0" w:space="0" w:color="auto"/>
          </w:divBdr>
          <w:divsChild>
            <w:div w:id="181434422">
              <w:marLeft w:val="0"/>
              <w:marRight w:val="0"/>
              <w:marTop w:val="74"/>
              <w:marBottom w:val="0"/>
              <w:divBdr>
                <w:top w:val="single" w:sz="4" w:space="4" w:color="666666"/>
                <w:left w:val="none" w:sz="0" w:space="0" w:color="auto"/>
                <w:bottom w:val="none" w:sz="0" w:space="0" w:color="auto"/>
                <w:right w:val="none" w:sz="0" w:space="0" w:color="auto"/>
              </w:divBdr>
            </w:div>
          </w:divsChild>
        </w:div>
      </w:divsChild>
    </w:div>
    <w:div w:id="1567449875">
      <w:bodyDiv w:val="1"/>
      <w:marLeft w:val="0"/>
      <w:marRight w:val="0"/>
      <w:marTop w:val="0"/>
      <w:marBottom w:val="0"/>
      <w:divBdr>
        <w:top w:val="none" w:sz="0" w:space="0" w:color="auto"/>
        <w:left w:val="none" w:sz="0" w:space="0" w:color="auto"/>
        <w:bottom w:val="none" w:sz="0" w:space="0" w:color="auto"/>
        <w:right w:val="none" w:sz="0" w:space="0" w:color="auto"/>
      </w:divBdr>
      <w:divsChild>
        <w:div w:id="24059681">
          <w:marLeft w:val="0"/>
          <w:marRight w:val="0"/>
          <w:marTop w:val="0"/>
          <w:marBottom w:val="0"/>
          <w:divBdr>
            <w:top w:val="none" w:sz="0" w:space="0" w:color="auto"/>
            <w:left w:val="none" w:sz="0" w:space="0" w:color="auto"/>
            <w:bottom w:val="none" w:sz="0" w:space="0" w:color="auto"/>
            <w:right w:val="none" w:sz="0" w:space="0" w:color="auto"/>
          </w:divBdr>
        </w:div>
        <w:div w:id="362680426">
          <w:marLeft w:val="0"/>
          <w:marRight w:val="0"/>
          <w:marTop w:val="0"/>
          <w:marBottom w:val="0"/>
          <w:divBdr>
            <w:top w:val="none" w:sz="0" w:space="0" w:color="auto"/>
            <w:left w:val="none" w:sz="0" w:space="0" w:color="auto"/>
            <w:bottom w:val="none" w:sz="0" w:space="0" w:color="auto"/>
            <w:right w:val="none" w:sz="0" w:space="0" w:color="auto"/>
          </w:divBdr>
        </w:div>
        <w:div w:id="669286088">
          <w:marLeft w:val="0"/>
          <w:marRight w:val="0"/>
          <w:marTop w:val="0"/>
          <w:marBottom w:val="0"/>
          <w:divBdr>
            <w:top w:val="none" w:sz="0" w:space="0" w:color="auto"/>
            <w:left w:val="none" w:sz="0" w:space="0" w:color="auto"/>
            <w:bottom w:val="none" w:sz="0" w:space="0" w:color="auto"/>
            <w:right w:val="none" w:sz="0" w:space="0" w:color="auto"/>
          </w:divBdr>
        </w:div>
        <w:div w:id="783769970">
          <w:marLeft w:val="0"/>
          <w:marRight w:val="0"/>
          <w:marTop w:val="0"/>
          <w:marBottom w:val="0"/>
          <w:divBdr>
            <w:top w:val="none" w:sz="0" w:space="0" w:color="auto"/>
            <w:left w:val="none" w:sz="0" w:space="0" w:color="auto"/>
            <w:bottom w:val="none" w:sz="0" w:space="0" w:color="auto"/>
            <w:right w:val="none" w:sz="0" w:space="0" w:color="auto"/>
          </w:divBdr>
        </w:div>
        <w:div w:id="1308901566">
          <w:marLeft w:val="0"/>
          <w:marRight w:val="0"/>
          <w:marTop w:val="0"/>
          <w:marBottom w:val="0"/>
          <w:divBdr>
            <w:top w:val="none" w:sz="0" w:space="0" w:color="auto"/>
            <w:left w:val="none" w:sz="0" w:space="0" w:color="auto"/>
            <w:bottom w:val="none" w:sz="0" w:space="0" w:color="auto"/>
            <w:right w:val="none" w:sz="0" w:space="0" w:color="auto"/>
          </w:divBdr>
        </w:div>
        <w:div w:id="1362585728">
          <w:marLeft w:val="0"/>
          <w:marRight w:val="0"/>
          <w:marTop w:val="0"/>
          <w:marBottom w:val="0"/>
          <w:divBdr>
            <w:top w:val="none" w:sz="0" w:space="0" w:color="auto"/>
            <w:left w:val="none" w:sz="0" w:space="0" w:color="auto"/>
            <w:bottom w:val="none" w:sz="0" w:space="0" w:color="auto"/>
            <w:right w:val="none" w:sz="0" w:space="0" w:color="auto"/>
          </w:divBdr>
        </w:div>
        <w:div w:id="1398363345">
          <w:marLeft w:val="0"/>
          <w:marRight w:val="0"/>
          <w:marTop w:val="0"/>
          <w:marBottom w:val="0"/>
          <w:divBdr>
            <w:top w:val="none" w:sz="0" w:space="0" w:color="auto"/>
            <w:left w:val="none" w:sz="0" w:space="0" w:color="auto"/>
            <w:bottom w:val="none" w:sz="0" w:space="0" w:color="auto"/>
            <w:right w:val="none" w:sz="0" w:space="0" w:color="auto"/>
          </w:divBdr>
        </w:div>
        <w:div w:id="1751657061">
          <w:marLeft w:val="0"/>
          <w:marRight w:val="0"/>
          <w:marTop w:val="0"/>
          <w:marBottom w:val="0"/>
          <w:divBdr>
            <w:top w:val="none" w:sz="0" w:space="0" w:color="auto"/>
            <w:left w:val="none" w:sz="0" w:space="0" w:color="auto"/>
            <w:bottom w:val="none" w:sz="0" w:space="0" w:color="auto"/>
            <w:right w:val="none" w:sz="0" w:space="0" w:color="auto"/>
          </w:divBdr>
        </w:div>
        <w:div w:id="1759254752">
          <w:marLeft w:val="0"/>
          <w:marRight w:val="0"/>
          <w:marTop w:val="0"/>
          <w:marBottom w:val="0"/>
          <w:divBdr>
            <w:top w:val="none" w:sz="0" w:space="0" w:color="auto"/>
            <w:left w:val="none" w:sz="0" w:space="0" w:color="auto"/>
            <w:bottom w:val="none" w:sz="0" w:space="0" w:color="auto"/>
            <w:right w:val="none" w:sz="0" w:space="0" w:color="auto"/>
          </w:divBdr>
        </w:div>
        <w:div w:id="1797790076">
          <w:marLeft w:val="0"/>
          <w:marRight w:val="0"/>
          <w:marTop w:val="0"/>
          <w:marBottom w:val="0"/>
          <w:divBdr>
            <w:top w:val="none" w:sz="0" w:space="0" w:color="auto"/>
            <w:left w:val="none" w:sz="0" w:space="0" w:color="auto"/>
            <w:bottom w:val="none" w:sz="0" w:space="0" w:color="auto"/>
            <w:right w:val="none" w:sz="0" w:space="0" w:color="auto"/>
          </w:divBdr>
        </w:div>
        <w:div w:id="2082293364">
          <w:marLeft w:val="0"/>
          <w:marRight w:val="0"/>
          <w:marTop w:val="0"/>
          <w:marBottom w:val="0"/>
          <w:divBdr>
            <w:top w:val="none" w:sz="0" w:space="0" w:color="auto"/>
            <w:left w:val="none" w:sz="0" w:space="0" w:color="auto"/>
            <w:bottom w:val="none" w:sz="0" w:space="0" w:color="auto"/>
            <w:right w:val="none" w:sz="0" w:space="0" w:color="auto"/>
          </w:divBdr>
        </w:div>
        <w:div w:id="2126189436">
          <w:marLeft w:val="0"/>
          <w:marRight w:val="0"/>
          <w:marTop w:val="0"/>
          <w:marBottom w:val="0"/>
          <w:divBdr>
            <w:top w:val="none" w:sz="0" w:space="0" w:color="auto"/>
            <w:left w:val="none" w:sz="0" w:space="0" w:color="auto"/>
            <w:bottom w:val="none" w:sz="0" w:space="0" w:color="auto"/>
            <w:right w:val="none" w:sz="0" w:space="0" w:color="auto"/>
          </w:divBdr>
        </w:div>
      </w:divsChild>
    </w:div>
    <w:div w:id="1594778829">
      <w:bodyDiv w:val="1"/>
      <w:marLeft w:val="0"/>
      <w:marRight w:val="0"/>
      <w:marTop w:val="0"/>
      <w:marBottom w:val="0"/>
      <w:divBdr>
        <w:top w:val="none" w:sz="0" w:space="0" w:color="auto"/>
        <w:left w:val="none" w:sz="0" w:space="0" w:color="auto"/>
        <w:bottom w:val="none" w:sz="0" w:space="0" w:color="auto"/>
        <w:right w:val="none" w:sz="0" w:space="0" w:color="auto"/>
      </w:divBdr>
    </w:div>
    <w:div w:id="1598517815">
      <w:bodyDiv w:val="1"/>
      <w:marLeft w:val="0"/>
      <w:marRight w:val="0"/>
      <w:marTop w:val="0"/>
      <w:marBottom w:val="0"/>
      <w:divBdr>
        <w:top w:val="none" w:sz="0" w:space="0" w:color="auto"/>
        <w:left w:val="none" w:sz="0" w:space="0" w:color="auto"/>
        <w:bottom w:val="none" w:sz="0" w:space="0" w:color="auto"/>
        <w:right w:val="none" w:sz="0" w:space="0" w:color="auto"/>
      </w:divBdr>
      <w:divsChild>
        <w:div w:id="144275757">
          <w:marLeft w:val="0"/>
          <w:marRight w:val="0"/>
          <w:marTop w:val="0"/>
          <w:marBottom w:val="0"/>
          <w:divBdr>
            <w:top w:val="none" w:sz="0" w:space="0" w:color="auto"/>
            <w:left w:val="none" w:sz="0" w:space="0" w:color="auto"/>
            <w:bottom w:val="none" w:sz="0" w:space="0" w:color="auto"/>
            <w:right w:val="none" w:sz="0" w:space="0" w:color="auto"/>
          </w:divBdr>
        </w:div>
        <w:div w:id="362245376">
          <w:marLeft w:val="0"/>
          <w:marRight w:val="0"/>
          <w:marTop w:val="0"/>
          <w:marBottom w:val="0"/>
          <w:divBdr>
            <w:top w:val="none" w:sz="0" w:space="0" w:color="auto"/>
            <w:left w:val="none" w:sz="0" w:space="0" w:color="auto"/>
            <w:bottom w:val="none" w:sz="0" w:space="0" w:color="auto"/>
            <w:right w:val="none" w:sz="0" w:space="0" w:color="auto"/>
          </w:divBdr>
        </w:div>
        <w:div w:id="475610597">
          <w:marLeft w:val="0"/>
          <w:marRight w:val="0"/>
          <w:marTop w:val="0"/>
          <w:marBottom w:val="0"/>
          <w:divBdr>
            <w:top w:val="none" w:sz="0" w:space="0" w:color="auto"/>
            <w:left w:val="none" w:sz="0" w:space="0" w:color="auto"/>
            <w:bottom w:val="none" w:sz="0" w:space="0" w:color="auto"/>
            <w:right w:val="none" w:sz="0" w:space="0" w:color="auto"/>
          </w:divBdr>
        </w:div>
        <w:div w:id="1409383683">
          <w:marLeft w:val="0"/>
          <w:marRight w:val="0"/>
          <w:marTop w:val="0"/>
          <w:marBottom w:val="0"/>
          <w:divBdr>
            <w:top w:val="none" w:sz="0" w:space="0" w:color="auto"/>
            <w:left w:val="none" w:sz="0" w:space="0" w:color="auto"/>
            <w:bottom w:val="none" w:sz="0" w:space="0" w:color="auto"/>
            <w:right w:val="none" w:sz="0" w:space="0" w:color="auto"/>
          </w:divBdr>
        </w:div>
        <w:div w:id="1572888649">
          <w:marLeft w:val="0"/>
          <w:marRight w:val="0"/>
          <w:marTop w:val="0"/>
          <w:marBottom w:val="0"/>
          <w:divBdr>
            <w:top w:val="none" w:sz="0" w:space="0" w:color="auto"/>
            <w:left w:val="none" w:sz="0" w:space="0" w:color="auto"/>
            <w:bottom w:val="none" w:sz="0" w:space="0" w:color="auto"/>
            <w:right w:val="none" w:sz="0" w:space="0" w:color="auto"/>
          </w:divBdr>
        </w:div>
        <w:div w:id="1724214722">
          <w:marLeft w:val="0"/>
          <w:marRight w:val="0"/>
          <w:marTop w:val="0"/>
          <w:marBottom w:val="0"/>
          <w:divBdr>
            <w:top w:val="none" w:sz="0" w:space="0" w:color="auto"/>
            <w:left w:val="none" w:sz="0" w:space="0" w:color="auto"/>
            <w:bottom w:val="none" w:sz="0" w:space="0" w:color="auto"/>
            <w:right w:val="none" w:sz="0" w:space="0" w:color="auto"/>
          </w:divBdr>
        </w:div>
      </w:divsChild>
    </w:div>
    <w:div w:id="1719820229">
      <w:bodyDiv w:val="1"/>
      <w:marLeft w:val="0"/>
      <w:marRight w:val="0"/>
      <w:marTop w:val="0"/>
      <w:marBottom w:val="0"/>
      <w:divBdr>
        <w:top w:val="none" w:sz="0" w:space="0" w:color="auto"/>
        <w:left w:val="none" w:sz="0" w:space="0" w:color="auto"/>
        <w:bottom w:val="none" w:sz="0" w:space="0" w:color="auto"/>
        <w:right w:val="none" w:sz="0" w:space="0" w:color="auto"/>
      </w:divBdr>
      <w:divsChild>
        <w:div w:id="2896992">
          <w:marLeft w:val="0"/>
          <w:marRight w:val="0"/>
          <w:marTop w:val="0"/>
          <w:marBottom w:val="0"/>
          <w:divBdr>
            <w:top w:val="none" w:sz="0" w:space="0" w:color="auto"/>
            <w:left w:val="none" w:sz="0" w:space="0" w:color="auto"/>
            <w:bottom w:val="none" w:sz="0" w:space="0" w:color="auto"/>
            <w:right w:val="none" w:sz="0" w:space="0" w:color="auto"/>
          </w:divBdr>
        </w:div>
        <w:div w:id="52048736">
          <w:marLeft w:val="0"/>
          <w:marRight w:val="0"/>
          <w:marTop w:val="0"/>
          <w:marBottom w:val="0"/>
          <w:divBdr>
            <w:top w:val="none" w:sz="0" w:space="0" w:color="auto"/>
            <w:left w:val="none" w:sz="0" w:space="0" w:color="auto"/>
            <w:bottom w:val="none" w:sz="0" w:space="0" w:color="auto"/>
            <w:right w:val="none" w:sz="0" w:space="0" w:color="auto"/>
          </w:divBdr>
        </w:div>
        <w:div w:id="63795057">
          <w:marLeft w:val="0"/>
          <w:marRight w:val="0"/>
          <w:marTop w:val="0"/>
          <w:marBottom w:val="0"/>
          <w:divBdr>
            <w:top w:val="none" w:sz="0" w:space="0" w:color="auto"/>
            <w:left w:val="none" w:sz="0" w:space="0" w:color="auto"/>
            <w:bottom w:val="none" w:sz="0" w:space="0" w:color="auto"/>
            <w:right w:val="none" w:sz="0" w:space="0" w:color="auto"/>
          </w:divBdr>
        </w:div>
        <w:div w:id="69425370">
          <w:marLeft w:val="0"/>
          <w:marRight w:val="0"/>
          <w:marTop w:val="0"/>
          <w:marBottom w:val="0"/>
          <w:divBdr>
            <w:top w:val="none" w:sz="0" w:space="0" w:color="auto"/>
            <w:left w:val="none" w:sz="0" w:space="0" w:color="auto"/>
            <w:bottom w:val="none" w:sz="0" w:space="0" w:color="auto"/>
            <w:right w:val="none" w:sz="0" w:space="0" w:color="auto"/>
          </w:divBdr>
        </w:div>
        <w:div w:id="77823492">
          <w:marLeft w:val="0"/>
          <w:marRight w:val="0"/>
          <w:marTop w:val="0"/>
          <w:marBottom w:val="0"/>
          <w:divBdr>
            <w:top w:val="none" w:sz="0" w:space="0" w:color="auto"/>
            <w:left w:val="none" w:sz="0" w:space="0" w:color="auto"/>
            <w:bottom w:val="none" w:sz="0" w:space="0" w:color="auto"/>
            <w:right w:val="none" w:sz="0" w:space="0" w:color="auto"/>
          </w:divBdr>
        </w:div>
        <w:div w:id="174151798">
          <w:marLeft w:val="0"/>
          <w:marRight w:val="0"/>
          <w:marTop w:val="0"/>
          <w:marBottom w:val="0"/>
          <w:divBdr>
            <w:top w:val="none" w:sz="0" w:space="0" w:color="auto"/>
            <w:left w:val="none" w:sz="0" w:space="0" w:color="auto"/>
            <w:bottom w:val="none" w:sz="0" w:space="0" w:color="auto"/>
            <w:right w:val="none" w:sz="0" w:space="0" w:color="auto"/>
          </w:divBdr>
        </w:div>
        <w:div w:id="182518230">
          <w:marLeft w:val="0"/>
          <w:marRight w:val="0"/>
          <w:marTop w:val="0"/>
          <w:marBottom w:val="0"/>
          <w:divBdr>
            <w:top w:val="none" w:sz="0" w:space="0" w:color="auto"/>
            <w:left w:val="none" w:sz="0" w:space="0" w:color="auto"/>
            <w:bottom w:val="none" w:sz="0" w:space="0" w:color="auto"/>
            <w:right w:val="none" w:sz="0" w:space="0" w:color="auto"/>
          </w:divBdr>
        </w:div>
        <w:div w:id="195968634">
          <w:marLeft w:val="0"/>
          <w:marRight w:val="0"/>
          <w:marTop w:val="0"/>
          <w:marBottom w:val="0"/>
          <w:divBdr>
            <w:top w:val="none" w:sz="0" w:space="0" w:color="auto"/>
            <w:left w:val="none" w:sz="0" w:space="0" w:color="auto"/>
            <w:bottom w:val="none" w:sz="0" w:space="0" w:color="auto"/>
            <w:right w:val="none" w:sz="0" w:space="0" w:color="auto"/>
          </w:divBdr>
        </w:div>
        <w:div w:id="254098916">
          <w:marLeft w:val="0"/>
          <w:marRight w:val="0"/>
          <w:marTop w:val="0"/>
          <w:marBottom w:val="0"/>
          <w:divBdr>
            <w:top w:val="none" w:sz="0" w:space="0" w:color="auto"/>
            <w:left w:val="none" w:sz="0" w:space="0" w:color="auto"/>
            <w:bottom w:val="none" w:sz="0" w:space="0" w:color="auto"/>
            <w:right w:val="none" w:sz="0" w:space="0" w:color="auto"/>
          </w:divBdr>
        </w:div>
        <w:div w:id="263461039">
          <w:marLeft w:val="0"/>
          <w:marRight w:val="0"/>
          <w:marTop w:val="0"/>
          <w:marBottom w:val="0"/>
          <w:divBdr>
            <w:top w:val="none" w:sz="0" w:space="0" w:color="auto"/>
            <w:left w:val="none" w:sz="0" w:space="0" w:color="auto"/>
            <w:bottom w:val="none" w:sz="0" w:space="0" w:color="auto"/>
            <w:right w:val="none" w:sz="0" w:space="0" w:color="auto"/>
          </w:divBdr>
        </w:div>
        <w:div w:id="290020716">
          <w:marLeft w:val="0"/>
          <w:marRight w:val="0"/>
          <w:marTop w:val="0"/>
          <w:marBottom w:val="0"/>
          <w:divBdr>
            <w:top w:val="none" w:sz="0" w:space="0" w:color="auto"/>
            <w:left w:val="none" w:sz="0" w:space="0" w:color="auto"/>
            <w:bottom w:val="none" w:sz="0" w:space="0" w:color="auto"/>
            <w:right w:val="none" w:sz="0" w:space="0" w:color="auto"/>
          </w:divBdr>
        </w:div>
        <w:div w:id="294607663">
          <w:marLeft w:val="0"/>
          <w:marRight w:val="0"/>
          <w:marTop w:val="0"/>
          <w:marBottom w:val="0"/>
          <w:divBdr>
            <w:top w:val="none" w:sz="0" w:space="0" w:color="auto"/>
            <w:left w:val="none" w:sz="0" w:space="0" w:color="auto"/>
            <w:bottom w:val="none" w:sz="0" w:space="0" w:color="auto"/>
            <w:right w:val="none" w:sz="0" w:space="0" w:color="auto"/>
          </w:divBdr>
        </w:div>
        <w:div w:id="296492174">
          <w:marLeft w:val="0"/>
          <w:marRight w:val="0"/>
          <w:marTop w:val="0"/>
          <w:marBottom w:val="0"/>
          <w:divBdr>
            <w:top w:val="none" w:sz="0" w:space="0" w:color="auto"/>
            <w:left w:val="none" w:sz="0" w:space="0" w:color="auto"/>
            <w:bottom w:val="none" w:sz="0" w:space="0" w:color="auto"/>
            <w:right w:val="none" w:sz="0" w:space="0" w:color="auto"/>
          </w:divBdr>
        </w:div>
        <w:div w:id="309481675">
          <w:marLeft w:val="0"/>
          <w:marRight w:val="0"/>
          <w:marTop w:val="0"/>
          <w:marBottom w:val="0"/>
          <w:divBdr>
            <w:top w:val="none" w:sz="0" w:space="0" w:color="auto"/>
            <w:left w:val="none" w:sz="0" w:space="0" w:color="auto"/>
            <w:bottom w:val="none" w:sz="0" w:space="0" w:color="auto"/>
            <w:right w:val="none" w:sz="0" w:space="0" w:color="auto"/>
          </w:divBdr>
        </w:div>
        <w:div w:id="348528201">
          <w:marLeft w:val="0"/>
          <w:marRight w:val="0"/>
          <w:marTop w:val="0"/>
          <w:marBottom w:val="0"/>
          <w:divBdr>
            <w:top w:val="none" w:sz="0" w:space="0" w:color="auto"/>
            <w:left w:val="none" w:sz="0" w:space="0" w:color="auto"/>
            <w:bottom w:val="none" w:sz="0" w:space="0" w:color="auto"/>
            <w:right w:val="none" w:sz="0" w:space="0" w:color="auto"/>
          </w:divBdr>
        </w:div>
        <w:div w:id="447239116">
          <w:marLeft w:val="0"/>
          <w:marRight w:val="0"/>
          <w:marTop w:val="0"/>
          <w:marBottom w:val="0"/>
          <w:divBdr>
            <w:top w:val="none" w:sz="0" w:space="0" w:color="auto"/>
            <w:left w:val="none" w:sz="0" w:space="0" w:color="auto"/>
            <w:bottom w:val="none" w:sz="0" w:space="0" w:color="auto"/>
            <w:right w:val="none" w:sz="0" w:space="0" w:color="auto"/>
          </w:divBdr>
        </w:div>
        <w:div w:id="535041968">
          <w:marLeft w:val="0"/>
          <w:marRight w:val="0"/>
          <w:marTop w:val="0"/>
          <w:marBottom w:val="0"/>
          <w:divBdr>
            <w:top w:val="none" w:sz="0" w:space="0" w:color="auto"/>
            <w:left w:val="none" w:sz="0" w:space="0" w:color="auto"/>
            <w:bottom w:val="none" w:sz="0" w:space="0" w:color="auto"/>
            <w:right w:val="none" w:sz="0" w:space="0" w:color="auto"/>
          </w:divBdr>
        </w:div>
        <w:div w:id="551042670">
          <w:marLeft w:val="0"/>
          <w:marRight w:val="0"/>
          <w:marTop w:val="0"/>
          <w:marBottom w:val="0"/>
          <w:divBdr>
            <w:top w:val="none" w:sz="0" w:space="0" w:color="auto"/>
            <w:left w:val="none" w:sz="0" w:space="0" w:color="auto"/>
            <w:bottom w:val="none" w:sz="0" w:space="0" w:color="auto"/>
            <w:right w:val="none" w:sz="0" w:space="0" w:color="auto"/>
          </w:divBdr>
        </w:div>
        <w:div w:id="577204511">
          <w:marLeft w:val="0"/>
          <w:marRight w:val="0"/>
          <w:marTop w:val="0"/>
          <w:marBottom w:val="0"/>
          <w:divBdr>
            <w:top w:val="none" w:sz="0" w:space="0" w:color="auto"/>
            <w:left w:val="none" w:sz="0" w:space="0" w:color="auto"/>
            <w:bottom w:val="none" w:sz="0" w:space="0" w:color="auto"/>
            <w:right w:val="none" w:sz="0" w:space="0" w:color="auto"/>
          </w:divBdr>
        </w:div>
        <w:div w:id="725839089">
          <w:marLeft w:val="0"/>
          <w:marRight w:val="0"/>
          <w:marTop w:val="0"/>
          <w:marBottom w:val="0"/>
          <w:divBdr>
            <w:top w:val="none" w:sz="0" w:space="0" w:color="auto"/>
            <w:left w:val="none" w:sz="0" w:space="0" w:color="auto"/>
            <w:bottom w:val="none" w:sz="0" w:space="0" w:color="auto"/>
            <w:right w:val="none" w:sz="0" w:space="0" w:color="auto"/>
          </w:divBdr>
        </w:div>
        <w:div w:id="935402510">
          <w:marLeft w:val="0"/>
          <w:marRight w:val="0"/>
          <w:marTop w:val="0"/>
          <w:marBottom w:val="0"/>
          <w:divBdr>
            <w:top w:val="none" w:sz="0" w:space="0" w:color="auto"/>
            <w:left w:val="none" w:sz="0" w:space="0" w:color="auto"/>
            <w:bottom w:val="none" w:sz="0" w:space="0" w:color="auto"/>
            <w:right w:val="none" w:sz="0" w:space="0" w:color="auto"/>
          </w:divBdr>
        </w:div>
        <w:div w:id="1001470634">
          <w:marLeft w:val="0"/>
          <w:marRight w:val="0"/>
          <w:marTop w:val="0"/>
          <w:marBottom w:val="0"/>
          <w:divBdr>
            <w:top w:val="none" w:sz="0" w:space="0" w:color="auto"/>
            <w:left w:val="none" w:sz="0" w:space="0" w:color="auto"/>
            <w:bottom w:val="none" w:sz="0" w:space="0" w:color="auto"/>
            <w:right w:val="none" w:sz="0" w:space="0" w:color="auto"/>
          </w:divBdr>
        </w:div>
        <w:div w:id="1057126209">
          <w:marLeft w:val="0"/>
          <w:marRight w:val="0"/>
          <w:marTop w:val="0"/>
          <w:marBottom w:val="0"/>
          <w:divBdr>
            <w:top w:val="none" w:sz="0" w:space="0" w:color="auto"/>
            <w:left w:val="none" w:sz="0" w:space="0" w:color="auto"/>
            <w:bottom w:val="none" w:sz="0" w:space="0" w:color="auto"/>
            <w:right w:val="none" w:sz="0" w:space="0" w:color="auto"/>
          </w:divBdr>
        </w:div>
        <w:div w:id="1061290244">
          <w:marLeft w:val="0"/>
          <w:marRight w:val="0"/>
          <w:marTop w:val="0"/>
          <w:marBottom w:val="0"/>
          <w:divBdr>
            <w:top w:val="none" w:sz="0" w:space="0" w:color="auto"/>
            <w:left w:val="none" w:sz="0" w:space="0" w:color="auto"/>
            <w:bottom w:val="none" w:sz="0" w:space="0" w:color="auto"/>
            <w:right w:val="none" w:sz="0" w:space="0" w:color="auto"/>
          </w:divBdr>
        </w:div>
        <w:div w:id="1181168057">
          <w:marLeft w:val="0"/>
          <w:marRight w:val="0"/>
          <w:marTop w:val="0"/>
          <w:marBottom w:val="0"/>
          <w:divBdr>
            <w:top w:val="none" w:sz="0" w:space="0" w:color="auto"/>
            <w:left w:val="none" w:sz="0" w:space="0" w:color="auto"/>
            <w:bottom w:val="none" w:sz="0" w:space="0" w:color="auto"/>
            <w:right w:val="none" w:sz="0" w:space="0" w:color="auto"/>
          </w:divBdr>
        </w:div>
        <w:div w:id="1227915195">
          <w:marLeft w:val="0"/>
          <w:marRight w:val="0"/>
          <w:marTop w:val="0"/>
          <w:marBottom w:val="0"/>
          <w:divBdr>
            <w:top w:val="none" w:sz="0" w:space="0" w:color="auto"/>
            <w:left w:val="none" w:sz="0" w:space="0" w:color="auto"/>
            <w:bottom w:val="none" w:sz="0" w:space="0" w:color="auto"/>
            <w:right w:val="none" w:sz="0" w:space="0" w:color="auto"/>
          </w:divBdr>
        </w:div>
        <w:div w:id="1235623801">
          <w:marLeft w:val="0"/>
          <w:marRight w:val="0"/>
          <w:marTop w:val="0"/>
          <w:marBottom w:val="0"/>
          <w:divBdr>
            <w:top w:val="none" w:sz="0" w:space="0" w:color="auto"/>
            <w:left w:val="none" w:sz="0" w:space="0" w:color="auto"/>
            <w:bottom w:val="none" w:sz="0" w:space="0" w:color="auto"/>
            <w:right w:val="none" w:sz="0" w:space="0" w:color="auto"/>
          </w:divBdr>
        </w:div>
        <w:div w:id="1301151983">
          <w:marLeft w:val="0"/>
          <w:marRight w:val="0"/>
          <w:marTop w:val="0"/>
          <w:marBottom w:val="0"/>
          <w:divBdr>
            <w:top w:val="none" w:sz="0" w:space="0" w:color="auto"/>
            <w:left w:val="none" w:sz="0" w:space="0" w:color="auto"/>
            <w:bottom w:val="none" w:sz="0" w:space="0" w:color="auto"/>
            <w:right w:val="none" w:sz="0" w:space="0" w:color="auto"/>
          </w:divBdr>
        </w:div>
        <w:div w:id="1302079560">
          <w:marLeft w:val="0"/>
          <w:marRight w:val="0"/>
          <w:marTop w:val="0"/>
          <w:marBottom w:val="0"/>
          <w:divBdr>
            <w:top w:val="none" w:sz="0" w:space="0" w:color="auto"/>
            <w:left w:val="none" w:sz="0" w:space="0" w:color="auto"/>
            <w:bottom w:val="none" w:sz="0" w:space="0" w:color="auto"/>
            <w:right w:val="none" w:sz="0" w:space="0" w:color="auto"/>
          </w:divBdr>
        </w:div>
        <w:div w:id="1310670914">
          <w:marLeft w:val="0"/>
          <w:marRight w:val="0"/>
          <w:marTop w:val="0"/>
          <w:marBottom w:val="0"/>
          <w:divBdr>
            <w:top w:val="none" w:sz="0" w:space="0" w:color="auto"/>
            <w:left w:val="none" w:sz="0" w:space="0" w:color="auto"/>
            <w:bottom w:val="none" w:sz="0" w:space="0" w:color="auto"/>
            <w:right w:val="none" w:sz="0" w:space="0" w:color="auto"/>
          </w:divBdr>
        </w:div>
        <w:div w:id="1352990786">
          <w:marLeft w:val="0"/>
          <w:marRight w:val="0"/>
          <w:marTop w:val="0"/>
          <w:marBottom w:val="0"/>
          <w:divBdr>
            <w:top w:val="none" w:sz="0" w:space="0" w:color="auto"/>
            <w:left w:val="none" w:sz="0" w:space="0" w:color="auto"/>
            <w:bottom w:val="none" w:sz="0" w:space="0" w:color="auto"/>
            <w:right w:val="none" w:sz="0" w:space="0" w:color="auto"/>
          </w:divBdr>
        </w:div>
        <w:div w:id="1355810021">
          <w:marLeft w:val="0"/>
          <w:marRight w:val="0"/>
          <w:marTop w:val="0"/>
          <w:marBottom w:val="0"/>
          <w:divBdr>
            <w:top w:val="none" w:sz="0" w:space="0" w:color="auto"/>
            <w:left w:val="none" w:sz="0" w:space="0" w:color="auto"/>
            <w:bottom w:val="none" w:sz="0" w:space="0" w:color="auto"/>
            <w:right w:val="none" w:sz="0" w:space="0" w:color="auto"/>
          </w:divBdr>
        </w:div>
        <w:div w:id="1447772350">
          <w:marLeft w:val="0"/>
          <w:marRight w:val="0"/>
          <w:marTop w:val="0"/>
          <w:marBottom w:val="0"/>
          <w:divBdr>
            <w:top w:val="none" w:sz="0" w:space="0" w:color="auto"/>
            <w:left w:val="none" w:sz="0" w:space="0" w:color="auto"/>
            <w:bottom w:val="none" w:sz="0" w:space="0" w:color="auto"/>
            <w:right w:val="none" w:sz="0" w:space="0" w:color="auto"/>
          </w:divBdr>
        </w:div>
        <w:div w:id="1453136110">
          <w:marLeft w:val="0"/>
          <w:marRight w:val="0"/>
          <w:marTop w:val="0"/>
          <w:marBottom w:val="0"/>
          <w:divBdr>
            <w:top w:val="none" w:sz="0" w:space="0" w:color="auto"/>
            <w:left w:val="none" w:sz="0" w:space="0" w:color="auto"/>
            <w:bottom w:val="none" w:sz="0" w:space="0" w:color="auto"/>
            <w:right w:val="none" w:sz="0" w:space="0" w:color="auto"/>
          </w:divBdr>
        </w:div>
        <w:div w:id="1454789510">
          <w:marLeft w:val="0"/>
          <w:marRight w:val="0"/>
          <w:marTop w:val="0"/>
          <w:marBottom w:val="0"/>
          <w:divBdr>
            <w:top w:val="none" w:sz="0" w:space="0" w:color="auto"/>
            <w:left w:val="none" w:sz="0" w:space="0" w:color="auto"/>
            <w:bottom w:val="none" w:sz="0" w:space="0" w:color="auto"/>
            <w:right w:val="none" w:sz="0" w:space="0" w:color="auto"/>
          </w:divBdr>
        </w:div>
        <w:div w:id="1484391543">
          <w:marLeft w:val="0"/>
          <w:marRight w:val="0"/>
          <w:marTop w:val="0"/>
          <w:marBottom w:val="0"/>
          <w:divBdr>
            <w:top w:val="none" w:sz="0" w:space="0" w:color="auto"/>
            <w:left w:val="none" w:sz="0" w:space="0" w:color="auto"/>
            <w:bottom w:val="none" w:sz="0" w:space="0" w:color="auto"/>
            <w:right w:val="none" w:sz="0" w:space="0" w:color="auto"/>
          </w:divBdr>
        </w:div>
        <w:div w:id="1491672737">
          <w:marLeft w:val="0"/>
          <w:marRight w:val="0"/>
          <w:marTop w:val="0"/>
          <w:marBottom w:val="0"/>
          <w:divBdr>
            <w:top w:val="none" w:sz="0" w:space="0" w:color="auto"/>
            <w:left w:val="none" w:sz="0" w:space="0" w:color="auto"/>
            <w:bottom w:val="none" w:sz="0" w:space="0" w:color="auto"/>
            <w:right w:val="none" w:sz="0" w:space="0" w:color="auto"/>
          </w:divBdr>
        </w:div>
        <w:div w:id="1517117482">
          <w:marLeft w:val="0"/>
          <w:marRight w:val="0"/>
          <w:marTop w:val="0"/>
          <w:marBottom w:val="0"/>
          <w:divBdr>
            <w:top w:val="none" w:sz="0" w:space="0" w:color="auto"/>
            <w:left w:val="none" w:sz="0" w:space="0" w:color="auto"/>
            <w:bottom w:val="none" w:sz="0" w:space="0" w:color="auto"/>
            <w:right w:val="none" w:sz="0" w:space="0" w:color="auto"/>
          </w:divBdr>
        </w:div>
        <w:div w:id="1526792641">
          <w:marLeft w:val="0"/>
          <w:marRight w:val="0"/>
          <w:marTop w:val="0"/>
          <w:marBottom w:val="0"/>
          <w:divBdr>
            <w:top w:val="none" w:sz="0" w:space="0" w:color="auto"/>
            <w:left w:val="none" w:sz="0" w:space="0" w:color="auto"/>
            <w:bottom w:val="none" w:sz="0" w:space="0" w:color="auto"/>
            <w:right w:val="none" w:sz="0" w:space="0" w:color="auto"/>
          </w:divBdr>
        </w:div>
        <w:div w:id="1541816134">
          <w:marLeft w:val="0"/>
          <w:marRight w:val="0"/>
          <w:marTop w:val="0"/>
          <w:marBottom w:val="0"/>
          <w:divBdr>
            <w:top w:val="none" w:sz="0" w:space="0" w:color="auto"/>
            <w:left w:val="none" w:sz="0" w:space="0" w:color="auto"/>
            <w:bottom w:val="none" w:sz="0" w:space="0" w:color="auto"/>
            <w:right w:val="none" w:sz="0" w:space="0" w:color="auto"/>
          </w:divBdr>
        </w:div>
        <w:div w:id="1551727928">
          <w:marLeft w:val="0"/>
          <w:marRight w:val="0"/>
          <w:marTop w:val="0"/>
          <w:marBottom w:val="0"/>
          <w:divBdr>
            <w:top w:val="none" w:sz="0" w:space="0" w:color="auto"/>
            <w:left w:val="none" w:sz="0" w:space="0" w:color="auto"/>
            <w:bottom w:val="none" w:sz="0" w:space="0" w:color="auto"/>
            <w:right w:val="none" w:sz="0" w:space="0" w:color="auto"/>
          </w:divBdr>
        </w:div>
        <w:div w:id="1559168186">
          <w:marLeft w:val="0"/>
          <w:marRight w:val="0"/>
          <w:marTop w:val="0"/>
          <w:marBottom w:val="0"/>
          <w:divBdr>
            <w:top w:val="none" w:sz="0" w:space="0" w:color="auto"/>
            <w:left w:val="none" w:sz="0" w:space="0" w:color="auto"/>
            <w:bottom w:val="none" w:sz="0" w:space="0" w:color="auto"/>
            <w:right w:val="none" w:sz="0" w:space="0" w:color="auto"/>
          </w:divBdr>
        </w:div>
        <w:div w:id="1595817545">
          <w:marLeft w:val="0"/>
          <w:marRight w:val="0"/>
          <w:marTop w:val="0"/>
          <w:marBottom w:val="0"/>
          <w:divBdr>
            <w:top w:val="none" w:sz="0" w:space="0" w:color="auto"/>
            <w:left w:val="none" w:sz="0" w:space="0" w:color="auto"/>
            <w:bottom w:val="none" w:sz="0" w:space="0" w:color="auto"/>
            <w:right w:val="none" w:sz="0" w:space="0" w:color="auto"/>
          </w:divBdr>
        </w:div>
        <w:div w:id="1662612360">
          <w:marLeft w:val="0"/>
          <w:marRight w:val="0"/>
          <w:marTop w:val="0"/>
          <w:marBottom w:val="0"/>
          <w:divBdr>
            <w:top w:val="none" w:sz="0" w:space="0" w:color="auto"/>
            <w:left w:val="none" w:sz="0" w:space="0" w:color="auto"/>
            <w:bottom w:val="none" w:sz="0" w:space="0" w:color="auto"/>
            <w:right w:val="none" w:sz="0" w:space="0" w:color="auto"/>
          </w:divBdr>
        </w:div>
        <w:div w:id="1717312299">
          <w:marLeft w:val="0"/>
          <w:marRight w:val="0"/>
          <w:marTop w:val="0"/>
          <w:marBottom w:val="0"/>
          <w:divBdr>
            <w:top w:val="none" w:sz="0" w:space="0" w:color="auto"/>
            <w:left w:val="none" w:sz="0" w:space="0" w:color="auto"/>
            <w:bottom w:val="none" w:sz="0" w:space="0" w:color="auto"/>
            <w:right w:val="none" w:sz="0" w:space="0" w:color="auto"/>
          </w:divBdr>
        </w:div>
        <w:div w:id="1724864039">
          <w:marLeft w:val="0"/>
          <w:marRight w:val="0"/>
          <w:marTop w:val="0"/>
          <w:marBottom w:val="0"/>
          <w:divBdr>
            <w:top w:val="none" w:sz="0" w:space="0" w:color="auto"/>
            <w:left w:val="none" w:sz="0" w:space="0" w:color="auto"/>
            <w:bottom w:val="none" w:sz="0" w:space="0" w:color="auto"/>
            <w:right w:val="none" w:sz="0" w:space="0" w:color="auto"/>
          </w:divBdr>
        </w:div>
        <w:div w:id="1814641099">
          <w:marLeft w:val="0"/>
          <w:marRight w:val="0"/>
          <w:marTop w:val="0"/>
          <w:marBottom w:val="0"/>
          <w:divBdr>
            <w:top w:val="none" w:sz="0" w:space="0" w:color="auto"/>
            <w:left w:val="none" w:sz="0" w:space="0" w:color="auto"/>
            <w:bottom w:val="none" w:sz="0" w:space="0" w:color="auto"/>
            <w:right w:val="none" w:sz="0" w:space="0" w:color="auto"/>
          </w:divBdr>
        </w:div>
        <w:div w:id="1823112067">
          <w:marLeft w:val="0"/>
          <w:marRight w:val="0"/>
          <w:marTop w:val="0"/>
          <w:marBottom w:val="0"/>
          <w:divBdr>
            <w:top w:val="none" w:sz="0" w:space="0" w:color="auto"/>
            <w:left w:val="none" w:sz="0" w:space="0" w:color="auto"/>
            <w:bottom w:val="none" w:sz="0" w:space="0" w:color="auto"/>
            <w:right w:val="none" w:sz="0" w:space="0" w:color="auto"/>
          </w:divBdr>
        </w:div>
        <w:div w:id="1896505024">
          <w:marLeft w:val="0"/>
          <w:marRight w:val="0"/>
          <w:marTop w:val="0"/>
          <w:marBottom w:val="0"/>
          <w:divBdr>
            <w:top w:val="none" w:sz="0" w:space="0" w:color="auto"/>
            <w:left w:val="none" w:sz="0" w:space="0" w:color="auto"/>
            <w:bottom w:val="none" w:sz="0" w:space="0" w:color="auto"/>
            <w:right w:val="none" w:sz="0" w:space="0" w:color="auto"/>
          </w:divBdr>
        </w:div>
        <w:div w:id="1942181553">
          <w:marLeft w:val="0"/>
          <w:marRight w:val="0"/>
          <w:marTop w:val="0"/>
          <w:marBottom w:val="0"/>
          <w:divBdr>
            <w:top w:val="none" w:sz="0" w:space="0" w:color="auto"/>
            <w:left w:val="none" w:sz="0" w:space="0" w:color="auto"/>
            <w:bottom w:val="none" w:sz="0" w:space="0" w:color="auto"/>
            <w:right w:val="none" w:sz="0" w:space="0" w:color="auto"/>
          </w:divBdr>
        </w:div>
        <w:div w:id="1980649254">
          <w:marLeft w:val="0"/>
          <w:marRight w:val="0"/>
          <w:marTop w:val="0"/>
          <w:marBottom w:val="0"/>
          <w:divBdr>
            <w:top w:val="none" w:sz="0" w:space="0" w:color="auto"/>
            <w:left w:val="none" w:sz="0" w:space="0" w:color="auto"/>
            <w:bottom w:val="none" w:sz="0" w:space="0" w:color="auto"/>
            <w:right w:val="none" w:sz="0" w:space="0" w:color="auto"/>
          </w:divBdr>
        </w:div>
        <w:div w:id="2032489911">
          <w:marLeft w:val="0"/>
          <w:marRight w:val="0"/>
          <w:marTop w:val="0"/>
          <w:marBottom w:val="0"/>
          <w:divBdr>
            <w:top w:val="none" w:sz="0" w:space="0" w:color="auto"/>
            <w:left w:val="none" w:sz="0" w:space="0" w:color="auto"/>
            <w:bottom w:val="none" w:sz="0" w:space="0" w:color="auto"/>
            <w:right w:val="none" w:sz="0" w:space="0" w:color="auto"/>
          </w:divBdr>
        </w:div>
        <w:div w:id="2111511900">
          <w:marLeft w:val="0"/>
          <w:marRight w:val="0"/>
          <w:marTop w:val="0"/>
          <w:marBottom w:val="0"/>
          <w:divBdr>
            <w:top w:val="none" w:sz="0" w:space="0" w:color="auto"/>
            <w:left w:val="none" w:sz="0" w:space="0" w:color="auto"/>
            <w:bottom w:val="none" w:sz="0" w:space="0" w:color="auto"/>
            <w:right w:val="none" w:sz="0" w:space="0" w:color="auto"/>
          </w:divBdr>
        </w:div>
        <w:div w:id="2118671631">
          <w:marLeft w:val="0"/>
          <w:marRight w:val="0"/>
          <w:marTop w:val="0"/>
          <w:marBottom w:val="0"/>
          <w:divBdr>
            <w:top w:val="none" w:sz="0" w:space="0" w:color="auto"/>
            <w:left w:val="none" w:sz="0" w:space="0" w:color="auto"/>
            <w:bottom w:val="none" w:sz="0" w:space="0" w:color="auto"/>
            <w:right w:val="none" w:sz="0" w:space="0" w:color="auto"/>
          </w:divBdr>
        </w:div>
      </w:divsChild>
    </w:div>
    <w:div w:id="1741564372">
      <w:bodyDiv w:val="1"/>
      <w:marLeft w:val="0"/>
      <w:marRight w:val="0"/>
      <w:marTop w:val="0"/>
      <w:marBottom w:val="0"/>
      <w:divBdr>
        <w:top w:val="none" w:sz="0" w:space="0" w:color="auto"/>
        <w:left w:val="none" w:sz="0" w:space="0" w:color="auto"/>
        <w:bottom w:val="none" w:sz="0" w:space="0" w:color="auto"/>
        <w:right w:val="none" w:sz="0" w:space="0" w:color="auto"/>
      </w:divBdr>
      <w:divsChild>
        <w:div w:id="2014213291">
          <w:marLeft w:val="0"/>
          <w:marRight w:val="0"/>
          <w:marTop w:val="0"/>
          <w:marBottom w:val="0"/>
          <w:divBdr>
            <w:top w:val="none" w:sz="0" w:space="0" w:color="auto"/>
            <w:left w:val="none" w:sz="0" w:space="0" w:color="auto"/>
            <w:bottom w:val="none" w:sz="0" w:space="0" w:color="auto"/>
            <w:right w:val="none" w:sz="0" w:space="0" w:color="auto"/>
          </w:divBdr>
          <w:divsChild>
            <w:div w:id="68486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1054">
      <w:bodyDiv w:val="1"/>
      <w:marLeft w:val="0"/>
      <w:marRight w:val="0"/>
      <w:marTop w:val="0"/>
      <w:marBottom w:val="0"/>
      <w:divBdr>
        <w:top w:val="none" w:sz="0" w:space="0" w:color="auto"/>
        <w:left w:val="none" w:sz="0" w:space="0" w:color="auto"/>
        <w:bottom w:val="none" w:sz="0" w:space="0" w:color="auto"/>
        <w:right w:val="none" w:sz="0" w:space="0" w:color="auto"/>
      </w:divBdr>
    </w:div>
    <w:div w:id="1799180390">
      <w:bodyDiv w:val="1"/>
      <w:marLeft w:val="0"/>
      <w:marRight w:val="0"/>
      <w:marTop w:val="0"/>
      <w:marBottom w:val="0"/>
      <w:divBdr>
        <w:top w:val="none" w:sz="0" w:space="0" w:color="auto"/>
        <w:left w:val="none" w:sz="0" w:space="0" w:color="auto"/>
        <w:bottom w:val="none" w:sz="0" w:space="0" w:color="auto"/>
        <w:right w:val="none" w:sz="0" w:space="0" w:color="auto"/>
      </w:divBdr>
      <w:divsChild>
        <w:div w:id="531386562">
          <w:marLeft w:val="0"/>
          <w:marRight w:val="0"/>
          <w:marTop w:val="0"/>
          <w:marBottom w:val="0"/>
          <w:divBdr>
            <w:top w:val="none" w:sz="0" w:space="0" w:color="auto"/>
            <w:left w:val="none" w:sz="0" w:space="0" w:color="auto"/>
            <w:bottom w:val="none" w:sz="0" w:space="0" w:color="auto"/>
            <w:right w:val="none" w:sz="0" w:space="0" w:color="auto"/>
          </w:divBdr>
        </w:div>
        <w:div w:id="970090116">
          <w:marLeft w:val="0"/>
          <w:marRight w:val="0"/>
          <w:marTop w:val="0"/>
          <w:marBottom w:val="0"/>
          <w:divBdr>
            <w:top w:val="none" w:sz="0" w:space="0" w:color="auto"/>
            <w:left w:val="none" w:sz="0" w:space="0" w:color="auto"/>
            <w:bottom w:val="none" w:sz="0" w:space="0" w:color="auto"/>
            <w:right w:val="none" w:sz="0" w:space="0" w:color="auto"/>
          </w:divBdr>
        </w:div>
        <w:div w:id="1244293965">
          <w:marLeft w:val="0"/>
          <w:marRight w:val="0"/>
          <w:marTop w:val="0"/>
          <w:marBottom w:val="0"/>
          <w:divBdr>
            <w:top w:val="none" w:sz="0" w:space="0" w:color="auto"/>
            <w:left w:val="none" w:sz="0" w:space="0" w:color="auto"/>
            <w:bottom w:val="none" w:sz="0" w:space="0" w:color="auto"/>
            <w:right w:val="none" w:sz="0" w:space="0" w:color="auto"/>
          </w:divBdr>
        </w:div>
        <w:div w:id="1635214568">
          <w:marLeft w:val="0"/>
          <w:marRight w:val="0"/>
          <w:marTop w:val="0"/>
          <w:marBottom w:val="0"/>
          <w:divBdr>
            <w:top w:val="none" w:sz="0" w:space="0" w:color="auto"/>
            <w:left w:val="none" w:sz="0" w:space="0" w:color="auto"/>
            <w:bottom w:val="none" w:sz="0" w:space="0" w:color="auto"/>
            <w:right w:val="none" w:sz="0" w:space="0" w:color="auto"/>
          </w:divBdr>
        </w:div>
      </w:divsChild>
    </w:div>
    <w:div w:id="1802310048">
      <w:bodyDiv w:val="1"/>
      <w:marLeft w:val="0"/>
      <w:marRight w:val="0"/>
      <w:marTop w:val="0"/>
      <w:marBottom w:val="0"/>
      <w:divBdr>
        <w:top w:val="none" w:sz="0" w:space="0" w:color="auto"/>
        <w:left w:val="none" w:sz="0" w:space="0" w:color="auto"/>
        <w:bottom w:val="none" w:sz="0" w:space="0" w:color="auto"/>
        <w:right w:val="none" w:sz="0" w:space="0" w:color="auto"/>
      </w:divBdr>
      <w:divsChild>
        <w:div w:id="397634921">
          <w:marLeft w:val="0"/>
          <w:marRight w:val="0"/>
          <w:marTop w:val="0"/>
          <w:marBottom w:val="0"/>
          <w:divBdr>
            <w:top w:val="none" w:sz="0" w:space="0" w:color="auto"/>
            <w:left w:val="none" w:sz="0" w:space="0" w:color="auto"/>
            <w:bottom w:val="none" w:sz="0" w:space="0" w:color="auto"/>
            <w:right w:val="none" w:sz="0" w:space="0" w:color="auto"/>
          </w:divBdr>
          <w:divsChild>
            <w:div w:id="58600572">
              <w:marLeft w:val="0"/>
              <w:marRight w:val="0"/>
              <w:marTop w:val="0"/>
              <w:marBottom w:val="0"/>
              <w:divBdr>
                <w:top w:val="none" w:sz="0" w:space="0" w:color="auto"/>
                <w:left w:val="none" w:sz="0" w:space="0" w:color="auto"/>
                <w:bottom w:val="none" w:sz="0" w:space="0" w:color="auto"/>
                <w:right w:val="none" w:sz="0" w:space="0" w:color="auto"/>
              </w:divBdr>
            </w:div>
            <w:div w:id="520898690">
              <w:marLeft w:val="0"/>
              <w:marRight w:val="0"/>
              <w:marTop w:val="0"/>
              <w:marBottom w:val="0"/>
              <w:divBdr>
                <w:top w:val="none" w:sz="0" w:space="0" w:color="auto"/>
                <w:left w:val="none" w:sz="0" w:space="0" w:color="auto"/>
                <w:bottom w:val="none" w:sz="0" w:space="0" w:color="auto"/>
                <w:right w:val="none" w:sz="0" w:space="0" w:color="auto"/>
              </w:divBdr>
            </w:div>
            <w:div w:id="799373901">
              <w:marLeft w:val="0"/>
              <w:marRight w:val="0"/>
              <w:marTop w:val="0"/>
              <w:marBottom w:val="0"/>
              <w:divBdr>
                <w:top w:val="none" w:sz="0" w:space="0" w:color="auto"/>
                <w:left w:val="none" w:sz="0" w:space="0" w:color="auto"/>
                <w:bottom w:val="none" w:sz="0" w:space="0" w:color="auto"/>
                <w:right w:val="none" w:sz="0" w:space="0" w:color="auto"/>
              </w:divBdr>
            </w:div>
            <w:div w:id="19920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1904">
      <w:bodyDiv w:val="1"/>
      <w:marLeft w:val="0"/>
      <w:marRight w:val="0"/>
      <w:marTop w:val="0"/>
      <w:marBottom w:val="0"/>
      <w:divBdr>
        <w:top w:val="none" w:sz="0" w:space="0" w:color="auto"/>
        <w:left w:val="none" w:sz="0" w:space="0" w:color="auto"/>
        <w:bottom w:val="none" w:sz="0" w:space="0" w:color="auto"/>
        <w:right w:val="none" w:sz="0" w:space="0" w:color="auto"/>
      </w:divBdr>
      <w:divsChild>
        <w:div w:id="1200269">
          <w:marLeft w:val="0"/>
          <w:marRight w:val="0"/>
          <w:marTop w:val="0"/>
          <w:marBottom w:val="0"/>
          <w:divBdr>
            <w:top w:val="none" w:sz="0" w:space="0" w:color="auto"/>
            <w:left w:val="none" w:sz="0" w:space="0" w:color="auto"/>
            <w:bottom w:val="none" w:sz="0" w:space="0" w:color="auto"/>
            <w:right w:val="none" w:sz="0" w:space="0" w:color="auto"/>
          </w:divBdr>
        </w:div>
        <w:div w:id="9570430">
          <w:marLeft w:val="0"/>
          <w:marRight w:val="0"/>
          <w:marTop w:val="0"/>
          <w:marBottom w:val="0"/>
          <w:divBdr>
            <w:top w:val="none" w:sz="0" w:space="0" w:color="auto"/>
            <w:left w:val="none" w:sz="0" w:space="0" w:color="auto"/>
            <w:bottom w:val="none" w:sz="0" w:space="0" w:color="auto"/>
            <w:right w:val="none" w:sz="0" w:space="0" w:color="auto"/>
          </w:divBdr>
        </w:div>
        <w:div w:id="14696009">
          <w:marLeft w:val="0"/>
          <w:marRight w:val="0"/>
          <w:marTop w:val="0"/>
          <w:marBottom w:val="0"/>
          <w:divBdr>
            <w:top w:val="none" w:sz="0" w:space="0" w:color="auto"/>
            <w:left w:val="none" w:sz="0" w:space="0" w:color="auto"/>
            <w:bottom w:val="none" w:sz="0" w:space="0" w:color="auto"/>
            <w:right w:val="none" w:sz="0" w:space="0" w:color="auto"/>
          </w:divBdr>
        </w:div>
        <w:div w:id="15694440">
          <w:marLeft w:val="0"/>
          <w:marRight w:val="0"/>
          <w:marTop w:val="0"/>
          <w:marBottom w:val="0"/>
          <w:divBdr>
            <w:top w:val="none" w:sz="0" w:space="0" w:color="auto"/>
            <w:left w:val="none" w:sz="0" w:space="0" w:color="auto"/>
            <w:bottom w:val="none" w:sz="0" w:space="0" w:color="auto"/>
            <w:right w:val="none" w:sz="0" w:space="0" w:color="auto"/>
          </w:divBdr>
        </w:div>
        <w:div w:id="18508882">
          <w:marLeft w:val="0"/>
          <w:marRight w:val="0"/>
          <w:marTop w:val="0"/>
          <w:marBottom w:val="0"/>
          <w:divBdr>
            <w:top w:val="none" w:sz="0" w:space="0" w:color="auto"/>
            <w:left w:val="none" w:sz="0" w:space="0" w:color="auto"/>
            <w:bottom w:val="none" w:sz="0" w:space="0" w:color="auto"/>
            <w:right w:val="none" w:sz="0" w:space="0" w:color="auto"/>
          </w:divBdr>
        </w:div>
        <w:div w:id="39863653">
          <w:marLeft w:val="0"/>
          <w:marRight w:val="0"/>
          <w:marTop w:val="0"/>
          <w:marBottom w:val="0"/>
          <w:divBdr>
            <w:top w:val="none" w:sz="0" w:space="0" w:color="auto"/>
            <w:left w:val="none" w:sz="0" w:space="0" w:color="auto"/>
            <w:bottom w:val="none" w:sz="0" w:space="0" w:color="auto"/>
            <w:right w:val="none" w:sz="0" w:space="0" w:color="auto"/>
          </w:divBdr>
        </w:div>
        <w:div w:id="53041395">
          <w:marLeft w:val="0"/>
          <w:marRight w:val="0"/>
          <w:marTop w:val="0"/>
          <w:marBottom w:val="0"/>
          <w:divBdr>
            <w:top w:val="none" w:sz="0" w:space="0" w:color="auto"/>
            <w:left w:val="none" w:sz="0" w:space="0" w:color="auto"/>
            <w:bottom w:val="none" w:sz="0" w:space="0" w:color="auto"/>
            <w:right w:val="none" w:sz="0" w:space="0" w:color="auto"/>
          </w:divBdr>
        </w:div>
        <w:div w:id="70006526">
          <w:marLeft w:val="0"/>
          <w:marRight w:val="0"/>
          <w:marTop w:val="0"/>
          <w:marBottom w:val="0"/>
          <w:divBdr>
            <w:top w:val="none" w:sz="0" w:space="0" w:color="auto"/>
            <w:left w:val="none" w:sz="0" w:space="0" w:color="auto"/>
            <w:bottom w:val="none" w:sz="0" w:space="0" w:color="auto"/>
            <w:right w:val="none" w:sz="0" w:space="0" w:color="auto"/>
          </w:divBdr>
        </w:div>
        <w:div w:id="75903739">
          <w:marLeft w:val="0"/>
          <w:marRight w:val="0"/>
          <w:marTop w:val="0"/>
          <w:marBottom w:val="0"/>
          <w:divBdr>
            <w:top w:val="none" w:sz="0" w:space="0" w:color="auto"/>
            <w:left w:val="none" w:sz="0" w:space="0" w:color="auto"/>
            <w:bottom w:val="none" w:sz="0" w:space="0" w:color="auto"/>
            <w:right w:val="none" w:sz="0" w:space="0" w:color="auto"/>
          </w:divBdr>
        </w:div>
        <w:div w:id="78062459">
          <w:marLeft w:val="0"/>
          <w:marRight w:val="0"/>
          <w:marTop w:val="0"/>
          <w:marBottom w:val="0"/>
          <w:divBdr>
            <w:top w:val="none" w:sz="0" w:space="0" w:color="auto"/>
            <w:left w:val="none" w:sz="0" w:space="0" w:color="auto"/>
            <w:bottom w:val="none" w:sz="0" w:space="0" w:color="auto"/>
            <w:right w:val="none" w:sz="0" w:space="0" w:color="auto"/>
          </w:divBdr>
        </w:div>
        <w:div w:id="80686817">
          <w:marLeft w:val="0"/>
          <w:marRight w:val="0"/>
          <w:marTop w:val="0"/>
          <w:marBottom w:val="0"/>
          <w:divBdr>
            <w:top w:val="none" w:sz="0" w:space="0" w:color="auto"/>
            <w:left w:val="none" w:sz="0" w:space="0" w:color="auto"/>
            <w:bottom w:val="none" w:sz="0" w:space="0" w:color="auto"/>
            <w:right w:val="none" w:sz="0" w:space="0" w:color="auto"/>
          </w:divBdr>
        </w:div>
        <w:div w:id="80760702">
          <w:marLeft w:val="0"/>
          <w:marRight w:val="0"/>
          <w:marTop w:val="0"/>
          <w:marBottom w:val="0"/>
          <w:divBdr>
            <w:top w:val="none" w:sz="0" w:space="0" w:color="auto"/>
            <w:left w:val="none" w:sz="0" w:space="0" w:color="auto"/>
            <w:bottom w:val="none" w:sz="0" w:space="0" w:color="auto"/>
            <w:right w:val="none" w:sz="0" w:space="0" w:color="auto"/>
          </w:divBdr>
        </w:div>
        <w:div w:id="87701737">
          <w:marLeft w:val="0"/>
          <w:marRight w:val="0"/>
          <w:marTop w:val="0"/>
          <w:marBottom w:val="0"/>
          <w:divBdr>
            <w:top w:val="none" w:sz="0" w:space="0" w:color="auto"/>
            <w:left w:val="none" w:sz="0" w:space="0" w:color="auto"/>
            <w:bottom w:val="none" w:sz="0" w:space="0" w:color="auto"/>
            <w:right w:val="none" w:sz="0" w:space="0" w:color="auto"/>
          </w:divBdr>
        </w:div>
        <w:div w:id="97875513">
          <w:marLeft w:val="0"/>
          <w:marRight w:val="0"/>
          <w:marTop w:val="0"/>
          <w:marBottom w:val="0"/>
          <w:divBdr>
            <w:top w:val="none" w:sz="0" w:space="0" w:color="auto"/>
            <w:left w:val="none" w:sz="0" w:space="0" w:color="auto"/>
            <w:bottom w:val="none" w:sz="0" w:space="0" w:color="auto"/>
            <w:right w:val="none" w:sz="0" w:space="0" w:color="auto"/>
          </w:divBdr>
        </w:div>
        <w:div w:id="98185305">
          <w:marLeft w:val="0"/>
          <w:marRight w:val="0"/>
          <w:marTop w:val="0"/>
          <w:marBottom w:val="0"/>
          <w:divBdr>
            <w:top w:val="none" w:sz="0" w:space="0" w:color="auto"/>
            <w:left w:val="none" w:sz="0" w:space="0" w:color="auto"/>
            <w:bottom w:val="none" w:sz="0" w:space="0" w:color="auto"/>
            <w:right w:val="none" w:sz="0" w:space="0" w:color="auto"/>
          </w:divBdr>
        </w:div>
        <w:div w:id="99031217">
          <w:marLeft w:val="0"/>
          <w:marRight w:val="0"/>
          <w:marTop w:val="0"/>
          <w:marBottom w:val="0"/>
          <w:divBdr>
            <w:top w:val="none" w:sz="0" w:space="0" w:color="auto"/>
            <w:left w:val="none" w:sz="0" w:space="0" w:color="auto"/>
            <w:bottom w:val="none" w:sz="0" w:space="0" w:color="auto"/>
            <w:right w:val="none" w:sz="0" w:space="0" w:color="auto"/>
          </w:divBdr>
        </w:div>
        <w:div w:id="107241395">
          <w:marLeft w:val="0"/>
          <w:marRight w:val="0"/>
          <w:marTop w:val="0"/>
          <w:marBottom w:val="0"/>
          <w:divBdr>
            <w:top w:val="none" w:sz="0" w:space="0" w:color="auto"/>
            <w:left w:val="none" w:sz="0" w:space="0" w:color="auto"/>
            <w:bottom w:val="none" w:sz="0" w:space="0" w:color="auto"/>
            <w:right w:val="none" w:sz="0" w:space="0" w:color="auto"/>
          </w:divBdr>
        </w:div>
        <w:div w:id="118036628">
          <w:marLeft w:val="0"/>
          <w:marRight w:val="0"/>
          <w:marTop w:val="0"/>
          <w:marBottom w:val="0"/>
          <w:divBdr>
            <w:top w:val="none" w:sz="0" w:space="0" w:color="auto"/>
            <w:left w:val="none" w:sz="0" w:space="0" w:color="auto"/>
            <w:bottom w:val="none" w:sz="0" w:space="0" w:color="auto"/>
            <w:right w:val="none" w:sz="0" w:space="0" w:color="auto"/>
          </w:divBdr>
        </w:div>
        <w:div w:id="135875973">
          <w:marLeft w:val="0"/>
          <w:marRight w:val="0"/>
          <w:marTop w:val="0"/>
          <w:marBottom w:val="0"/>
          <w:divBdr>
            <w:top w:val="none" w:sz="0" w:space="0" w:color="auto"/>
            <w:left w:val="none" w:sz="0" w:space="0" w:color="auto"/>
            <w:bottom w:val="none" w:sz="0" w:space="0" w:color="auto"/>
            <w:right w:val="none" w:sz="0" w:space="0" w:color="auto"/>
          </w:divBdr>
        </w:div>
        <w:div w:id="136143469">
          <w:marLeft w:val="0"/>
          <w:marRight w:val="0"/>
          <w:marTop w:val="0"/>
          <w:marBottom w:val="0"/>
          <w:divBdr>
            <w:top w:val="none" w:sz="0" w:space="0" w:color="auto"/>
            <w:left w:val="none" w:sz="0" w:space="0" w:color="auto"/>
            <w:bottom w:val="none" w:sz="0" w:space="0" w:color="auto"/>
            <w:right w:val="none" w:sz="0" w:space="0" w:color="auto"/>
          </w:divBdr>
        </w:div>
        <w:div w:id="145560184">
          <w:marLeft w:val="0"/>
          <w:marRight w:val="0"/>
          <w:marTop w:val="0"/>
          <w:marBottom w:val="0"/>
          <w:divBdr>
            <w:top w:val="none" w:sz="0" w:space="0" w:color="auto"/>
            <w:left w:val="none" w:sz="0" w:space="0" w:color="auto"/>
            <w:bottom w:val="none" w:sz="0" w:space="0" w:color="auto"/>
            <w:right w:val="none" w:sz="0" w:space="0" w:color="auto"/>
          </w:divBdr>
        </w:div>
        <w:div w:id="153106591">
          <w:marLeft w:val="0"/>
          <w:marRight w:val="0"/>
          <w:marTop w:val="0"/>
          <w:marBottom w:val="0"/>
          <w:divBdr>
            <w:top w:val="none" w:sz="0" w:space="0" w:color="auto"/>
            <w:left w:val="none" w:sz="0" w:space="0" w:color="auto"/>
            <w:bottom w:val="none" w:sz="0" w:space="0" w:color="auto"/>
            <w:right w:val="none" w:sz="0" w:space="0" w:color="auto"/>
          </w:divBdr>
        </w:div>
        <w:div w:id="154298614">
          <w:marLeft w:val="0"/>
          <w:marRight w:val="0"/>
          <w:marTop w:val="0"/>
          <w:marBottom w:val="0"/>
          <w:divBdr>
            <w:top w:val="none" w:sz="0" w:space="0" w:color="auto"/>
            <w:left w:val="none" w:sz="0" w:space="0" w:color="auto"/>
            <w:bottom w:val="none" w:sz="0" w:space="0" w:color="auto"/>
            <w:right w:val="none" w:sz="0" w:space="0" w:color="auto"/>
          </w:divBdr>
        </w:div>
        <w:div w:id="177237329">
          <w:marLeft w:val="0"/>
          <w:marRight w:val="0"/>
          <w:marTop w:val="0"/>
          <w:marBottom w:val="0"/>
          <w:divBdr>
            <w:top w:val="none" w:sz="0" w:space="0" w:color="auto"/>
            <w:left w:val="none" w:sz="0" w:space="0" w:color="auto"/>
            <w:bottom w:val="none" w:sz="0" w:space="0" w:color="auto"/>
            <w:right w:val="none" w:sz="0" w:space="0" w:color="auto"/>
          </w:divBdr>
        </w:div>
        <w:div w:id="179392981">
          <w:marLeft w:val="0"/>
          <w:marRight w:val="0"/>
          <w:marTop w:val="0"/>
          <w:marBottom w:val="0"/>
          <w:divBdr>
            <w:top w:val="none" w:sz="0" w:space="0" w:color="auto"/>
            <w:left w:val="none" w:sz="0" w:space="0" w:color="auto"/>
            <w:bottom w:val="none" w:sz="0" w:space="0" w:color="auto"/>
            <w:right w:val="none" w:sz="0" w:space="0" w:color="auto"/>
          </w:divBdr>
        </w:div>
        <w:div w:id="185102008">
          <w:marLeft w:val="0"/>
          <w:marRight w:val="0"/>
          <w:marTop w:val="0"/>
          <w:marBottom w:val="0"/>
          <w:divBdr>
            <w:top w:val="none" w:sz="0" w:space="0" w:color="auto"/>
            <w:left w:val="none" w:sz="0" w:space="0" w:color="auto"/>
            <w:bottom w:val="none" w:sz="0" w:space="0" w:color="auto"/>
            <w:right w:val="none" w:sz="0" w:space="0" w:color="auto"/>
          </w:divBdr>
        </w:div>
        <w:div w:id="187530528">
          <w:marLeft w:val="0"/>
          <w:marRight w:val="0"/>
          <w:marTop w:val="0"/>
          <w:marBottom w:val="0"/>
          <w:divBdr>
            <w:top w:val="none" w:sz="0" w:space="0" w:color="auto"/>
            <w:left w:val="none" w:sz="0" w:space="0" w:color="auto"/>
            <w:bottom w:val="none" w:sz="0" w:space="0" w:color="auto"/>
            <w:right w:val="none" w:sz="0" w:space="0" w:color="auto"/>
          </w:divBdr>
        </w:div>
        <w:div w:id="191769711">
          <w:marLeft w:val="0"/>
          <w:marRight w:val="0"/>
          <w:marTop w:val="0"/>
          <w:marBottom w:val="0"/>
          <w:divBdr>
            <w:top w:val="none" w:sz="0" w:space="0" w:color="auto"/>
            <w:left w:val="none" w:sz="0" w:space="0" w:color="auto"/>
            <w:bottom w:val="none" w:sz="0" w:space="0" w:color="auto"/>
            <w:right w:val="none" w:sz="0" w:space="0" w:color="auto"/>
          </w:divBdr>
        </w:div>
        <w:div w:id="194343805">
          <w:marLeft w:val="0"/>
          <w:marRight w:val="0"/>
          <w:marTop w:val="0"/>
          <w:marBottom w:val="0"/>
          <w:divBdr>
            <w:top w:val="none" w:sz="0" w:space="0" w:color="auto"/>
            <w:left w:val="none" w:sz="0" w:space="0" w:color="auto"/>
            <w:bottom w:val="none" w:sz="0" w:space="0" w:color="auto"/>
            <w:right w:val="none" w:sz="0" w:space="0" w:color="auto"/>
          </w:divBdr>
        </w:div>
        <w:div w:id="202985886">
          <w:marLeft w:val="0"/>
          <w:marRight w:val="0"/>
          <w:marTop w:val="0"/>
          <w:marBottom w:val="0"/>
          <w:divBdr>
            <w:top w:val="none" w:sz="0" w:space="0" w:color="auto"/>
            <w:left w:val="none" w:sz="0" w:space="0" w:color="auto"/>
            <w:bottom w:val="none" w:sz="0" w:space="0" w:color="auto"/>
            <w:right w:val="none" w:sz="0" w:space="0" w:color="auto"/>
          </w:divBdr>
        </w:div>
        <w:div w:id="206458570">
          <w:marLeft w:val="0"/>
          <w:marRight w:val="0"/>
          <w:marTop w:val="0"/>
          <w:marBottom w:val="0"/>
          <w:divBdr>
            <w:top w:val="none" w:sz="0" w:space="0" w:color="auto"/>
            <w:left w:val="none" w:sz="0" w:space="0" w:color="auto"/>
            <w:bottom w:val="none" w:sz="0" w:space="0" w:color="auto"/>
            <w:right w:val="none" w:sz="0" w:space="0" w:color="auto"/>
          </w:divBdr>
        </w:div>
        <w:div w:id="252202328">
          <w:marLeft w:val="0"/>
          <w:marRight w:val="0"/>
          <w:marTop w:val="0"/>
          <w:marBottom w:val="0"/>
          <w:divBdr>
            <w:top w:val="none" w:sz="0" w:space="0" w:color="auto"/>
            <w:left w:val="none" w:sz="0" w:space="0" w:color="auto"/>
            <w:bottom w:val="none" w:sz="0" w:space="0" w:color="auto"/>
            <w:right w:val="none" w:sz="0" w:space="0" w:color="auto"/>
          </w:divBdr>
        </w:div>
        <w:div w:id="260333562">
          <w:marLeft w:val="0"/>
          <w:marRight w:val="0"/>
          <w:marTop w:val="0"/>
          <w:marBottom w:val="0"/>
          <w:divBdr>
            <w:top w:val="none" w:sz="0" w:space="0" w:color="auto"/>
            <w:left w:val="none" w:sz="0" w:space="0" w:color="auto"/>
            <w:bottom w:val="none" w:sz="0" w:space="0" w:color="auto"/>
            <w:right w:val="none" w:sz="0" w:space="0" w:color="auto"/>
          </w:divBdr>
        </w:div>
        <w:div w:id="260339054">
          <w:marLeft w:val="0"/>
          <w:marRight w:val="0"/>
          <w:marTop w:val="0"/>
          <w:marBottom w:val="0"/>
          <w:divBdr>
            <w:top w:val="none" w:sz="0" w:space="0" w:color="auto"/>
            <w:left w:val="none" w:sz="0" w:space="0" w:color="auto"/>
            <w:bottom w:val="none" w:sz="0" w:space="0" w:color="auto"/>
            <w:right w:val="none" w:sz="0" w:space="0" w:color="auto"/>
          </w:divBdr>
        </w:div>
        <w:div w:id="268977634">
          <w:marLeft w:val="0"/>
          <w:marRight w:val="0"/>
          <w:marTop w:val="0"/>
          <w:marBottom w:val="0"/>
          <w:divBdr>
            <w:top w:val="none" w:sz="0" w:space="0" w:color="auto"/>
            <w:left w:val="none" w:sz="0" w:space="0" w:color="auto"/>
            <w:bottom w:val="none" w:sz="0" w:space="0" w:color="auto"/>
            <w:right w:val="none" w:sz="0" w:space="0" w:color="auto"/>
          </w:divBdr>
        </w:div>
        <w:div w:id="272639117">
          <w:marLeft w:val="0"/>
          <w:marRight w:val="0"/>
          <w:marTop w:val="0"/>
          <w:marBottom w:val="0"/>
          <w:divBdr>
            <w:top w:val="none" w:sz="0" w:space="0" w:color="auto"/>
            <w:left w:val="none" w:sz="0" w:space="0" w:color="auto"/>
            <w:bottom w:val="none" w:sz="0" w:space="0" w:color="auto"/>
            <w:right w:val="none" w:sz="0" w:space="0" w:color="auto"/>
          </w:divBdr>
        </w:div>
        <w:div w:id="278223889">
          <w:marLeft w:val="0"/>
          <w:marRight w:val="0"/>
          <w:marTop w:val="0"/>
          <w:marBottom w:val="0"/>
          <w:divBdr>
            <w:top w:val="none" w:sz="0" w:space="0" w:color="auto"/>
            <w:left w:val="none" w:sz="0" w:space="0" w:color="auto"/>
            <w:bottom w:val="none" w:sz="0" w:space="0" w:color="auto"/>
            <w:right w:val="none" w:sz="0" w:space="0" w:color="auto"/>
          </w:divBdr>
        </w:div>
        <w:div w:id="280383111">
          <w:marLeft w:val="0"/>
          <w:marRight w:val="0"/>
          <w:marTop w:val="0"/>
          <w:marBottom w:val="0"/>
          <w:divBdr>
            <w:top w:val="none" w:sz="0" w:space="0" w:color="auto"/>
            <w:left w:val="none" w:sz="0" w:space="0" w:color="auto"/>
            <w:bottom w:val="none" w:sz="0" w:space="0" w:color="auto"/>
            <w:right w:val="none" w:sz="0" w:space="0" w:color="auto"/>
          </w:divBdr>
        </w:div>
        <w:div w:id="287132173">
          <w:marLeft w:val="0"/>
          <w:marRight w:val="0"/>
          <w:marTop w:val="0"/>
          <w:marBottom w:val="0"/>
          <w:divBdr>
            <w:top w:val="none" w:sz="0" w:space="0" w:color="auto"/>
            <w:left w:val="none" w:sz="0" w:space="0" w:color="auto"/>
            <w:bottom w:val="none" w:sz="0" w:space="0" w:color="auto"/>
            <w:right w:val="none" w:sz="0" w:space="0" w:color="auto"/>
          </w:divBdr>
        </w:div>
        <w:div w:id="289089256">
          <w:marLeft w:val="0"/>
          <w:marRight w:val="0"/>
          <w:marTop w:val="0"/>
          <w:marBottom w:val="0"/>
          <w:divBdr>
            <w:top w:val="none" w:sz="0" w:space="0" w:color="auto"/>
            <w:left w:val="none" w:sz="0" w:space="0" w:color="auto"/>
            <w:bottom w:val="none" w:sz="0" w:space="0" w:color="auto"/>
            <w:right w:val="none" w:sz="0" w:space="0" w:color="auto"/>
          </w:divBdr>
        </w:div>
        <w:div w:id="302738606">
          <w:marLeft w:val="0"/>
          <w:marRight w:val="0"/>
          <w:marTop w:val="0"/>
          <w:marBottom w:val="0"/>
          <w:divBdr>
            <w:top w:val="none" w:sz="0" w:space="0" w:color="auto"/>
            <w:left w:val="none" w:sz="0" w:space="0" w:color="auto"/>
            <w:bottom w:val="none" w:sz="0" w:space="0" w:color="auto"/>
            <w:right w:val="none" w:sz="0" w:space="0" w:color="auto"/>
          </w:divBdr>
        </w:div>
        <w:div w:id="303896468">
          <w:marLeft w:val="0"/>
          <w:marRight w:val="0"/>
          <w:marTop w:val="0"/>
          <w:marBottom w:val="0"/>
          <w:divBdr>
            <w:top w:val="none" w:sz="0" w:space="0" w:color="auto"/>
            <w:left w:val="none" w:sz="0" w:space="0" w:color="auto"/>
            <w:bottom w:val="none" w:sz="0" w:space="0" w:color="auto"/>
            <w:right w:val="none" w:sz="0" w:space="0" w:color="auto"/>
          </w:divBdr>
        </w:div>
        <w:div w:id="306017136">
          <w:marLeft w:val="0"/>
          <w:marRight w:val="0"/>
          <w:marTop w:val="0"/>
          <w:marBottom w:val="0"/>
          <w:divBdr>
            <w:top w:val="none" w:sz="0" w:space="0" w:color="auto"/>
            <w:left w:val="none" w:sz="0" w:space="0" w:color="auto"/>
            <w:bottom w:val="none" w:sz="0" w:space="0" w:color="auto"/>
            <w:right w:val="none" w:sz="0" w:space="0" w:color="auto"/>
          </w:divBdr>
        </w:div>
        <w:div w:id="312563657">
          <w:marLeft w:val="0"/>
          <w:marRight w:val="0"/>
          <w:marTop w:val="0"/>
          <w:marBottom w:val="0"/>
          <w:divBdr>
            <w:top w:val="none" w:sz="0" w:space="0" w:color="auto"/>
            <w:left w:val="none" w:sz="0" w:space="0" w:color="auto"/>
            <w:bottom w:val="none" w:sz="0" w:space="0" w:color="auto"/>
            <w:right w:val="none" w:sz="0" w:space="0" w:color="auto"/>
          </w:divBdr>
        </w:div>
        <w:div w:id="313610570">
          <w:marLeft w:val="0"/>
          <w:marRight w:val="0"/>
          <w:marTop w:val="0"/>
          <w:marBottom w:val="0"/>
          <w:divBdr>
            <w:top w:val="none" w:sz="0" w:space="0" w:color="auto"/>
            <w:left w:val="none" w:sz="0" w:space="0" w:color="auto"/>
            <w:bottom w:val="none" w:sz="0" w:space="0" w:color="auto"/>
            <w:right w:val="none" w:sz="0" w:space="0" w:color="auto"/>
          </w:divBdr>
        </w:div>
        <w:div w:id="324288035">
          <w:marLeft w:val="0"/>
          <w:marRight w:val="0"/>
          <w:marTop w:val="0"/>
          <w:marBottom w:val="0"/>
          <w:divBdr>
            <w:top w:val="none" w:sz="0" w:space="0" w:color="auto"/>
            <w:left w:val="none" w:sz="0" w:space="0" w:color="auto"/>
            <w:bottom w:val="none" w:sz="0" w:space="0" w:color="auto"/>
            <w:right w:val="none" w:sz="0" w:space="0" w:color="auto"/>
          </w:divBdr>
        </w:div>
        <w:div w:id="325403175">
          <w:marLeft w:val="0"/>
          <w:marRight w:val="0"/>
          <w:marTop w:val="0"/>
          <w:marBottom w:val="0"/>
          <w:divBdr>
            <w:top w:val="none" w:sz="0" w:space="0" w:color="auto"/>
            <w:left w:val="none" w:sz="0" w:space="0" w:color="auto"/>
            <w:bottom w:val="none" w:sz="0" w:space="0" w:color="auto"/>
            <w:right w:val="none" w:sz="0" w:space="0" w:color="auto"/>
          </w:divBdr>
        </w:div>
        <w:div w:id="334190925">
          <w:marLeft w:val="0"/>
          <w:marRight w:val="0"/>
          <w:marTop w:val="0"/>
          <w:marBottom w:val="0"/>
          <w:divBdr>
            <w:top w:val="none" w:sz="0" w:space="0" w:color="auto"/>
            <w:left w:val="none" w:sz="0" w:space="0" w:color="auto"/>
            <w:bottom w:val="none" w:sz="0" w:space="0" w:color="auto"/>
            <w:right w:val="none" w:sz="0" w:space="0" w:color="auto"/>
          </w:divBdr>
        </w:div>
        <w:div w:id="339746445">
          <w:marLeft w:val="0"/>
          <w:marRight w:val="0"/>
          <w:marTop w:val="0"/>
          <w:marBottom w:val="0"/>
          <w:divBdr>
            <w:top w:val="none" w:sz="0" w:space="0" w:color="auto"/>
            <w:left w:val="none" w:sz="0" w:space="0" w:color="auto"/>
            <w:bottom w:val="none" w:sz="0" w:space="0" w:color="auto"/>
            <w:right w:val="none" w:sz="0" w:space="0" w:color="auto"/>
          </w:divBdr>
        </w:div>
        <w:div w:id="346717434">
          <w:marLeft w:val="0"/>
          <w:marRight w:val="0"/>
          <w:marTop w:val="0"/>
          <w:marBottom w:val="0"/>
          <w:divBdr>
            <w:top w:val="none" w:sz="0" w:space="0" w:color="auto"/>
            <w:left w:val="none" w:sz="0" w:space="0" w:color="auto"/>
            <w:bottom w:val="none" w:sz="0" w:space="0" w:color="auto"/>
            <w:right w:val="none" w:sz="0" w:space="0" w:color="auto"/>
          </w:divBdr>
        </w:div>
        <w:div w:id="347952661">
          <w:marLeft w:val="0"/>
          <w:marRight w:val="0"/>
          <w:marTop w:val="0"/>
          <w:marBottom w:val="0"/>
          <w:divBdr>
            <w:top w:val="none" w:sz="0" w:space="0" w:color="auto"/>
            <w:left w:val="none" w:sz="0" w:space="0" w:color="auto"/>
            <w:bottom w:val="none" w:sz="0" w:space="0" w:color="auto"/>
            <w:right w:val="none" w:sz="0" w:space="0" w:color="auto"/>
          </w:divBdr>
        </w:div>
        <w:div w:id="350839198">
          <w:marLeft w:val="0"/>
          <w:marRight w:val="0"/>
          <w:marTop w:val="0"/>
          <w:marBottom w:val="0"/>
          <w:divBdr>
            <w:top w:val="none" w:sz="0" w:space="0" w:color="auto"/>
            <w:left w:val="none" w:sz="0" w:space="0" w:color="auto"/>
            <w:bottom w:val="none" w:sz="0" w:space="0" w:color="auto"/>
            <w:right w:val="none" w:sz="0" w:space="0" w:color="auto"/>
          </w:divBdr>
        </w:div>
        <w:div w:id="359863871">
          <w:marLeft w:val="0"/>
          <w:marRight w:val="0"/>
          <w:marTop w:val="0"/>
          <w:marBottom w:val="0"/>
          <w:divBdr>
            <w:top w:val="none" w:sz="0" w:space="0" w:color="auto"/>
            <w:left w:val="none" w:sz="0" w:space="0" w:color="auto"/>
            <w:bottom w:val="none" w:sz="0" w:space="0" w:color="auto"/>
            <w:right w:val="none" w:sz="0" w:space="0" w:color="auto"/>
          </w:divBdr>
        </w:div>
        <w:div w:id="363216049">
          <w:marLeft w:val="0"/>
          <w:marRight w:val="0"/>
          <w:marTop w:val="0"/>
          <w:marBottom w:val="0"/>
          <w:divBdr>
            <w:top w:val="none" w:sz="0" w:space="0" w:color="auto"/>
            <w:left w:val="none" w:sz="0" w:space="0" w:color="auto"/>
            <w:bottom w:val="none" w:sz="0" w:space="0" w:color="auto"/>
            <w:right w:val="none" w:sz="0" w:space="0" w:color="auto"/>
          </w:divBdr>
        </w:div>
        <w:div w:id="364646107">
          <w:marLeft w:val="0"/>
          <w:marRight w:val="0"/>
          <w:marTop w:val="0"/>
          <w:marBottom w:val="0"/>
          <w:divBdr>
            <w:top w:val="none" w:sz="0" w:space="0" w:color="auto"/>
            <w:left w:val="none" w:sz="0" w:space="0" w:color="auto"/>
            <w:bottom w:val="none" w:sz="0" w:space="0" w:color="auto"/>
            <w:right w:val="none" w:sz="0" w:space="0" w:color="auto"/>
          </w:divBdr>
        </w:div>
        <w:div w:id="370767423">
          <w:marLeft w:val="0"/>
          <w:marRight w:val="0"/>
          <w:marTop w:val="0"/>
          <w:marBottom w:val="0"/>
          <w:divBdr>
            <w:top w:val="none" w:sz="0" w:space="0" w:color="auto"/>
            <w:left w:val="none" w:sz="0" w:space="0" w:color="auto"/>
            <w:bottom w:val="none" w:sz="0" w:space="0" w:color="auto"/>
            <w:right w:val="none" w:sz="0" w:space="0" w:color="auto"/>
          </w:divBdr>
        </w:div>
        <w:div w:id="383212847">
          <w:marLeft w:val="0"/>
          <w:marRight w:val="0"/>
          <w:marTop w:val="0"/>
          <w:marBottom w:val="0"/>
          <w:divBdr>
            <w:top w:val="none" w:sz="0" w:space="0" w:color="auto"/>
            <w:left w:val="none" w:sz="0" w:space="0" w:color="auto"/>
            <w:bottom w:val="none" w:sz="0" w:space="0" w:color="auto"/>
            <w:right w:val="none" w:sz="0" w:space="0" w:color="auto"/>
          </w:divBdr>
        </w:div>
        <w:div w:id="385953135">
          <w:marLeft w:val="0"/>
          <w:marRight w:val="0"/>
          <w:marTop w:val="0"/>
          <w:marBottom w:val="0"/>
          <w:divBdr>
            <w:top w:val="none" w:sz="0" w:space="0" w:color="auto"/>
            <w:left w:val="none" w:sz="0" w:space="0" w:color="auto"/>
            <w:bottom w:val="none" w:sz="0" w:space="0" w:color="auto"/>
            <w:right w:val="none" w:sz="0" w:space="0" w:color="auto"/>
          </w:divBdr>
        </w:div>
        <w:div w:id="392897731">
          <w:marLeft w:val="0"/>
          <w:marRight w:val="0"/>
          <w:marTop w:val="0"/>
          <w:marBottom w:val="0"/>
          <w:divBdr>
            <w:top w:val="none" w:sz="0" w:space="0" w:color="auto"/>
            <w:left w:val="none" w:sz="0" w:space="0" w:color="auto"/>
            <w:bottom w:val="none" w:sz="0" w:space="0" w:color="auto"/>
            <w:right w:val="none" w:sz="0" w:space="0" w:color="auto"/>
          </w:divBdr>
        </w:div>
        <w:div w:id="392970979">
          <w:marLeft w:val="0"/>
          <w:marRight w:val="0"/>
          <w:marTop w:val="0"/>
          <w:marBottom w:val="0"/>
          <w:divBdr>
            <w:top w:val="none" w:sz="0" w:space="0" w:color="auto"/>
            <w:left w:val="none" w:sz="0" w:space="0" w:color="auto"/>
            <w:bottom w:val="none" w:sz="0" w:space="0" w:color="auto"/>
            <w:right w:val="none" w:sz="0" w:space="0" w:color="auto"/>
          </w:divBdr>
        </w:div>
        <w:div w:id="393090768">
          <w:marLeft w:val="0"/>
          <w:marRight w:val="0"/>
          <w:marTop w:val="0"/>
          <w:marBottom w:val="0"/>
          <w:divBdr>
            <w:top w:val="none" w:sz="0" w:space="0" w:color="auto"/>
            <w:left w:val="none" w:sz="0" w:space="0" w:color="auto"/>
            <w:bottom w:val="none" w:sz="0" w:space="0" w:color="auto"/>
            <w:right w:val="none" w:sz="0" w:space="0" w:color="auto"/>
          </w:divBdr>
        </w:div>
        <w:div w:id="394469252">
          <w:marLeft w:val="0"/>
          <w:marRight w:val="0"/>
          <w:marTop w:val="0"/>
          <w:marBottom w:val="0"/>
          <w:divBdr>
            <w:top w:val="none" w:sz="0" w:space="0" w:color="auto"/>
            <w:left w:val="none" w:sz="0" w:space="0" w:color="auto"/>
            <w:bottom w:val="none" w:sz="0" w:space="0" w:color="auto"/>
            <w:right w:val="none" w:sz="0" w:space="0" w:color="auto"/>
          </w:divBdr>
        </w:div>
        <w:div w:id="394743056">
          <w:marLeft w:val="0"/>
          <w:marRight w:val="0"/>
          <w:marTop w:val="0"/>
          <w:marBottom w:val="0"/>
          <w:divBdr>
            <w:top w:val="none" w:sz="0" w:space="0" w:color="auto"/>
            <w:left w:val="none" w:sz="0" w:space="0" w:color="auto"/>
            <w:bottom w:val="none" w:sz="0" w:space="0" w:color="auto"/>
            <w:right w:val="none" w:sz="0" w:space="0" w:color="auto"/>
          </w:divBdr>
        </w:div>
        <w:div w:id="410083265">
          <w:marLeft w:val="0"/>
          <w:marRight w:val="0"/>
          <w:marTop w:val="0"/>
          <w:marBottom w:val="0"/>
          <w:divBdr>
            <w:top w:val="none" w:sz="0" w:space="0" w:color="auto"/>
            <w:left w:val="none" w:sz="0" w:space="0" w:color="auto"/>
            <w:bottom w:val="none" w:sz="0" w:space="0" w:color="auto"/>
            <w:right w:val="none" w:sz="0" w:space="0" w:color="auto"/>
          </w:divBdr>
        </w:div>
        <w:div w:id="413867840">
          <w:marLeft w:val="0"/>
          <w:marRight w:val="0"/>
          <w:marTop w:val="0"/>
          <w:marBottom w:val="0"/>
          <w:divBdr>
            <w:top w:val="none" w:sz="0" w:space="0" w:color="auto"/>
            <w:left w:val="none" w:sz="0" w:space="0" w:color="auto"/>
            <w:bottom w:val="none" w:sz="0" w:space="0" w:color="auto"/>
            <w:right w:val="none" w:sz="0" w:space="0" w:color="auto"/>
          </w:divBdr>
        </w:div>
        <w:div w:id="418872982">
          <w:marLeft w:val="0"/>
          <w:marRight w:val="0"/>
          <w:marTop w:val="0"/>
          <w:marBottom w:val="0"/>
          <w:divBdr>
            <w:top w:val="none" w:sz="0" w:space="0" w:color="auto"/>
            <w:left w:val="none" w:sz="0" w:space="0" w:color="auto"/>
            <w:bottom w:val="none" w:sz="0" w:space="0" w:color="auto"/>
            <w:right w:val="none" w:sz="0" w:space="0" w:color="auto"/>
          </w:divBdr>
        </w:div>
        <w:div w:id="425272702">
          <w:marLeft w:val="0"/>
          <w:marRight w:val="0"/>
          <w:marTop w:val="0"/>
          <w:marBottom w:val="0"/>
          <w:divBdr>
            <w:top w:val="none" w:sz="0" w:space="0" w:color="auto"/>
            <w:left w:val="none" w:sz="0" w:space="0" w:color="auto"/>
            <w:bottom w:val="none" w:sz="0" w:space="0" w:color="auto"/>
            <w:right w:val="none" w:sz="0" w:space="0" w:color="auto"/>
          </w:divBdr>
        </w:div>
        <w:div w:id="440540959">
          <w:marLeft w:val="0"/>
          <w:marRight w:val="0"/>
          <w:marTop w:val="0"/>
          <w:marBottom w:val="0"/>
          <w:divBdr>
            <w:top w:val="none" w:sz="0" w:space="0" w:color="auto"/>
            <w:left w:val="none" w:sz="0" w:space="0" w:color="auto"/>
            <w:bottom w:val="none" w:sz="0" w:space="0" w:color="auto"/>
            <w:right w:val="none" w:sz="0" w:space="0" w:color="auto"/>
          </w:divBdr>
        </w:div>
        <w:div w:id="445007616">
          <w:marLeft w:val="0"/>
          <w:marRight w:val="0"/>
          <w:marTop w:val="0"/>
          <w:marBottom w:val="0"/>
          <w:divBdr>
            <w:top w:val="none" w:sz="0" w:space="0" w:color="auto"/>
            <w:left w:val="none" w:sz="0" w:space="0" w:color="auto"/>
            <w:bottom w:val="none" w:sz="0" w:space="0" w:color="auto"/>
            <w:right w:val="none" w:sz="0" w:space="0" w:color="auto"/>
          </w:divBdr>
        </w:div>
        <w:div w:id="445084153">
          <w:marLeft w:val="0"/>
          <w:marRight w:val="0"/>
          <w:marTop w:val="0"/>
          <w:marBottom w:val="0"/>
          <w:divBdr>
            <w:top w:val="none" w:sz="0" w:space="0" w:color="auto"/>
            <w:left w:val="none" w:sz="0" w:space="0" w:color="auto"/>
            <w:bottom w:val="none" w:sz="0" w:space="0" w:color="auto"/>
            <w:right w:val="none" w:sz="0" w:space="0" w:color="auto"/>
          </w:divBdr>
        </w:div>
        <w:div w:id="477649653">
          <w:marLeft w:val="0"/>
          <w:marRight w:val="0"/>
          <w:marTop w:val="0"/>
          <w:marBottom w:val="0"/>
          <w:divBdr>
            <w:top w:val="none" w:sz="0" w:space="0" w:color="auto"/>
            <w:left w:val="none" w:sz="0" w:space="0" w:color="auto"/>
            <w:bottom w:val="none" w:sz="0" w:space="0" w:color="auto"/>
            <w:right w:val="none" w:sz="0" w:space="0" w:color="auto"/>
          </w:divBdr>
        </w:div>
        <w:div w:id="479736012">
          <w:marLeft w:val="0"/>
          <w:marRight w:val="0"/>
          <w:marTop w:val="0"/>
          <w:marBottom w:val="0"/>
          <w:divBdr>
            <w:top w:val="none" w:sz="0" w:space="0" w:color="auto"/>
            <w:left w:val="none" w:sz="0" w:space="0" w:color="auto"/>
            <w:bottom w:val="none" w:sz="0" w:space="0" w:color="auto"/>
            <w:right w:val="none" w:sz="0" w:space="0" w:color="auto"/>
          </w:divBdr>
        </w:div>
        <w:div w:id="483737409">
          <w:marLeft w:val="0"/>
          <w:marRight w:val="0"/>
          <w:marTop w:val="0"/>
          <w:marBottom w:val="0"/>
          <w:divBdr>
            <w:top w:val="none" w:sz="0" w:space="0" w:color="auto"/>
            <w:left w:val="none" w:sz="0" w:space="0" w:color="auto"/>
            <w:bottom w:val="none" w:sz="0" w:space="0" w:color="auto"/>
            <w:right w:val="none" w:sz="0" w:space="0" w:color="auto"/>
          </w:divBdr>
        </w:div>
        <w:div w:id="517472520">
          <w:marLeft w:val="0"/>
          <w:marRight w:val="0"/>
          <w:marTop w:val="0"/>
          <w:marBottom w:val="0"/>
          <w:divBdr>
            <w:top w:val="none" w:sz="0" w:space="0" w:color="auto"/>
            <w:left w:val="none" w:sz="0" w:space="0" w:color="auto"/>
            <w:bottom w:val="none" w:sz="0" w:space="0" w:color="auto"/>
            <w:right w:val="none" w:sz="0" w:space="0" w:color="auto"/>
          </w:divBdr>
        </w:div>
        <w:div w:id="529224088">
          <w:marLeft w:val="0"/>
          <w:marRight w:val="0"/>
          <w:marTop w:val="0"/>
          <w:marBottom w:val="0"/>
          <w:divBdr>
            <w:top w:val="none" w:sz="0" w:space="0" w:color="auto"/>
            <w:left w:val="none" w:sz="0" w:space="0" w:color="auto"/>
            <w:bottom w:val="none" w:sz="0" w:space="0" w:color="auto"/>
            <w:right w:val="none" w:sz="0" w:space="0" w:color="auto"/>
          </w:divBdr>
        </w:div>
        <w:div w:id="536506794">
          <w:marLeft w:val="0"/>
          <w:marRight w:val="0"/>
          <w:marTop w:val="0"/>
          <w:marBottom w:val="0"/>
          <w:divBdr>
            <w:top w:val="none" w:sz="0" w:space="0" w:color="auto"/>
            <w:left w:val="none" w:sz="0" w:space="0" w:color="auto"/>
            <w:bottom w:val="none" w:sz="0" w:space="0" w:color="auto"/>
            <w:right w:val="none" w:sz="0" w:space="0" w:color="auto"/>
          </w:divBdr>
        </w:div>
        <w:div w:id="538323879">
          <w:marLeft w:val="0"/>
          <w:marRight w:val="0"/>
          <w:marTop w:val="0"/>
          <w:marBottom w:val="0"/>
          <w:divBdr>
            <w:top w:val="none" w:sz="0" w:space="0" w:color="auto"/>
            <w:left w:val="none" w:sz="0" w:space="0" w:color="auto"/>
            <w:bottom w:val="none" w:sz="0" w:space="0" w:color="auto"/>
            <w:right w:val="none" w:sz="0" w:space="0" w:color="auto"/>
          </w:divBdr>
        </w:div>
        <w:div w:id="550920069">
          <w:marLeft w:val="0"/>
          <w:marRight w:val="0"/>
          <w:marTop w:val="0"/>
          <w:marBottom w:val="0"/>
          <w:divBdr>
            <w:top w:val="none" w:sz="0" w:space="0" w:color="auto"/>
            <w:left w:val="none" w:sz="0" w:space="0" w:color="auto"/>
            <w:bottom w:val="none" w:sz="0" w:space="0" w:color="auto"/>
            <w:right w:val="none" w:sz="0" w:space="0" w:color="auto"/>
          </w:divBdr>
        </w:div>
        <w:div w:id="551581758">
          <w:marLeft w:val="0"/>
          <w:marRight w:val="0"/>
          <w:marTop w:val="0"/>
          <w:marBottom w:val="0"/>
          <w:divBdr>
            <w:top w:val="none" w:sz="0" w:space="0" w:color="auto"/>
            <w:left w:val="none" w:sz="0" w:space="0" w:color="auto"/>
            <w:bottom w:val="none" w:sz="0" w:space="0" w:color="auto"/>
            <w:right w:val="none" w:sz="0" w:space="0" w:color="auto"/>
          </w:divBdr>
        </w:div>
        <w:div w:id="557667576">
          <w:marLeft w:val="0"/>
          <w:marRight w:val="0"/>
          <w:marTop w:val="0"/>
          <w:marBottom w:val="0"/>
          <w:divBdr>
            <w:top w:val="none" w:sz="0" w:space="0" w:color="auto"/>
            <w:left w:val="none" w:sz="0" w:space="0" w:color="auto"/>
            <w:bottom w:val="none" w:sz="0" w:space="0" w:color="auto"/>
            <w:right w:val="none" w:sz="0" w:space="0" w:color="auto"/>
          </w:divBdr>
        </w:div>
        <w:div w:id="559556463">
          <w:marLeft w:val="0"/>
          <w:marRight w:val="0"/>
          <w:marTop w:val="0"/>
          <w:marBottom w:val="0"/>
          <w:divBdr>
            <w:top w:val="none" w:sz="0" w:space="0" w:color="auto"/>
            <w:left w:val="none" w:sz="0" w:space="0" w:color="auto"/>
            <w:bottom w:val="none" w:sz="0" w:space="0" w:color="auto"/>
            <w:right w:val="none" w:sz="0" w:space="0" w:color="auto"/>
          </w:divBdr>
        </w:div>
        <w:div w:id="572814166">
          <w:marLeft w:val="0"/>
          <w:marRight w:val="0"/>
          <w:marTop w:val="0"/>
          <w:marBottom w:val="0"/>
          <w:divBdr>
            <w:top w:val="none" w:sz="0" w:space="0" w:color="auto"/>
            <w:left w:val="none" w:sz="0" w:space="0" w:color="auto"/>
            <w:bottom w:val="none" w:sz="0" w:space="0" w:color="auto"/>
            <w:right w:val="none" w:sz="0" w:space="0" w:color="auto"/>
          </w:divBdr>
        </w:div>
        <w:div w:id="573011371">
          <w:marLeft w:val="0"/>
          <w:marRight w:val="0"/>
          <w:marTop w:val="0"/>
          <w:marBottom w:val="0"/>
          <w:divBdr>
            <w:top w:val="none" w:sz="0" w:space="0" w:color="auto"/>
            <w:left w:val="none" w:sz="0" w:space="0" w:color="auto"/>
            <w:bottom w:val="none" w:sz="0" w:space="0" w:color="auto"/>
            <w:right w:val="none" w:sz="0" w:space="0" w:color="auto"/>
          </w:divBdr>
        </w:div>
        <w:div w:id="574363679">
          <w:marLeft w:val="0"/>
          <w:marRight w:val="0"/>
          <w:marTop w:val="0"/>
          <w:marBottom w:val="0"/>
          <w:divBdr>
            <w:top w:val="none" w:sz="0" w:space="0" w:color="auto"/>
            <w:left w:val="none" w:sz="0" w:space="0" w:color="auto"/>
            <w:bottom w:val="none" w:sz="0" w:space="0" w:color="auto"/>
            <w:right w:val="none" w:sz="0" w:space="0" w:color="auto"/>
          </w:divBdr>
        </w:div>
        <w:div w:id="602151708">
          <w:marLeft w:val="0"/>
          <w:marRight w:val="0"/>
          <w:marTop w:val="0"/>
          <w:marBottom w:val="0"/>
          <w:divBdr>
            <w:top w:val="none" w:sz="0" w:space="0" w:color="auto"/>
            <w:left w:val="none" w:sz="0" w:space="0" w:color="auto"/>
            <w:bottom w:val="none" w:sz="0" w:space="0" w:color="auto"/>
            <w:right w:val="none" w:sz="0" w:space="0" w:color="auto"/>
          </w:divBdr>
        </w:div>
        <w:div w:id="635335161">
          <w:marLeft w:val="0"/>
          <w:marRight w:val="0"/>
          <w:marTop w:val="0"/>
          <w:marBottom w:val="0"/>
          <w:divBdr>
            <w:top w:val="none" w:sz="0" w:space="0" w:color="auto"/>
            <w:left w:val="none" w:sz="0" w:space="0" w:color="auto"/>
            <w:bottom w:val="none" w:sz="0" w:space="0" w:color="auto"/>
            <w:right w:val="none" w:sz="0" w:space="0" w:color="auto"/>
          </w:divBdr>
        </w:div>
        <w:div w:id="654528727">
          <w:marLeft w:val="0"/>
          <w:marRight w:val="0"/>
          <w:marTop w:val="0"/>
          <w:marBottom w:val="0"/>
          <w:divBdr>
            <w:top w:val="none" w:sz="0" w:space="0" w:color="auto"/>
            <w:left w:val="none" w:sz="0" w:space="0" w:color="auto"/>
            <w:bottom w:val="none" w:sz="0" w:space="0" w:color="auto"/>
            <w:right w:val="none" w:sz="0" w:space="0" w:color="auto"/>
          </w:divBdr>
        </w:div>
        <w:div w:id="656614663">
          <w:marLeft w:val="0"/>
          <w:marRight w:val="0"/>
          <w:marTop w:val="0"/>
          <w:marBottom w:val="0"/>
          <w:divBdr>
            <w:top w:val="none" w:sz="0" w:space="0" w:color="auto"/>
            <w:left w:val="none" w:sz="0" w:space="0" w:color="auto"/>
            <w:bottom w:val="none" w:sz="0" w:space="0" w:color="auto"/>
            <w:right w:val="none" w:sz="0" w:space="0" w:color="auto"/>
          </w:divBdr>
        </w:div>
        <w:div w:id="682054006">
          <w:marLeft w:val="0"/>
          <w:marRight w:val="0"/>
          <w:marTop w:val="0"/>
          <w:marBottom w:val="0"/>
          <w:divBdr>
            <w:top w:val="none" w:sz="0" w:space="0" w:color="auto"/>
            <w:left w:val="none" w:sz="0" w:space="0" w:color="auto"/>
            <w:bottom w:val="none" w:sz="0" w:space="0" w:color="auto"/>
            <w:right w:val="none" w:sz="0" w:space="0" w:color="auto"/>
          </w:divBdr>
        </w:div>
        <w:div w:id="683214934">
          <w:marLeft w:val="0"/>
          <w:marRight w:val="0"/>
          <w:marTop w:val="0"/>
          <w:marBottom w:val="0"/>
          <w:divBdr>
            <w:top w:val="none" w:sz="0" w:space="0" w:color="auto"/>
            <w:left w:val="none" w:sz="0" w:space="0" w:color="auto"/>
            <w:bottom w:val="none" w:sz="0" w:space="0" w:color="auto"/>
            <w:right w:val="none" w:sz="0" w:space="0" w:color="auto"/>
          </w:divBdr>
        </w:div>
        <w:div w:id="709918337">
          <w:marLeft w:val="0"/>
          <w:marRight w:val="0"/>
          <w:marTop w:val="0"/>
          <w:marBottom w:val="0"/>
          <w:divBdr>
            <w:top w:val="none" w:sz="0" w:space="0" w:color="auto"/>
            <w:left w:val="none" w:sz="0" w:space="0" w:color="auto"/>
            <w:bottom w:val="none" w:sz="0" w:space="0" w:color="auto"/>
            <w:right w:val="none" w:sz="0" w:space="0" w:color="auto"/>
          </w:divBdr>
        </w:div>
        <w:div w:id="714037413">
          <w:marLeft w:val="0"/>
          <w:marRight w:val="0"/>
          <w:marTop w:val="0"/>
          <w:marBottom w:val="0"/>
          <w:divBdr>
            <w:top w:val="none" w:sz="0" w:space="0" w:color="auto"/>
            <w:left w:val="none" w:sz="0" w:space="0" w:color="auto"/>
            <w:bottom w:val="none" w:sz="0" w:space="0" w:color="auto"/>
            <w:right w:val="none" w:sz="0" w:space="0" w:color="auto"/>
          </w:divBdr>
        </w:div>
        <w:div w:id="725568654">
          <w:marLeft w:val="0"/>
          <w:marRight w:val="0"/>
          <w:marTop w:val="0"/>
          <w:marBottom w:val="0"/>
          <w:divBdr>
            <w:top w:val="none" w:sz="0" w:space="0" w:color="auto"/>
            <w:left w:val="none" w:sz="0" w:space="0" w:color="auto"/>
            <w:bottom w:val="none" w:sz="0" w:space="0" w:color="auto"/>
            <w:right w:val="none" w:sz="0" w:space="0" w:color="auto"/>
          </w:divBdr>
        </w:div>
        <w:div w:id="728724575">
          <w:marLeft w:val="0"/>
          <w:marRight w:val="0"/>
          <w:marTop w:val="0"/>
          <w:marBottom w:val="0"/>
          <w:divBdr>
            <w:top w:val="none" w:sz="0" w:space="0" w:color="auto"/>
            <w:left w:val="none" w:sz="0" w:space="0" w:color="auto"/>
            <w:bottom w:val="none" w:sz="0" w:space="0" w:color="auto"/>
            <w:right w:val="none" w:sz="0" w:space="0" w:color="auto"/>
          </w:divBdr>
        </w:div>
        <w:div w:id="729691021">
          <w:marLeft w:val="0"/>
          <w:marRight w:val="0"/>
          <w:marTop w:val="0"/>
          <w:marBottom w:val="0"/>
          <w:divBdr>
            <w:top w:val="none" w:sz="0" w:space="0" w:color="auto"/>
            <w:left w:val="none" w:sz="0" w:space="0" w:color="auto"/>
            <w:bottom w:val="none" w:sz="0" w:space="0" w:color="auto"/>
            <w:right w:val="none" w:sz="0" w:space="0" w:color="auto"/>
          </w:divBdr>
        </w:div>
        <w:div w:id="733309467">
          <w:marLeft w:val="0"/>
          <w:marRight w:val="0"/>
          <w:marTop w:val="0"/>
          <w:marBottom w:val="0"/>
          <w:divBdr>
            <w:top w:val="none" w:sz="0" w:space="0" w:color="auto"/>
            <w:left w:val="none" w:sz="0" w:space="0" w:color="auto"/>
            <w:bottom w:val="none" w:sz="0" w:space="0" w:color="auto"/>
            <w:right w:val="none" w:sz="0" w:space="0" w:color="auto"/>
          </w:divBdr>
        </w:div>
        <w:div w:id="733360654">
          <w:marLeft w:val="0"/>
          <w:marRight w:val="0"/>
          <w:marTop w:val="0"/>
          <w:marBottom w:val="0"/>
          <w:divBdr>
            <w:top w:val="none" w:sz="0" w:space="0" w:color="auto"/>
            <w:left w:val="none" w:sz="0" w:space="0" w:color="auto"/>
            <w:bottom w:val="none" w:sz="0" w:space="0" w:color="auto"/>
            <w:right w:val="none" w:sz="0" w:space="0" w:color="auto"/>
          </w:divBdr>
        </w:div>
        <w:div w:id="743331455">
          <w:marLeft w:val="0"/>
          <w:marRight w:val="0"/>
          <w:marTop w:val="0"/>
          <w:marBottom w:val="0"/>
          <w:divBdr>
            <w:top w:val="none" w:sz="0" w:space="0" w:color="auto"/>
            <w:left w:val="none" w:sz="0" w:space="0" w:color="auto"/>
            <w:bottom w:val="none" w:sz="0" w:space="0" w:color="auto"/>
            <w:right w:val="none" w:sz="0" w:space="0" w:color="auto"/>
          </w:divBdr>
        </w:div>
        <w:div w:id="744185091">
          <w:marLeft w:val="0"/>
          <w:marRight w:val="0"/>
          <w:marTop w:val="0"/>
          <w:marBottom w:val="0"/>
          <w:divBdr>
            <w:top w:val="none" w:sz="0" w:space="0" w:color="auto"/>
            <w:left w:val="none" w:sz="0" w:space="0" w:color="auto"/>
            <w:bottom w:val="none" w:sz="0" w:space="0" w:color="auto"/>
            <w:right w:val="none" w:sz="0" w:space="0" w:color="auto"/>
          </w:divBdr>
        </w:div>
        <w:div w:id="746077746">
          <w:marLeft w:val="0"/>
          <w:marRight w:val="0"/>
          <w:marTop w:val="0"/>
          <w:marBottom w:val="0"/>
          <w:divBdr>
            <w:top w:val="none" w:sz="0" w:space="0" w:color="auto"/>
            <w:left w:val="none" w:sz="0" w:space="0" w:color="auto"/>
            <w:bottom w:val="none" w:sz="0" w:space="0" w:color="auto"/>
            <w:right w:val="none" w:sz="0" w:space="0" w:color="auto"/>
          </w:divBdr>
        </w:div>
        <w:div w:id="755369233">
          <w:marLeft w:val="0"/>
          <w:marRight w:val="0"/>
          <w:marTop w:val="0"/>
          <w:marBottom w:val="0"/>
          <w:divBdr>
            <w:top w:val="none" w:sz="0" w:space="0" w:color="auto"/>
            <w:left w:val="none" w:sz="0" w:space="0" w:color="auto"/>
            <w:bottom w:val="none" w:sz="0" w:space="0" w:color="auto"/>
            <w:right w:val="none" w:sz="0" w:space="0" w:color="auto"/>
          </w:divBdr>
        </w:div>
        <w:div w:id="766660348">
          <w:marLeft w:val="0"/>
          <w:marRight w:val="0"/>
          <w:marTop w:val="0"/>
          <w:marBottom w:val="0"/>
          <w:divBdr>
            <w:top w:val="none" w:sz="0" w:space="0" w:color="auto"/>
            <w:left w:val="none" w:sz="0" w:space="0" w:color="auto"/>
            <w:bottom w:val="none" w:sz="0" w:space="0" w:color="auto"/>
            <w:right w:val="none" w:sz="0" w:space="0" w:color="auto"/>
          </w:divBdr>
        </w:div>
        <w:div w:id="768819862">
          <w:marLeft w:val="0"/>
          <w:marRight w:val="0"/>
          <w:marTop w:val="0"/>
          <w:marBottom w:val="0"/>
          <w:divBdr>
            <w:top w:val="none" w:sz="0" w:space="0" w:color="auto"/>
            <w:left w:val="none" w:sz="0" w:space="0" w:color="auto"/>
            <w:bottom w:val="none" w:sz="0" w:space="0" w:color="auto"/>
            <w:right w:val="none" w:sz="0" w:space="0" w:color="auto"/>
          </w:divBdr>
        </w:div>
        <w:div w:id="784154580">
          <w:marLeft w:val="0"/>
          <w:marRight w:val="0"/>
          <w:marTop w:val="0"/>
          <w:marBottom w:val="0"/>
          <w:divBdr>
            <w:top w:val="none" w:sz="0" w:space="0" w:color="auto"/>
            <w:left w:val="none" w:sz="0" w:space="0" w:color="auto"/>
            <w:bottom w:val="none" w:sz="0" w:space="0" w:color="auto"/>
            <w:right w:val="none" w:sz="0" w:space="0" w:color="auto"/>
          </w:divBdr>
        </w:div>
        <w:div w:id="787773683">
          <w:marLeft w:val="0"/>
          <w:marRight w:val="0"/>
          <w:marTop w:val="0"/>
          <w:marBottom w:val="0"/>
          <w:divBdr>
            <w:top w:val="none" w:sz="0" w:space="0" w:color="auto"/>
            <w:left w:val="none" w:sz="0" w:space="0" w:color="auto"/>
            <w:bottom w:val="none" w:sz="0" w:space="0" w:color="auto"/>
            <w:right w:val="none" w:sz="0" w:space="0" w:color="auto"/>
          </w:divBdr>
        </w:div>
        <w:div w:id="802188212">
          <w:marLeft w:val="0"/>
          <w:marRight w:val="0"/>
          <w:marTop w:val="0"/>
          <w:marBottom w:val="0"/>
          <w:divBdr>
            <w:top w:val="none" w:sz="0" w:space="0" w:color="auto"/>
            <w:left w:val="none" w:sz="0" w:space="0" w:color="auto"/>
            <w:bottom w:val="none" w:sz="0" w:space="0" w:color="auto"/>
            <w:right w:val="none" w:sz="0" w:space="0" w:color="auto"/>
          </w:divBdr>
        </w:div>
        <w:div w:id="804930584">
          <w:marLeft w:val="0"/>
          <w:marRight w:val="0"/>
          <w:marTop w:val="0"/>
          <w:marBottom w:val="0"/>
          <w:divBdr>
            <w:top w:val="none" w:sz="0" w:space="0" w:color="auto"/>
            <w:left w:val="none" w:sz="0" w:space="0" w:color="auto"/>
            <w:bottom w:val="none" w:sz="0" w:space="0" w:color="auto"/>
            <w:right w:val="none" w:sz="0" w:space="0" w:color="auto"/>
          </w:divBdr>
        </w:div>
        <w:div w:id="808862954">
          <w:marLeft w:val="0"/>
          <w:marRight w:val="0"/>
          <w:marTop w:val="0"/>
          <w:marBottom w:val="0"/>
          <w:divBdr>
            <w:top w:val="none" w:sz="0" w:space="0" w:color="auto"/>
            <w:left w:val="none" w:sz="0" w:space="0" w:color="auto"/>
            <w:bottom w:val="none" w:sz="0" w:space="0" w:color="auto"/>
            <w:right w:val="none" w:sz="0" w:space="0" w:color="auto"/>
          </w:divBdr>
        </w:div>
        <w:div w:id="816846882">
          <w:marLeft w:val="0"/>
          <w:marRight w:val="0"/>
          <w:marTop w:val="0"/>
          <w:marBottom w:val="0"/>
          <w:divBdr>
            <w:top w:val="none" w:sz="0" w:space="0" w:color="auto"/>
            <w:left w:val="none" w:sz="0" w:space="0" w:color="auto"/>
            <w:bottom w:val="none" w:sz="0" w:space="0" w:color="auto"/>
            <w:right w:val="none" w:sz="0" w:space="0" w:color="auto"/>
          </w:divBdr>
        </w:div>
        <w:div w:id="831406210">
          <w:marLeft w:val="0"/>
          <w:marRight w:val="0"/>
          <w:marTop w:val="0"/>
          <w:marBottom w:val="0"/>
          <w:divBdr>
            <w:top w:val="none" w:sz="0" w:space="0" w:color="auto"/>
            <w:left w:val="none" w:sz="0" w:space="0" w:color="auto"/>
            <w:bottom w:val="none" w:sz="0" w:space="0" w:color="auto"/>
            <w:right w:val="none" w:sz="0" w:space="0" w:color="auto"/>
          </w:divBdr>
        </w:div>
        <w:div w:id="848102836">
          <w:marLeft w:val="0"/>
          <w:marRight w:val="0"/>
          <w:marTop w:val="0"/>
          <w:marBottom w:val="0"/>
          <w:divBdr>
            <w:top w:val="none" w:sz="0" w:space="0" w:color="auto"/>
            <w:left w:val="none" w:sz="0" w:space="0" w:color="auto"/>
            <w:bottom w:val="none" w:sz="0" w:space="0" w:color="auto"/>
            <w:right w:val="none" w:sz="0" w:space="0" w:color="auto"/>
          </w:divBdr>
        </w:div>
        <w:div w:id="860624626">
          <w:marLeft w:val="0"/>
          <w:marRight w:val="0"/>
          <w:marTop w:val="0"/>
          <w:marBottom w:val="0"/>
          <w:divBdr>
            <w:top w:val="none" w:sz="0" w:space="0" w:color="auto"/>
            <w:left w:val="none" w:sz="0" w:space="0" w:color="auto"/>
            <w:bottom w:val="none" w:sz="0" w:space="0" w:color="auto"/>
            <w:right w:val="none" w:sz="0" w:space="0" w:color="auto"/>
          </w:divBdr>
        </w:div>
        <w:div w:id="877858009">
          <w:marLeft w:val="0"/>
          <w:marRight w:val="0"/>
          <w:marTop w:val="0"/>
          <w:marBottom w:val="0"/>
          <w:divBdr>
            <w:top w:val="none" w:sz="0" w:space="0" w:color="auto"/>
            <w:left w:val="none" w:sz="0" w:space="0" w:color="auto"/>
            <w:bottom w:val="none" w:sz="0" w:space="0" w:color="auto"/>
            <w:right w:val="none" w:sz="0" w:space="0" w:color="auto"/>
          </w:divBdr>
        </w:div>
        <w:div w:id="908807062">
          <w:marLeft w:val="0"/>
          <w:marRight w:val="0"/>
          <w:marTop w:val="0"/>
          <w:marBottom w:val="0"/>
          <w:divBdr>
            <w:top w:val="none" w:sz="0" w:space="0" w:color="auto"/>
            <w:left w:val="none" w:sz="0" w:space="0" w:color="auto"/>
            <w:bottom w:val="none" w:sz="0" w:space="0" w:color="auto"/>
            <w:right w:val="none" w:sz="0" w:space="0" w:color="auto"/>
          </w:divBdr>
        </w:div>
        <w:div w:id="923416009">
          <w:marLeft w:val="0"/>
          <w:marRight w:val="0"/>
          <w:marTop w:val="0"/>
          <w:marBottom w:val="0"/>
          <w:divBdr>
            <w:top w:val="none" w:sz="0" w:space="0" w:color="auto"/>
            <w:left w:val="none" w:sz="0" w:space="0" w:color="auto"/>
            <w:bottom w:val="none" w:sz="0" w:space="0" w:color="auto"/>
            <w:right w:val="none" w:sz="0" w:space="0" w:color="auto"/>
          </w:divBdr>
        </w:div>
        <w:div w:id="928126237">
          <w:marLeft w:val="0"/>
          <w:marRight w:val="0"/>
          <w:marTop w:val="0"/>
          <w:marBottom w:val="0"/>
          <w:divBdr>
            <w:top w:val="none" w:sz="0" w:space="0" w:color="auto"/>
            <w:left w:val="none" w:sz="0" w:space="0" w:color="auto"/>
            <w:bottom w:val="none" w:sz="0" w:space="0" w:color="auto"/>
            <w:right w:val="none" w:sz="0" w:space="0" w:color="auto"/>
          </w:divBdr>
        </w:div>
        <w:div w:id="930159504">
          <w:marLeft w:val="0"/>
          <w:marRight w:val="0"/>
          <w:marTop w:val="0"/>
          <w:marBottom w:val="0"/>
          <w:divBdr>
            <w:top w:val="none" w:sz="0" w:space="0" w:color="auto"/>
            <w:left w:val="none" w:sz="0" w:space="0" w:color="auto"/>
            <w:bottom w:val="none" w:sz="0" w:space="0" w:color="auto"/>
            <w:right w:val="none" w:sz="0" w:space="0" w:color="auto"/>
          </w:divBdr>
        </w:div>
        <w:div w:id="932665195">
          <w:marLeft w:val="0"/>
          <w:marRight w:val="0"/>
          <w:marTop w:val="0"/>
          <w:marBottom w:val="0"/>
          <w:divBdr>
            <w:top w:val="none" w:sz="0" w:space="0" w:color="auto"/>
            <w:left w:val="none" w:sz="0" w:space="0" w:color="auto"/>
            <w:bottom w:val="none" w:sz="0" w:space="0" w:color="auto"/>
            <w:right w:val="none" w:sz="0" w:space="0" w:color="auto"/>
          </w:divBdr>
        </w:div>
        <w:div w:id="942034773">
          <w:marLeft w:val="0"/>
          <w:marRight w:val="0"/>
          <w:marTop w:val="0"/>
          <w:marBottom w:val="0"/>
          <w:divBdr>
            <w:top w:val="none" w:sz="0" w:space="0" w:color="auto"/>
            <w:left w:val="none" w:sz="0" w:space="0" w:color="auto"/>
            <w:bottom w:val="none" w:sz="0" w:space="0" w:color="auto"/>
            <w:right w:val="none" w:sz="0" w:space="0" w:color="auto"/>
          </w:divBdr>
        </w:div>
        <w:div w:id="945503601">
          <w:marLeft w:val="0"/>
          <w:marRight w:val="0"/>
          <w:marTop w:val="0"/>
          <w:marBottom w:val="0"/>
          <w:divBdr>
            <w:top w:val="none" w:sz="0" w:space="0" w:color="auto"/>
            <w:left w:val="none" w:sz="0" w:space="0" w:color="auto"/>
            <w:bottom w:val="none" w:sz="0" w:space="0" w:color="auto"/>
            <w:right w:val="none" w:sz="0" w:space="0" w:color="auto"/>
          </w:divBdr>
        </w:div>
        <w:div w:id="950479254">
          <w:marLeft w:val="0"/>
          <w:marRight w:val="0"/>
          <w:marTop w:val="0"/>
          <w:marBottom w:val="0"/>
          <w:divBdr>
            <w:top w:val="none" w:sz="0" w:space="0" w:color="auto"/>
            <w:left w:val="none" w:sz="0" w:space="0" w:color="auto"/>
            <w:bottom w:val="none" w:sz="0" w:space="0" w:color="auto"/>
            <w:right w:val="none" w:sz="0" w:space="0" w:color="auto"/>
          </w:divBdr>
        </w:div>
        <w:div w:id="956453212">
          <w:marLeft w:val="0"/>
          <w:marRight w:val="0"/>
          <w:marTop w:val="0"/>
          <w:marBottom w:val="0"/>
          <w:divBdr>
            <w:top w:val="none" w:sz="0" w:space="0" w:color="auto"/>
            <w:left w:val="none" w:sz="0" w:space="0" w:color="auto"/>
            <w:bottom w:val="none" w:sz="0" w:space="0" w:color="auto"/>
            <w:right w:val="none" w:sz="0" w:space="0" w:color="auto"/>
          </w:divBdr>
        </w:div>
        <w:div w:id="957954634">
          <w:marLeft w:val="0"/>
          <w:marRight w:val="0"/>
          <w:marTop w:val="0"/>
          <w:marBottom w:val="0"/>
          <w:divBdr>
            <w:top w:val="none" w:sz="0" w:space="0" w:color="auto"/>
            <w:left w:val="none" w:sz="0" w:space="0" w:color="auto"/>
            <w:bottom w:val="none" w:sz="0" w:space="0" w:color="auto"/>
            <w:right w:val="none" w:sz="0" w:space="0" w:color="auto"/>
          </w:divBdr>
        </w:div>
        <w:div w:id="968629530">
          <w:marLeft w:val="0"/>
          <w:marRight w:val="0"/>
          <w:marTop w:val="0"/>
          <w:marBottom w:val="0"/>
          <w:divBdr>
            <w:top w:val="none" w:sz="0" w:space="0" w:color="auto"/>
            <w:left w:val="none" w:sz="0" w:space="0" w:color="auto"/>
            <w:bottom w:val="none" w:sz="0" w:space="0" w:color="auto"/>
            <w:right w:val="none" w:sz="0" w:space="0" w:color="auto"/>
          </w:divBdr>
        </w:div>
        <w:div w:id="973097990">
          <w:marLeft w:val="0"/>
          <w:marRight w:val="0"/>
          <w:marTop w:val="0"/>
          <w:marBottom w:val="0"/>
          <w:divBdr>
            <w:top w:val="none" w:sz="0" w:space="0" w:color="auto"/>
            <w:left w:val="none" w:sz="0" w:space="0" w:color="auto"/>
            <w:bottom w:val="none" w:sz="0" w:space="0" w:color="auto"/>
            <w:right w:val="none" w:sz="0" w:space="0" w:color="auto"/>
          </w:divBdr>
        </w:div>
        <w:div w:id="982737376">
          <w:marLeft w:val="0"/>
          <w:marRight w:val="0"/>
          <w:marTop w:val="0"/>
          <w:marBottom w:val="0"/>
          <w:divBdr>
            <w:top w:val="none" w:sz="0" w:space="0" w:color="auto"/>
            <w:left w:val="none" w:sz="0" w:space="0" w:color="auto"/>
            <w:bottom w:val="none" w:sz="0" w:space="0" w:color="auto"/>
            <w:right w:val="none" w:sz="0" w:space="0" w:color="auto"/>
          </w:divBdr>
        </w:div>
        <w:div w:id="991325040">
          <w:marLeft w:val="0"/>
          <w:marRight w:val="0"/>
          <w:marTop w:val="0"/>
          <w:marBottom w:val="0"/>
          <w:divBdr>
            <w:top w:val="none" w:sz="0" w:space="0" w:color="auto"/>
            <w:left w:val="none" w:sz="0" w:space="0" w:color="auto"/>
            <w:bottom w:val="none" w:sz="0" w:space="0" w:color="auto"/>
            <w:right w:val="none" w:sz="0" w:space="0" w:color="auto"/>
          </w:divBdr>
        </w:div>
        <w:div w:id="994996025">
          <w:marLeft w:val="0"/>
          <w:marRight w:val="0"/>
          <w:marTop w:val="0"/>
          <w:marBottom w:val="0"/>
          <w:divBdr>
            <w:top w:val="none" w:sz="0" w:space="0" w:color="auto"/>
            <w:left w:val="none" w:sz="0" w:space="0" w:color="auto"/>
            <w:bottom w:val="none" w:sz="0" w:space="0" w:color="auto"/>
            <w:right w:val="none" w:sz="0" w:space="0" w:color="auto"/>
          </w:divBdr>
        </w:div>
        <w:div w:id="1007975476">
          <w:marLeft w:val="0"/>
          <w:marRight w:val="0"/>
          <w:marTop w:val="0"/>
          <w:marBottom w:val="0"/>
          <w:divBdr>
            <w:top w:val="none" w:sz="0" w:space="0" w:color="auto"/>
            <w:left w:val="none" w:sz="0" w:space="0" w:color="auto"/>
            <w:bottom w:val="none" w:sz="0" w:space="0" w:color="auto"/>
            <w:right w:val="none" w:sz="0" w:space="0" w:color="auto"/>
          </w:divBdr>
        </w:div>
        <w:div w:id="1008603039">
          <w:marLeft w:val="0"/>
          <w:marRight w:val="0"/>
          <w:marTop w:val="0"/>
          <w:marBottom w:val="0"/>
          <w:divBdr>
            <w:top w:val="none" w:sz="0" w:space="0" w:color="auto"/>
            <w:left w:val="none" w:sz="0" w:space="0" w:color="auto"/>
            <w:bottom w:val="none" w:sz="0" w:space="0" w:color="auto"/>
            <w:right w:val="none" w:sz="0" w:space="0" w:color="auto"/>
          </w:divBdr>
        </w:div>
        <w:div w:id="1026635615">
          <w:marLeft w:val="0"/>
          <w:marRight w:val="0"/>
          <w:marTop w:val="0"/>
          <w:marBottom w:val="0"/>
          <w:divBdr>
            <w:top w:val="none" w:sz="0" w:space="0" w:color="auto"/>
            <w:left w:val="none" w:sz="0" w:space="0" w:color="auto"/>
            <w:bottom w:val="none" w:sz="0" w:space="0" w:color="auto"/>
            <w:right w:val="none" w:sz="0" w:space="0" w:color="auto"/>
          </w:divBdr>
        </w:div>
        <w:div w:id="1031227290">
          <w:marLeft w:val="0"/>
          <w:marRight w:val="0"/>
          <w:marTop w:val="0"/>
          <w:marBottom w:val="0"/>
          <w:divBdr>
            <w:top w:val="none" w:sz="0" w:space="0" w:color="auto"/>
            <w:left w:val="none" w:sz="0" w:space="0" w:color="auto"/>
            <w:bottom w:val="none" w:sz="0" w:space="0" w:color="auto"/>
            <w:right w:val="none" w:sz="0" w:space="0" w:color="auto"/>
          </w:divBdr>
        </w:div>
        <w:div w:id="1053038156">
          <w:marLeft w:val="0"/>
          <w:marRight w:val="0"/>
          <w:marTop w:val="0"/>
          <w:marBottom w:val="0"/>
          <w:divBdr>
            <w:top w:val="none" w:sz="0" w:space="0" w:color="auto"/>
            <w:left w:val="none" w:sz="0" w:space="0" w:color="auto"/>
            <w:bottom w:val="none" w:sz="0" w:space="0" w:color="auto"/>
            <w:right w:val="none" w:sz="0" w:space="0" w:color="auto"/>
          </w:divBdr>
        </w:div>
        <w:div w:id="1053889150">
          <w:marLeft w:val="0"/>
          <w:marRight w:val="0"/>
          <w:marTop w:val="0"/>
          <w:marBottom w:val="0"/>
          <w:divBdr>
            <w:top w:val="none" w:sz="0" w:space="0" w:color="auto"/>
            <w:left w:val="none" w:sz="0" w:space="0" w:color="auto"/>
            <w:bottom w:val="none" w:sz="0" w:space="0" w:color="auto"/>
            <w:right w:val="none" w:sz="0" w:space="0" w:color="auto"/>
          </w:divBdr>
        </w:div>
        <w:div w:id="1068725445">
          <w:marLeft w:val="0"/>
          <w:marRight w:val="0"/>
          <w:marTop w:val="0"/>
          <w:marBottom w:val="0"/>
          <w:divBdr>
            <w:top w:val="none" w:sz="0" w:space="0" w:color="auto"/>
            <w:left w:val="none" w:sz="0" w:space="0" w:color="auto"/>
            <w:bottom w:val="none" w:sz="0" w:space="0" w:color="auto"/>
            <w:right w:val="none" w:sz="0" w:space="0" w:color="auto"/>
          </w:divBdr>
        </w:div>
        <w:div w:id="1099059372">
          <w:marLeft w:val="0"/>
          <w:marRight w:val="0"/>
          <w:marTop w:val="0"/>
          <w:marBottom w:val="0"/>
          <w:divBdr>
            <w:top w:val="none" w:sz="0" w:space="0" w:color="auto"/>
            <w:left w:val="none" w:sz="0" w:space="0" w:color="auto"/>
            <w:bottom w:val="none" w:sz="0" w:space="0" w:color="auto"/>
            <w:right w:val="none" w:sz="0" w:space="0" w:color="auto"/>
          </w:divBdr>
        </w:div>
        <w:div w:id="1100415120">
          <w:marLeft w:val="0"/>
          <w:marRight w:val="0"/>
          <w:marTop w:val="0"/>
          <w:marBottom w:val="0"/>
          <w:divBdr>
            <w:top w:val="none" w:sz="0" w:space="0" w:color="auto"/>
            <w:left w:val="none" w:sz="0" w:space="0" w:color="auto"/>
            <w:bottom w:val="none" w:sz="0" w:space="0" w:color="auto"/>
            <w:right w:val="none" w:sz="0" w:space="0" w:color="auto"/>
          </w:divBdr>
        </w:div>
        <w:div w:id="1102146993">
          <w:marLeft w:val="0"/>
          <w:marRight w:val="0"/>
          <w:marTop w:val="0"/>
          <w:marBottom w:val="0"/>
          <w:divBdr>
            <w:top w:val="none" w:sz="0" w:space="0" w:color="auto"/>
            <w:left w:val="none" w:sz="0" w:space="0" w:color="auto"/>
            <w:bottom w:val="none" w:sz="0" w:space="0" w:color="auto"/>
            <w:right w:val="none" w:sz="0" w:space="0" w:color="auto"/>
          </w:divBdr>
        </w:div>
        <w:div w:id="1114134733">
          <w:marLeft w:val="0"/>
          <w:marRight w:val="0"/>
          <w:marTop w:val="0"/>
          <w:marBottom w:val="0"/>
          <w:divBdr>
            <w:top w:val="none" w:sz="0" w:space="0" w:color="auto"/>
            <w:left w:val="none" w:sz="0" w:space="0" w:color="auto"/>
            <w:bottom w:val="none" w:sz="0" w:space="0" w:color="auto"/>
            <w:right w:val="none" w:sz="0" w:space="0" w:color="auto"/>
          </w:divBdr>
        </w:div>
        <w:div w:id="1119646391">
          <w:marLeft w:val="0"/>
          <w:marRight w:val="0"/>
          <w:marTop w:val="0"/>
          <w:marBottom w:val="0"/>
          <w:divBdr>
            <w:top w:val="none" w:sz="0" w:space="0" w:color="auto"/>
            <w:left w:val="none" w:sz="0" w:space="0" w:color="auto"/>
            <w:bottom w:val="none" w:sz="0" w:space="0" w:color="auto"/>
            <w:right w:val="none" w:sz="0" w:space="0" w:color="auto"/>
          </w:divBdr>
        </w:div>
        <w:div w:id="1130633937">
          <w:marLeft w:val="0"/>
          <w:marRight w:val="0"/>
          <w:marTop w:val="0"/>
          <w:marBottom w:val="0"/>
          <w:divBdr>
            <w:top w:val="none" w:sz="0" w:space="0" w:color="auto"/>
            <w:left w:val="none" w:sz="0" w:space="0" w:color="auto"/>
            <w:bottom w:val="none" w:sz="0" w:space="0" w:color="auto"/>
            <w:right w:val="none" w:sz="0" w:space="0" w:color="auto"/>
          </w:divBdr>
        </w:div>
        <w:div w:id="1132944294">
          <w:marLeft w:val="0"/>
          <w:marRight w:val="0"/>
          <w:marTop w:val="0"/>
          <w:marBottom w:val="0"/>
          <w:divBdr>
            <w:top w:val="none" w:sz="0" w:space="0" w:color="auto"/>
            <w:left w:val="none" w:sz="0" w:space="0" w:color="auto"/>
            <w:bottom w:val="none" w:sz="0" w:space="0" w:color="auto"/>
            <w:right w:val="none" w:sz="0" w:space="0" w:color="auto"/>
          </w:divBdr>
        </w:div>
        <w:div w:id="1139221662">
          <w:marLeft w:val="0"/>
          <w:marRight w:val="0"/>
          <w:marTop w:val="0"/>
          <w:marBottom w:val="0"/>
          <w:divBdr>
            <w:top w:val="none" w:sz="0" w:space="0" w:color="auto"/>
            <w:left w:val="none" w:sz="0" w:space="0" w:color="auto"/>
            <w:bottom w:val="none" w:sz="0" w:space="0" w:color="auto"/>
            <w:right w:val="none" w:sz="0" w:space="0" w:color="auto"/>
          </w:divBdr>
        </w:div>
        <w:div w:id="1145968237">
          <w:marLeft w:val="0"/>
          <w:marRight w:val="0"/>
          <w:marTop w:val="0"/>
          <w:marBottom w:val="0"/>
          <w:divBdr>
            <w:top w:val="none" w:sz="0" w:space="0" w:color="auto"/>
            <w:left w:val="none" w:sz="0" w:space="0" w:color="auto"/>
            <w:bottom w:val="none" w:sz="0" w:space="0" w:color="auto"/>
            <w:right w:val="none" w:sz="0" w:space="0" w:color="auto"/>
          </w:divBdr>
        </w:div>
        <w:div w:id="1148747045">
          <w:marLeft w:val="0"/>
          <w:marRight w:val="0"/>
          <w:marTop w:val="0"/>
          <w:marBottom w:val="0"/>
          <w:divBdr>
            <w:top w:val="none" w:sz="0" w:space="0" w:color="auto"/>
            <w:left w:val="none" w:sz="0" w:space="0" w:color="auto"/>
            <w:bottom w:val="none" w:sz="0" w:space="0" w:color="auto"/>
            <w:right w:val="none" w:sz="0" w:space="0" w:color="auto"/>
          </w:divBdr>
        </w:div>
        <w:div w:id="1165167995">
          <w:marLeft w:val="0"/>
          <w:marRight w:val="0"/>
          <w:marTop w:val="0"/>
          <w:marBottom w:val="0"/>
          <w:divBdr>
            <w:top w:val="none" w:sz="0" w:space="0" w:color="auto"/>
            <w:left w:val="none" w:sz="0" w:space="0" w:color="auto"/>
            <w:bottom w:val="none" w:sz="0" w:space="0" w:color="auto"/>
            <w:right w:val="none" w:sz="0" w:space="0" w:color="auto"/>
          </w:divBdr>
        </w:div>
        <w:div w:id="1165823870">
          <w:marLeft w:val="0"/>
          <w:marRight w:val="0"/>
          <w:marTop w:val="0"/>
          <w:marBottom w:val="0"/>
          <w:divBdr>
            <w:top w:val="none" w:sz="0" w:space="0" w:color="auto"/>
            <w:left w:val="none" w:sz="0" w:space="0" w:color="auto"/>
            <w:bottom w:val="none" w:sz="0" w:space="0" w:color="auto"/>
            <w:right w:val="none" w:sz="0" w:space="0" w:color="auto"/>
          </w:divBdr>
        </w:div>
        <w:div w:id="1172599880">
          <w:marLeft w:val="0"/>
          <w:marRight w:val="0"/>
          <w:marTop w:val="0"/>
          <w:marBottom w:val="0"/>
          <w:divBdr>
            <w:top w:val="none" w:sz="0" w:space="0" w:color="auto"/>
            <w:left w:val="none" w:sz="0" w:space="0" w:color="auto"/>
            <w:bottom w:val="none" w:sz="0" w:space="0" w:color="auto"/>
            <w:right w:val="none" w:sz="0" w:space="0" w:color="auto"/>
          </w:divBdr>
        </w:div>
        <w:div w:id="1178927716">
          <w:marLeft w:val="0"/>
          <w:marRight w:val="0"/>
          <w:marTop w:val="0"/>
          <w:marBottom w:val="0"/>
          <w:divBdr>
            <w:top w:val="none" w:sz="0" w:space="0" w:color="auto"/>
            <w:left w:val="none" w:sz="0" w:space="0" w:color="auto"/>
            <w:bottom w:val="none" w:sz="0" w:space="0" w:color="auto"/>
            <w:right w:val="none" w:sz="0" w:space="0" w:color="auto"/>
          </w:divBdr>
        </w:div>
        <w:div w:id="1202282064">
          <w:marLeft w:val="0"/>
          <w:marRight w:val="0"/>
          <w:marTop w:val="0"/>
          <w:marBottom w:val="0"/>
          <w:divBdr>
            <w:top w:val="none" w:sz="0" w:space="0" w:color="auto"/>
            <w:left w:val="none" w:sz="0" w:space="0" w:color="auto"/>
            <w:bottom w:val="none" w:sz="0" w:space="0" w:color="auto"/>
            <w:right w:val="none" w:sz="0" w:space="0" w:color="auto"/>
          </w:divBdr>
        </w:div>
        <w:div w:id="1217474078">
          <w:marLeft w:val="0"/>
          <w:marRight w:val="0"/>
          <w:marTop w:val="0"/>
          <w:marBottom w:val="0"/>
          <w:divBdr>
            <w:top w:val="none" w:sz="0" w:space="0" w:color="auto"/>
            <w:left w:val="none" w:sz="0" w:space="0" w:color="auto"/>
            <w:bottom w:val="none" w:sz="0" w:space="0" w:color="auto"/>
            <w:right w:val="none" w:sz="0" w:space="0" w:color="auto"/>
          </w:divBdr>
        </w:div>
        <w:div w:id="1229806838">
          <w:marLeft w:val="0"/>
          <w:marRight w:val="0"/>
          <w:marTop w:val="0"/>
          <w:marBottom w:val="0"/>
          <w:divBdr>
            <w:top w:val="none" w:sz="0" w:space="0" w:color="auto"/>
            <w:left w:val="none" w:sz="0" w:space="0" w:color="auto"/>
            <w:bottom w:val="none" w:sz="0" w:space="0" w:color="auto"/>
            <w:right w:val="none" w:sz="0" w:space="0" w:color="auto"/>
          </w:divBdr>
        </w:div>
        <w:div w:id="1234897445">
          <w:marLeft w:val="0"/>
          <w:marRight w:val="0"/>
          <w:marTop w:val="0"/>
          <w:marBottom w:val="0"/>
          <w:divBdr>
            <w:top w:val="none" w:sz="0" w:space="0" w:color="auto"/>
            <w:left w:val="none" w:sz="0" w:space="0" w:color="auto"/>
            <w:bottom w:val="none" w:sz="0" w:space="0" w:color="auto"/>
            <w:right w:val="none" w:sz="0" w:space="0" w:color="auto"/>
          </w:divBdr>
        </w:div>
        <w:div w:id="1234969267">
          <w:marLeft w:val="0"/>
          <w:marRight w:val="0"/>
          <w:marTop w:val="0"/>
          <w:marBottom w:val="0"/>
          <w:divBdr>
            <w:top w:val="none" w:sz="0" w:space="0" w:color="auto"/>
            <w:left w:val="none" w:sz="0" w:space="0" w:color="auto"/>
            <w:bottom w:val="none" w:sz="0" w:space="0" w:color="auto"/>
            <w:right w:val="none" w:sz="0" w:space="0" w:color="auto"/>
          </w:divBdr>
        </w:div>
        <w:div w:id="1242179148">
          <w:marLeft w:val="0"/>
          <w:marRight w:val="0"/>
          <w:marTop w:val="0"/>
          <w:marBottom w:val="0"/>
          <w:divBdr>
            <w:top w:val="none" w:sz="0" w:space="0" w:color="auto"/>
            <w:left w:val="none" w:sz="0" w:space="0" w:color="auto"/>
            <w:bottom w:val="none" w:sz="0" w:space="0" w:color="auto"/>
            <w:right w:val="none" w:sz="0" w:space="0" w:color="auto"/>
          </w:divBdr>
        </w:div>
        <w:div w:id="1254777862">
          <w:marLeft w:val="0"/>
          <w:marRight w:val="0"/>
          <w:marTop w:val="0"/>
          <w:marBottom w:val="0"/>
          <w:divBdr>
            <w:top w:val="none" w:sz="0" w:space="0" w:color="auto"/>
            <w:left w:val="none" w:sz="0" w:space="0" w:color="auto"/>
            <w:bottom w:val="none" w:sz="0" w:space="0" w:color="auto"/>
            <w:right w:val="none" w:sz="0" w:space="0" w:color="auto"/>
          </w:divBdr>
        </w:div>
        <w:div w:id="1258558588">
          <w:marLeft w:val="0"/>
          <w:marRight w:val="0"/>
          <w:marTop w:val="0"/>
          <w:marBottom w:val="0"/>
          <w:divBdr>
            <w:top w:val="none" w:sz="0" w:space="0" w:color="auto"/>
            <w:left w:val="none" w:sz="0" w:space="0" w:color="auto"/>
            <w:bottom w:val="none" w:sz="0" w:space="0" w:color="auto"/>
            <w:right w:val="none" w:sz="0" w:space="0" w:color="auto"/>
          </w:divBdr>
        </w:div>
        <w:div w:id="1262952512">
          <w:marLeft w:val="0"/>
          <w:marRight w:val="0"/>
          <w:marTop w:val="0"/>
          <w:marBottom w:val="0"/>
          <w:divBdr>
            <w:top w:val="none" w:sz="0" w:space="0" w:color="auto"/>
            <w:left w:val="none" w:sz="0" w:space="0" w:color="auto"/>
            <w:bottom w:val="none" w:sz="0" w:space="0" w:color="auto"/>
            <w:right w:val="none" w:sz="0" w:space="0" w:color="auto"/>
          </w:divBdr>
        </w:div>
        <w:div w:id="1267929166">
          <w:marLeft w:val="0"/>
          <w:marRight w:val="0"/>
          <w:marTop w:val="0"/>
          <w:marBottom w:val="0"/>
          <w:divBdr>
            <w:top w:val="none" w:sz="0" w:space="0" w:color="auto"/>
            <w:left w:val="none" w:sz="0" w:space="0" w:color="auto"/>
            <w:bottom w:val="none" w:sz="0" w:space="0" w:color="auto"/>
            <w:right w:val="none" w:sz="0" w:space="0" w:color="auto"/>
          </w:divBdr>
        </w:div>
        <w:div w:id="1267957246">
          <w:marLeft w:val="0"/>
          <w:marRight w:val="0"/>
          <w:marTop w:val="0"/>
          <w:marBottom w:val="0"/>
          <w:divBdr>
            <w:top w:val="none" w:sz="0" w:space="0" w:color="auto"/>
            <w:left w:val="none" w:sz="0" w:space="0" w:color="auto"/>
            <w:bottom w:val="none" w:sz="0" w:space="0" w:color="auto"/>
            <w:right w:val="none" w:sz="0" w:space="0" w:color="auto"/>
          </w:divBdr>
        </w:div>
        <w:div w:id="1270315087">
          <w:marLeft w:val="0"/>
          <w:marRight w:val="0"/>
          <w:marTop w:val="0"/>
          <w:marBottom w:val="0"/>
          <w:divBdr>
            <w:top w:val="none" w:sz="0" w:space="0" w:color="auto"/>
            <w:left w:val="none" w:sz="0" w:space="0" w:color="auto"/>
            <w:bottom w:val="none" w:sz="0" w:space="0" w:color="auto"/>
            <w:right w:val="none" w:sz="0" w:space="0" w:color="auto"/>
          </w:divBdr>
        </w:div>
        <w:div w:id="1273777873">
          <w:marLeft w:val="0"/>
          <w:marRight w:val="0"/>
          <w:marTop w:val="0"/>
          <w:marBottom w:val="0"/>
          <w:divBdr>
            <w:top w:val="none" w:sz="0" w:space="0" w:color="auto"/>
            <w:left w:val="none" w:sz="0" w:space="0" w:color="auto"/>
            <w:bottom w:val="none" w:sz="0" w:space="0" w:color="auto"/>
            <w:right w:val="none" w:sz="0" w:space="0" w:color="auto"/>
          </w:divBdr>
        </w:div>
        <w:div w:id="1274052303">
          <w:marLeft w:val="0"/>
          <w:marRight w:val="0"/>
          <w:marTop w:val="0"/>
          <w:marBottom w:val="0"/>
          <w:divBdr>
            <w:top w:val="none" w:sz="0" w:space="0" w:color="auto"/>
            <w:left w:val="none" w:sz="0" w:space="0" w:color="auto"/>
            <w:bottom w:val="none" w:sz="0" w:space="0" w:color="auto"/>
            <w:right w:val="none" w:sz="0" w:space="0" w:color="auto"/>
          </w:divBdr>
        </w:div>
        <w:div w:id="1274510411">
          <w:marLeft w:val="0"/>
          <w:marRight w:val="0"/>
          <w:marTop w:val="0"/>
          <w:marBottom w:val="0"/>
          <w:divBdr>
            <w:top w:val="none" w:sz="0" w:space="0" w:color="auto"/>
            <w:left w:val="none" w:sz="0" w:space="0" w:color="auto"/>
            <w:bottom w:val="none" w:sz="0" w:space="0" w:color="auto"/>
            <w:right w:val="none" w:sz="0" w:space="0" w:color="auto"/>
          </w:divBdr>
        </w:div>
        <w:div w:id="1276673193">
          <w:marLeft w:val="0"/>
          <w:marRight w:val="0"/>
          <w:marTop w:val="0"/>
          <w:marBottom w:val="0"/>
          <w:divBdr>
            <w:top w:val="none" w:sz="0" w:space="0" w:color="auto"/>
            <w:left w:val="none" w:sz="0" w:space="0" w:color="auto"/>
            <w:bottom w:val="none" w:sz="0" w:space="0" w:color="auto"/>
            <w:right w:val="none" w:sz="0" w:space="0" w:color="auto"/>
          </w:divBdr>
        </w:div>
        <w:div w:id="1281108193">
          <w:marLeft w:val="0"/>
          <w:marRight w:val="0"/>
          <w:marTop w:val="0"/>
          <w:marBottom w:val="0"/>
          <w:divBdr>
            <w:top w:val="none" w:sz="0" w:space="0" w:color="auto"/>
            <w:left w:val="none" w:sz="0" w:space="0" w:color="auto"/>
            <w:bottom w:val="none" w:sz="0" w:space="0" w:color="auto"/>
            <w:right w:val="none" w:sz="0" w:space="0" w:color="auto"/>
          </w:divBdr>
        </w:div>
        <w:div w:id="1281180859">
          <w:marLeft w:val="0"/>
          <w:marRight w:val="0"/>
          <w:marTop w:val="0"/>
          <w:marBottom w:val="0"/>
          <w:divBdr>
            <w:top w:val="none" w:sz="0" w:space="0" w:color="auto"/>
            <w:left w:val="none" w:sz="0" w:space="0" w:color="auto"/>
            <w:bottom w:val="none" w:sz="0" w:space="0" w:color="auto"/>
            <w:right w:val="none" w:sz="0" w:space="0" w:color="auto"/>
          </w:divBdr>
        </w:div>
        <w:div w:id="1309626759">
          <w:marLeft w:val="0"/>
          <w:marRight w:val="0"/>
          <w:marTop w:val="0"/>
          <w:marBottom w:val="0"/>
          <w:divBdr>
            <w:top w:val="none" w:sz="0" w:space="0" w:color="auto"/>
            <w:left w:val="none" w:sz="0" w:space="0" w:color="auto"/>
            <w:bottom w:val="none" w:sz="0" w:space="0" w:color="auto"/>
            <w:right w:val="none" w:sz="0" w:space="0" w:color="auto"/>
          </w:divBdr>
        </w:div>
        <w:div w:id="1315525936">
          <w:marLeft w:val="0"/>
          <w:marRight w:val="0"/>
          <w:marTop w:val="0"/>
          <w:marBottom w:val="0"/>
          <w:divBdr>
            <w:top w:val="none" w:sz="0" w:space="0" w:color="auto"/>
            <w:left w:val="none" w:sz="0" w:space="0" w:color="auto"/>
            <w:bottom w:val="none" w:sz="0" w:space="0" w:color="auto"/>
            <w:right w:val="none" w:sz="0" w:space="0" w:color="auto"/>
          </w:divBdr>
        </w:div>
        <w:div w:id="1318461720">
          <w:marLeft w:val="0"/>
          <w:marRight w:val="0"/>
          <w:marTop w:val="0"/>
          <w:marBottom w:val="0"/>
          <w:divBdr>
            <w:top w:val="none" w:sz="0" w:space="0" w:color="auto"/>
            <w:left w:val="none" w:sz="0" w:space="0" w:color="auto"/>
            <w:bottom w:val="none" w:sz="0" w:space="0" w:color="auto"/>
            <w:right w:val="none" w:sz="0" w:space="0" w:color="auto"/>
          </w:divBdr>
        </w:div>
        <w:div w:id="1321038033">
          <w:marLeft w:val="0"/>
          <w:marRight w:val="0"/>
          <w:marTop w:val="0"/>
          <w:marBottom w:val="0"/>
          <w:divBdr>
            <w:top w:val="none" w:sz="0" w:space="0" w:color="auto"/>
            <w:left w:val="none" w:sz="0" w:space="0" w:color="auto"/>
            <w:bottom w:val="none" w:sz="0" w:space="0" w:color="auto"/>
            <w:right w:val="none" w:sz="0" w:space="0" w:color="auto"/>
          </w:divBdr>
        </w:div>
        <w:div w:id="1330600859">
          <w:marLeft w:val="0"/>
          <w:marRight w:val="0"/>
          <w:marTop w:val="0"/>
          <w:marBottom w:val="0"/>
          <w:divBdr>
            <w:top w:val="none" w:sz="0" w:space="0" w:color="auto"/>
            <w:left w:val="none" w:sz="0" w:space="0" w:color="auto"/>
            <w:bottom w:val="none" w:sz="0" w:space="0" w:color="auto"/>
            <w:right w:val="none" w:sz="0" w:space="0" w:color="auto"/>
          </w:divBdr>
        </w:div>
        <w:div w:id="1343585442">
          <w:marLeft w:val="0"/>
          <w:marRight w:val="0"/>
          <w:marTop w:val="0"/>
          <w:marBottom w:val="0"/>
          <w:divBdr>
            <w:top w:val="none" w:sz="0" w:space="0" w:color="auto"/>
            <w:left w:val="none" w:sz="0" w:space="0" w:color="auto"/>
            <w:bottom w:val="none" w:sz="0" w:space="0" w:color="auto"/>
            <w:right w:val="none" w:sz="0" w:space="0" w:color="auto"/>
          </w:divBdr>
        </w:div>
        <w:div w:id="1362168453">
          <w:marLeft w:val="0"/>
          <w:marRight w:val="0"/>
          <w:marTop w:val="0"/>
          <w:marBottom w:val="0"/>
          <w:divBdr>
            <w:top w:val="none" w:sz="0" w:space="0" w:color="auto"/>
            <w:left w:val="none" w:sz="0" w:space="0" w:color="auto"/>
            <w:bottom w:val="none" w:sz="0" w:space="0" w:color="auto"/>
            <w:right w:val="none" w:sz="0" w:space="0" w:color="auto"/>
          </w:divBdr>
        </w:div>
        <w:div w:id="1368068668">
          <w:marLeft w:val="0"/>
          <w:marRight w:val="0"/>
          <w:marTop w:val="0"/>
          <w:marBottom w:val="0"/>
          <w:divBdr>
            <w:top w:val="none" w:sz="0" w:space="0" w:color="auto"/>
            <w:left w:val="none" w:sz="0" w:space="0" w:color="auto"/>
            <w:bottom w:val="none" w:sz="0" w:space="0" w:color="auto"/>
            <w:right w:val="none" w:sz="0" w:space="0" w:color="auto"/>
          </w:divBdr>
        </w:div>
        <w:div w:id="1376928830">
          <w:marLeft w:val="0"/>
          <w:marRight w:val="0"/>
          <w:marTop w:val="0"/>
          <w:marBottom w:val="0"/>
          <w:divBdr>
            <w:top w:val="none" w:sz="0" w:space="0" w:color="auto"/>
            <w:left w:val="none" w:sz="0" w:space="0" w:color="auto"/>
            <w:bottom w:val="none" w:sz="0" w:space="0" w:color="auto"/>
            <w:right w:val="none" w:sz="0" w:space="0" w:color="auto"/>
          </w:divBdr>
        </w:div>
        <w:div w:id="1383406094">
          <w:marLeft w:val="0"/>
          <w:marRight w:val="0"/>
          <w:marTop w:val="0"/>
          <w:marBottom w:val="0"/>
          <w:divBdr>
            <w:top w:val="none" w:sz="0" w:space="0" w:color="auto"/>
            <w:left w:val="none" w:sz="0" w:space="0" w:color="auto"/>
            <w:bottom w:val="none" w:sz="0" w:space="0" w:color="auto"/>
            <w:right w:val="none" w:sz="0" w:space="0" w:color="auto"/>
          </w:divBdr>
        </w:div>
        <w:div w:id="1390114008">
          <w:marLeft w:val="0"/>
          <w:marRight w:val="0"/>
          <w:marTop w:val="0"/>
          <w:marBottom w:val="0"/>
          <w:divBdr>
            <w:top w:val="none" w:sz="0" w:space="0" w:color="auto"/>
            <w:left w:val="none" w:sz="0" w:space="0" w:color="auto"/>
            <w:bottom w:val="none" w:sz="0" w:space="0" w:color="auto"/>
            <w:right w:val="none" w:sz="0" w:space="0" w:color="auto"/>
          </w:divBdr>
        </w:div>
        <w:div w:id="1391802691">
          <w:marLeft w:val="0"/>
          <w:marRight w:val="0"/>
          <w:marTop w:val="0"/>
          <w:marBottom w:val="0"/>
          <w:divBdr>
            <w:top w:val="none" w:sz="0" w:space="0" w:color="auto"/>
            <w:left w:val="none" w:sz="0" w:space="0" w:color="auto"/>
            <w:bottom w:val="none" w:sz="0" w:space="0" w:color="auto"/>
            <w:right w:val="none" w:sz="0" w:space="0" w:color="auto"/>
          </w:divBdr>
        </w:div>
        <w:div w:id="1404454027">
          <w:marLeft w:val="0"/>
          <w:marRight w:val="0"/>
          <w:marTop w:val="0"/>
          <w:marBottom w:val="0"/>
          <w:divBdr>
            <w:top w:val="none" w:sz="0" w:space="0" w:color="auto"/>
            <w:left w:val="none" w:sz="0" w:space="0" w:color="auto"/>
            <w:bottom w:val="none" w:sz="0" w:space="0" w:color="auto"/>
            <w:right w:val="none" w:sz="0" w:space="0" w:color="auto"/>
          </w:divBdr>
        </w:div>
        <w:div w:id="1411274414">
          <w:marLeft w:val="0"/>
          <w:marRight w:val="0"/>
          <w:marTop w:val="0"/>
          <w:marBottom w:val="0"/>
          <w:divBdr>
            <w:top w:val="none" w:sz="0" w:space="0" w:color="auto"/>
            <w:left w:val="none" w:sz="0" w:space="0" w:color="auto"/>
            <w:bottom w:val="none" w:sz="0" w:space="0" w:color="auto"/>
            <w:right w:val="none" w:sz="0" w:space="0" w:color="auto"/>
          </w:divBdr>
        </w:div>
        <w:div w:id="1413703651">
          <w:marLeft w:val="0"/>
          <w:marRight w:val="0"/>
          <w:marTop w:val="0"/>
          <w:marBottom w:val="0"/>
          <w:divBdr>
            <w:top w:val="none" w:sz="0" w:space="0" w:color="auto"/>
            <w:left w:val="none" w:sz="0" w:space="0" w:color="auto"/>
            <w:bottom w:val="none" w:sz="0" w:space="0" w:color="auto"/>
            <w:right w:val="none" w:sz="0" w:space="0" w:color="auto"/>
          </w:divBdr>
        </w:div>
        <w:div w:id="1415007552">
          <w:marLeft w:val="0"/>
          <w:marRight w:val="0"/>
          <w:marTop w:val="0"/>
          <w:marBottom w:val="0"/>
          <w:divBdr>
            <w:top w:val="none" w:sz="0" w:space="0" w:color="auto"/>
            <w:left w:val="none" w:sz="0" w:space="0" w:color="auto"/>
            <w:bottom w:val="none" w:sz="0" w:space="0" w:color="auto"/>
            <w:right w:val="none" w:sz="0" w:space="0" w:color="auto"/>
          </w:divBdr>
        </w:div>
        <w:div w:id="1425883544">
          <w:marLeft w:val="0"/>
          <w:marRight w:val="0"/>
          <w:marTop w:val="0"/>
          <w:marBottom w:val="0"/>
          <w:divBdr>
            <w:top w:val="none" w:sz="0" w:space="0" w:color="auto"/>
            <w:left w:val="none" w:sz="0" w:space="0" w:color="auto"/>
            <w:bottom w:val="none" w:sz="0" w:space="0" w:color="auto"/>
            <w:right w:val="none" w:sz="0" w:space="0" w:color="auto"/>
          </w:divBdr>
        </w:div>
        <w:div w:id="1427269159">
          <w:marLeft w:val="0"/>
          <w:marRight w:val="0"/>
          <w:marTop w:val="0"/>
          <w:marBottom w:val="0"/>
          <w:divBdr>
            <w:top w:val="none" w:sz="0" w:space="0" w:color="auto"/>
            <w:left w:val="none" w:sz="0" w:space="0" w:color="auto"/>
            <w:bottom w:val="none" w:sz="0" w:space="0" w:color="auto"/>
            <w:right w:val="none" w:sz="0" w:space="0" w:color="auto"/>
          </w:divBdr>
        </w:div>
        <w:div w:id="1429228354">
          <w:marLeft w:val="0"/>
          <w:marRight w:val="0"/>
          <w:marTop w:val="0"/>
          <w:marBottom w:val="0"/>
          <w:divBdr>
            <w:top w:val="none" w:sz="0" w:space="0" w:color="auto"/>
            <w:left w:val="none" w:sz="0" w:space="0" w:color="auto"/>
            <w:bottom w:val="none" w:sz="0" w:space="0" w:color="auto"/>
            <w:right w:val="none" w:sz="0" w:space="0" w:color="auto"/>
          </w:divBdr>
        </w:div>
        <w:div w:id="1429421478">
          <w:marLeft w:val="0"/>
          <w:marRight w:val="0"/>
          <w:marTop w:val="0"/>
          <w:marBottom w:val="0"/>
          <w:divBdr>
            <w:top w:val="none" w:sz="0" w:space="0" w:color="auto"/>
            <w:left w:val="none" w:sz="0" w:space="0" w:color="auto"/>
            <w:bottom w:val="none" w:sz="0" w:space="0" w:color="auto"/>
            <w:right w:val="none" w:sz="0" w:space="0" w:color="auto"/>
          </w:divBdr>
        </w:div>
        <w:div w:id="1436825015">
          <w:marLeft w:val="0"/>
          <w:marRight w:val="0"/>
          <w:marTop w:val="0"/>
          <w:marBottom w:val="0"/>
          <w:divBdr>
            <w:top w:val="none" w:sz="0" w:space="0" w:color="auto"/>
            <w:left w:val="none" w:sz="0" w:space="0" w:color="auto"/>
            <w:bottom w:val="none" w:sz="0" w:space="0" w:color="auto"/>
            <w:right w:val="none" w:sz="0" w:space="0" w:color="auto"/>
          </w:divBdr>
        </w:div>
        <w:div w:id="1444112960">
          <w:marLeft w:val="0"/>
          <w:marRight w:val="0"/>
          <w:marTop w:val="0"/>
          <w:marBottom w:val="0"/>
          <w:divBdr>
            <w:top w:val="none" w:sz="0" w:space="0" w:color="auto"/>
            <w:left w:val="none" w:sz="0" w:space="0" w:color="auto"/>
            <w:bottom w:val="none" w:sz="0" w:space="0" w:color="auto"/>
            <w:right w:val="none" w:sz="0" w:space="0" w:color="auto"/>
          </w:divBdr>
        </w:div>
        <w:div w:id="1455323047">
          <w:marLeft w:val="0"/>
          <w:marRight w:val="0"/>
          <w:marTop w:val="0"/>
          <w:marBottom w:val="0"/>
          <w:divBdr>
            <w:top w:val="none" w:sz="0" w:space="0" w:color="auto"/>
            <w:left w:val="none" w:sz="0" w:space="0" w:color="auto"/>
            <w:bottom w:val="none" w:sz="0" w:space="0" w:color="auto"/>
            <w:right w:val="none" w:sz="0" w:space="0" w:color="auto"/>
          </w:divBdr>
        </w:div>
        <w:div w:id="1455834323">
          <w:marLeft w:val="0"/>
          <w:marRight w:val="0"/>
          <w:marTop w:val="0"/>
          <w:marBottom w:val="0"/>
          <w:divBdr>
            <w:top w:val="none" w:sz="0" w:space="0" w:color="auto"/>
            <w:left w:val="none" w:sz="0" w:space="0" w:color="auto"/>
            <w:bottom w:val="none" w:sz="0" w:space="0" w:color="auto"/>
            <w:right w:val="none" w:sz="0" w:space="0" w:color="auto"/>
          </w:divBdr>
        </w:div>
        <w:div w:id="1461269228">
          <w:marLeft w:val="0"/>
          <w:marRight w:val="0"/>
          <w:marTop w:val="0"/>
          <w:marBottom w:val="0"/>
          <w:divBdr>
            <w:top w:val="none" w:sz="0" w:space="0" w:color="auto"/>
            <w:left w:val="none" w:sz="0" w:space="0" w:color="auto"/>
            <w:bottom w:val="none" w:sz="0" w:space="0" w:color="auto"/>
            <w:right w:val="none" w:sz="0" w:space="0" w:color="auto"/>
          </w:divBdr>
        </w:div>
        <w:div w:id="1470129389">
          <w:marLeft w:val="0"/>
          <w:marRight w:val="0"/>
          <w:marTop w:val="0"/>
          <w:marBottom w:val="0"/>
          <w:divBdr>
            <w:top w:val="none" w:sz="0" w:space="0" w:color="auto"/>
            <w:left w:val="none" w:sz="0" w:space="0" w:color="auto"/>
            <w:bottom w:val="none" w:sz="0" w:space="0" w:color="auto"/>
            <w:right w:val="none" w:sz="0" w:space="0" w:color="auto"/>
          </w:divBdr>
        </w:div>
        <w:div w:id="1472484727">
          <w:marLeft w:val="0"/>
          <w:marRight w:val="0"/>
          <w:marTop w:val="0"/>
          <w:marBottom w:val="0"/>
          <w:divBdr>
            <w:top w:val="none" w:sz="0" w:space="0" w:color="auto"/>
            <w:left w:val="none" w:sz="0" w:space="0" w:color="auto"/>
            <w:bottom w:val="none" w:sz="0" w:space="0" w:color="auto"/>
            <w:right w:val="none" w:sz="0" w:space="0" w:color="auto"/>
          </w:divBdr>
        </w:div>
        <w:div w:id="1477601507">
          <w:marLeft w:val="0"/>
          <w:marRight w:val="0"/>
          <w:marTop w:val="0"/>
          <w:marBottom w:val="0"/>
          <w:divBdr>
            <w:top w:val="none" w:sz="0" w:space="0" w:color="auto"/>
            <w:left w:val="none" w:sz="0" w:space="0" w:color="auto"/>
            <w:bottom w:val="none" w:sz="0" w:space="0" w:color="auto"/>
            <w:right w:val="none" w:sz="0" w:space="0" w:color="auto"/>
          </w:divBdr>
        </w:div>
        <w:div w:id="1477651468">
          <w:marLeft w:val="0"/>
          <w:marRight w:val="0"/>
          <w:marTop w:val="0"/>
          <w:marBottom w:val="0"/>
          <w:divBdr>
            <w:top w:val="none" w:sz="0" w:space="0" w:color="auto"/>
            <w:left w:val="none" w:sz="0" w:space="0" w:color="auto"/>
            <w:bottom w:val="none" w:sz="0" w:space="0" w:color="auto"/>
            <w:right w:val="none" w:sz="0" w:space="0" w:color="auto"/>
          </w:divBdr>
        </w:div>
        <w:div w:id="1481000672">
          <w:marLeft w:val="0"/>
          <w:marRight w:val="0"/>
          <w:marTop w:val="0"/>
          <w:marBottom w:val="0"/>
          <w:divBdr>
            <w:top w:val="none" w:sz="0" w:space="0" w:color="auto"/>
            <w:left w:val="none" w:sz="0" w:space="0" w:color="auto"/>
            <w:bottom w:val="none" w:sz="0" w:space="0" w:color="auto"/>
            <w:right w:val="none" w:sz="0" w:space="0" w:color="auto"/>
          </w:divBdr>
        </w:div>
        <w:div w:id="1486513989">
          <w:marLeft w:val="0"/>
          <w:marRight w:val="0"/>
          <w:marTop w:val="0"/>
          <w:marBottom w:val="0"/>
          <w:divBdr>
            <w:top w:val="none" w:sz="0" w:space="0" w:color="auto"/>
            <w:left w:val="none" w:sz="0" w:space="0" w:color="auto"/>
            <w:bottom w:val="none" w:sz="0" w:space="0" w:color="auto"/>
            <w:right w:val="none" w:sz="0" w:space="0" w:color="auto"/>
          </w:divBdr>
        </w:div>
        <w:div w:id="1487089087">
          <w:marLeft w:val="0"/>
          <w:marRight w:val="0"/>
          <w:marTop w:val="0"/>
          <w:marBottom w:val="0"/>
          <w:divBdr>
            <w:top w:val="none" w:sz="0" w:space="0" w:color="auto"/>
            <w:left w:val="none" w:sz="0" w:space="0" w:color="auto"/>
            <w:bottom w:val="none" w:sz="0" w:space="0" w:color="auto"/>
            <w:right w:val="none" w:sz="0" w:space="0" w:color="auto"/>
          </w:divBdr>
        </w:div>
        <w:div w:id="1487476336">
          <w:marLeft w:val="0"/>
          <w:marRight w:val="0"/>
          <w:marTop w:val="0"/>
          <w:marBottom w:val="0"/>
          <w:divBdr>
            <w:top w:val="none" w:sz="0" w:space="0" w:color="auto"/>
            <w:left w:val="none" w:sz="0" w:space="0" w:color="auto"/>
            <w:bottom w:val="none" w:sz="0" w:space="0" w:color="auto"/>
            <w:right w:val="none" w:sz="0" w:space="0" w:color="auto"/>
          </w:divBdr>
        </w:div>
        <w:div w:id="1492021411">
          <w:marLeft w:val="0"/>
          <w:marRight w:val="0"/>
          <w:marTop w:val="0"/>
          <w:marBottom w:val="0"/>
          <w:divBdr>
            <w:top w:val="none" w:sz="0" w:space="0" w:color="auto"/>
            <w:left w:val="none" w:sz="0" w:space="0" w:color="auto"/>
            <w:bottom w:val="none" w:sz="0" w:space="0" w:color="auto"/>
            <w:right w:val="none" w:sz="0" w:space="0" w:color="auto"/>
          </w:divBdr>
        </w:div>
        <w:div w:id="1493834559">
          <w:marLeft w:val="0"/>
          <w:marRight w:val="0"/>
          <w:marTop w:val="0"/>
          <w:marBottom w:val="0"/>
          <w:divBdr>
            <w:top w:val="none" w:sz="0" w:space="0" w:color="auto"/>
            <w:left w:val="none" w:sz="0" w:space="0" w:color="auto"/>
            <w:bottom w:val="none" w:sz="0" w:space="0" w:color="auto"/>
            <w:right w:val="none" w:sz="0" w:space="0" w:color="auto"/>
          </w:divBdr>
        </w:div>
        <w:div w:id="1495996544">
          <w:marLeft w:val="0"/>
          <w:marRight w:val="0"/>
          <w:marTop w:val="0"/>
          <w:marBottom w:val="0"/>
          <w:divBdr>
            <w:top w:val="none" w:sz="0" w:space="0" w:color="auto"/>
            <w:left w:val="none" w:sz="0" w:space="0" w:color="auto"/>
            <w:bottom w:val="none" w:sz="0" w:space="0" w:color="auto"/>
            <w:right w:val="none" w:sz="0" w:space="0" w:color="auto"/>
          </w:divBdr>
        </w:div>
        <w:div w:id="1506894631">
          <w:marLeft w:val="0"/>
          <w:marRight w:val="0"/>
          <w:marTop w:val="0"/>
          <w:marBottom w:val="0"/>
          <w:divBdr>
            <w:top w:val="none" w:sz="0" w:space="0" w:color="auto"/>
            <w:left w:val="none" w:sz="0" w:space="0" w:color="auto"/>
            <w:bottom w:val="none" w:sz="0" w:space="0" w:color="auto"/>
            <w:right w:val="none" w:sz="0" w:space="0" w:color="auto"/>
          </w:divBdr>
        </w:div>
        <w:div w:id="1528103830">
          <w:marLeft w:val="0"/>
          <w:marRight w:val="0"/>
          <w:marTop w:val="0"/>
          <w:marBottom w:val="0"/>
          <w:divBdr>
            <w:top w:val="none" w:sz="0" w:space="0" w:color="auto"/>
            <w:left w:val="none" w:sz="0" w:space="0" w:color="auto"/>
            <w:bottom w:val="none" w:sz="0" w:space="0" w:color="auto"/>
            <w:right w:val="none" w:sz="0" w:space="0" w:color="auto"/>
          </w:divBdr>
        </w:div>
        <w:div w:id="1528716169">
          <w:marLeft w:val="0"/>
          <w:marRight w:val="0"/>
          <w:marTop w:val="0"/>
          <w:marBottom w:val="0"/>
          <w:divBdr>
            <w:top w:val="none" w:sz="0" w:space="0" w:color="auto"/>
            <w:left w:val="none" w:sz="0" w:space="0" w:color="auto"/>
            <w:bottom w:val="none" w:sz="0" w:space="0" w:color="auto"/>
            <w:right w:val="none" w:sz="0" w:space="0" w:color="auto"/>
          </w:divBdr>
        </w:div>
        <w:div w:id="1534882833">
          <w:marLeft w:val="0"/>
          <w:marRight w:val="0"/>
          <w:marTop w:val="0"/>
          <w:marBottom w:val="0"/>
          <w:divBdr>
            <w:top w:val="none" w:sz="0" w:space="0" w:color="auto"/>
            <w:left w:val="none" w:sz="0" w:space="0" w:color="auto"/>
            <w:bottom w:val="none" w:sz="0" w:space="0" w:color="auto"/>
            <w:right w:val="none" w:sz="0" w:space="0" w:color="auto"/>
          </w:divBdr>
        </w:div>
        <w:div w:id="1535846509">
          <w:marLeft w:val="0"/>
          <w:marRight w:val="0"/>
          <w:marTop w:val="0"/>
          <w:marBottom w:val="0"/>
          <w:divBdr>
            <w:top w:val="none" w:sz="0" w:space="0" w:color="auto"/>
            <w:left w:val="none" w:sz="0" w:space="0" w:color="auto"/>
            <w:bottom w:val="none" w:sz="0" w:space="0" w:color="auto"/>
            <w:right w:val="none" w:sz="0" w:space="0" w:color="auto"/>
          </w:divBdr>
        </w:div>
        <w:div w:id="1546091609">
          <w:marLeft w:val="0"/>
          <w:marRight w:val="0"/>
          <w:marTop w:val="0"/>
          <w:marBottom w:val="0"/>
          <w:divBdr>
            <w:top w:val="none" w:sz="0" w:space="0" w:color="auto"/>
            <w:left w:val="none" w:sz="0" w:space="0" w:color="auto"/>
            <w:bottom w:val="none" w:sz="0" w:space="0" w:color="auto"/>
            <w:right w:val="none" w:sz="0" w:space="0" w:color="auto"/>
          </w:divBdr>
        </w:div>
        <w:div w:id="1554852037">
          <w:marLeft w:val="0"/>
          <w:marRight w:val="0"/>
          <w:marTop w:val="0"/>
          <w:marBottom w:val="0"/>
          <w:divBdr>
            <w:top w:val="none" w:sz="0" w:space="0" w:color="auto"/>
            <w:left w:val="none" w:sz="0" w:space="0" w:color="auto"/>
            <w:bottom w:val="none" w:sz="0" w:space="0" w:color="auto"/>
            <w:right w:val="none" w:sz="0" w:space="0" w:color="auto"/>
          </w:divBdr>
        </w:div>
        <w:div w:id="1582248993">
          <w:marLeft w:val="0"/>
          <w:marRight w:val="0"/>
          <w:marTop w:val="0"/>
          <w:marBottom w:val="0"/>
          <w:divBdr>
            <w:top w:val="none" w:sz="0" w:space="0" w:color="auto"/>
            <w:left w:val="none" w:sz="0" w:space="0" w:color="auto"/>
            <w:bottom w:val="none" w:sz="0" w:space="0" w:color="auto"/>
            <w:right w:val="none" w:sz="0" w:space="0" w:color="auto"/>
          </w:divBdr>
        </w:div>
        <w:div w:id="1594319734">
          <w:marLeft w:val="0"/>
          <w:marRight w:val="0"/>
          <w:marTop w:val="0"/>
          <w:marBottom w:val="0"/>
          <w:divBdr>
            <w:top w:val="none" w:sz="0" w:space="0" w:color="auto"/>
            <w:left w:val="none" w:sz="0" w:space="0" w:color="auto"/>
            <w:bottom w:val="none" w:sz="0" w:space="0" w:color="auto"/>
            <w:right w:val="none" w:sz="0" w:space="0" w:color="auto"/>
          </w:divBdr>
        </w:div>
        <w:div w:id="1608778079">
          <w:marLeft w:val="0"/>
          <w:marRight w:val="0"/>
          <w:marTop w:val="0"/>
          <w:marBottom w:val="0"/>
          <w:divBdr>
            <w:top w:val="none" w:sz="0" w:space="0" w:color="auto"/>
            <w:left w:val="none" w:sz="0" w:space="0" w:color="auto"/>
            <w:bottom w:val="none" w:sz="0" w:space="0" w:color="auto"/>
            <w:right w:val="none" w:sz="0" w:space="0" w:color="auto"/>
          </w:divBdr>
        </w:div>
        <w:div w:id="1610895322">
          <w:marLeft w:val="0"/>
          <w:marRight w:val="0"/>
          <w:marTop w:val="0"/>
          <w:marBottom w:val="0"/>
          <w:divBdr>
            <w:top w:val="none" w:sz="0" w:space="0" w:color="auto"/>
            <w:left w:val="none" w:sz="0" w:space="0" w:color="auto"/>
            <w:bottom w:val="none" w:sz="0" w:space="0" w:color="auto"/>
            <w:right w:val="none" w:sz="0" w:space="0" w:color="auto"/>
          </w:divBdr>
        </w:div>
        <w:div w:id="1618028977">
          <w:marLeft w:val="0"/>
          <w:marRight w:val="0"/>
          <w:marTop w:val="0"/>
          <w:marBottom w:val="0"/>
          <w:divBdr>
            <w:top w:val="none" w:sz="0" w:space="0" w:color="auto"/>
            <w:left w:val="none" w:sz="0" w:space="0" w:color="auto"/>
            <w:bottom w:val="none" w:sz="0" w:space="0" w:color="auto"/>
            <w:right w:val="none" w:sz="0" w:space="0" w:color="auto"/>
          </w:divBdr>
        </w:div>
        <w:div w:id="1618295111">
          <w:marLeft w:val="0"/>
          <w:marRight w:val="0"/>
          <w:marTop w:val="0"/>
          <w:marBottom w:val="0"/>
          <w:divBdr>
            <w:top w:val="none" w:sz="0" w:space="0" w:color="auto"/>
            <w:left w:val="none" w:sz="0" w:space="0" w:color="auto"/>
            <w:bottom w:val="none" w:sz="0" w:space="0" w:color="auto"/>
            <w:right w:val="none" w:sz="0" w:space="0" w:color="auto"/>
          </w:divBdr>
        </w:div>
        <w:div w:id="1620988413">
          <w:marLeft w:val="0"/>
          <w:marRight w:val="0"/>
          <w:marTop w:val="0"/>
          <w:marBottom w:val="0"/>
          <w:divBdr>
            <w:top w:val="none" w:sz="0" w:space="0" w:color="auto"/>
            <w:left w:val="none" w:sz="0" w:space="0" w:color="auto"/>
            <w:bottom w:val="none" w:sz="0" w:space="0" w:color="auto"/>
            <w:right w:val="none" w:sz="0" w:space="0" w:color="auto"/>
          </w:divBdr>
        </w:div>
        <w:div w:id="1631210399">
          <w:marLeft w:val="0"/>
          <w:marRight w:val="0"/>
          <w:marTop w:val="0"/>
          <w:marBottom w:val="0"/>
          <w:divBdr>
            <w:top w:val="none" w:sz="0" w:space="0" w:color="auto"/>
            <w:left w:val="none" w:sz="0" w:space="0" w:color="auto"/>
            <w:bottom w:val="none" w:sz="0" w:space="0" w:color="auto"/>
            <w:right w:val="none" w:sz="0" w:space="0" w:color="auto"/>
          </w:divBdr>
        </w:div>
        <w:div w:id="1636642358">
          <w:marLeft w:val="0"/>
          <w:marRight w:val="0"/>
          <w:marTop w:val="0"/>
          <w:marBottom w:val="0"/>
          <w:divBdr>
            <w:top w:val="none" w:sz="0" w:space="0" w:color="auto"/>
            <w:left w:val="none" w:sz="0" w:space="0" w:color="auto"/>
            <w:bottom w:val="none" w:sz="0" w:space="0" w:color="auto"/>
            <w:right w:val="none" w:sz="0" w:space="0" w:color="auto"/>
          </w:divBdr>
        </w:div>
        <w:div w:id="1638561295">
          <w:marLeft w:val="0"/>
          <w:marRight w:val="0"/>
          <w:marTop w:val="0"/>
          <w:marBottom w:val="0"/>
          <w:divBdr>
            <w:top w:val="none" w:sz="0" w:space="0" w:color="auto"/>
            <w:left w:val="none" w:sz="0" w:space="0" w:color="auto"/>
            <w:bottom w:val="none" w:sz="0" w:space="0" w:color="auto"/>
            <w:right w:val="none" w:sz="0" w:space="0" w:color="auto"/>
          </w:divBdr>
        </w:div>
        <w:div w:id="1644891730">
          <w:marLeft w:val="0"/>
          <w:marRight w:val="0"/>
          <w:marTop w:val="0"/>
          <w:marBottom w:val="0"/>
          <w:divBdr>
            <w:top w:val="none" w:sz="0" w:space="0" w:color="auto"/>
            <w:left w:val="none" w:sz="0" w:space="0" w:color="auto"/>
            <w:bottom w:val="none" w:sz="0" w:space="0" w:color="auto"/>
            <w:right w:val="none" w:sz="0" w:space="0" w:color="auto"/>
          </w:divBdr>
        </w:div>
        <w:div w:id="1656255393">
          <w:marLeft w:val="0"/>
          <w:marRight w:val="0"/>
          <w:marTop w:val="0"/>
          <w:marBottom w:val="0"/>
          <w:divBdr>
            <w:top w:val="none" w:sz="0" w:space="0" w:color="auto"/>
            <w:left w:val="none" w:sz="0" w:space="0" w:color="auto"/>
            <w:bottom w:val="none" w:sz="0" w:space="0" w:color="auto"/>
            <w:right w:val="none" w:sz="0" w:space="0" w:color="auto"/>
          </w:divBdr>
        </w:div>
        <w:div w:id="1659577876">
          <w:marLeft w:val="0"/>
          <w:marRight w:val="0"/>
          <w:marTop w:val="0"/>
          <w:marBottom w:val="0"/>
          <w:divBdr>
            <w:top w:val="none" w:sz="0" w:space="0" w:color="auto"/>
            <w:left w:val="none" w:sz="0" w:space="0" w:color="auto"/>
            <w:bottom w:val="none" w:sz="0" w:space="0" w:color="auto"/>
            <w:right w:val="none" w:sz="0" w:space="0" w:color="auto"/>
          </w:divBdr>
        </w:div>
        <w:div w:id="1666321552">
          <w:marLeft w:val="0"/>
          <w:marRight w:val="0"/>
          <w:marTop w:val="0"/>
          <w:marBottom w:val="0"/>
          <w:divBdr>
            <w:top w:val="none" w:sz="0" w:space="0" w:color="auto"/>
            <w:left w:val="none" w:sz="0" w:space="0" w:color="auto"/>
            <w:bottom w:val="none" w:sz="0" w:space="0" w:color="auto"/>
            <w:right w:val="none" w:sz="0" w:space="0" w:color="auto"/>
          </w:divBdr>
        </w:div>
        <w:div w:id="1683119194">
          <w:marLeft w:val="0"/>
          <w:marRight w:val="0"/>
          <w:marTop w:val="0"/>
          <w:marBottom w:val="0"/>
          <w:divBdr>
            <w:top w:val="none" w:sz="0" w:space="0" w:color="auto"/>
            <w:left w:val="none" w:sz="0" w:space="0" w:color="auto"/>
            <w:bottom w:val="none" w:sz="0" w:space="0" w:color="auto"/>
            <w:right w:val="none" w:sz="0" w:space="0" w:color="auto"/>
          </w:divBdr>
        </w:div>
        <w:div w:id="1688867068">
          <w:marLeft w:val="0"/>
          <w:marRight w:val="0"/>
          <w:marTop w:val="0"/>
          <w:marBottom w:val="0"/>
          <w:divBdr>
            <w:top w:val="none" w:sz="0" w:space="0" w:color="auto"/>
            <w:left w:val="none" w:sz="0" w:space="0" w:color="auto"/>
            <w:bottom w:val="none" w:sz="0" w:space="0" w:color="auto"/>
            <w:right w:val="none" w:sz="0" w:space="0" w:color="auto"/>
          </w:divBdr>
        </w:div>
        <w:div w:id="1694963362">
          <w:marLeft w:val="0"/>
          <w:marRight w:val="0"/>
          <w:marTop w:val="0"/>
          <w:marBottom w:val="0"/>
          <w:divBdr>
            <w:top w:val="none" w:sz="0" w:space="0" w:color="auto"/>
            <w:left w:val="none" w:sz="0" w:space="0" w:color="auto"/>
            <w:bottom w:val="none" w:sz="0" w:space="0" w:color="auto"/>
            <w:right w:val="none" w:sz="0" w:space="0" w:color="auto"/>
          </w:divBdr>
        </w:div>
        <w:div w:id="1703827533">
          <w:marLeft w:val="0"/>
          <w:marRight w:val="0"/>
          <w:marTop w:val="0"/>
          <w:marBottom w:val="0"/>
          <w:divBdr>
            <w:top w:val="none" w:sz="0" w:space="0" w:color="auto"/>
            <w:left w:val="none" w:sz="0" w:space="0" w:color="auto"/>
            <w:bottom w:val="none" w:sz="0" w:space="0" w:color="auto"/>
            <w:right w:val="none" w:sz="0" w:space="0" w:color="auto"/>
          </w:divBdr>
        </w:div>
        <w:div w:id="1705060131">
          <w:marLeft w:val="0"/>
          <w:marRight w:val="0"/>
          <w:marTop w:val="0"/>
          <w:marBottom w:val="0"/>
          <w:divBdr>
            <w:top w:val="none" w:sz="0" w:space="0" w:color="auto"/>
            <w:left w:val="none" w:sz="0" w:space="0" w:color="auto"/>
            <w:bottom w:val="none" w:sz="0" w:space="0" w:color="auto"/>
            <w:right w:val="none" w:sz="0" w:space="0" w:color="auto"/>
          </w:divBdr>
        </w:div>
        <w:div w:id="1710299622">
          <w:marLeft w:val="0"/>
          <w:marRight w:val="0"/>
          <w:marTop w:val="0"/>
          <w:marBottom w:val="0"/>
          <w:divBdr>
            <w:top w:val="none" w:sz="0" w:space="0" w:color="auto"/>
            <w:left w:val="none" w:sz="0" w:space="0" w:color="auto"/>
            <w:bottom w:val="none" w:sz="0" w:space="0" w:color="auto"/>
            <w:right w:val="none" w:sz="0" w:space="0" w:color="auto"/>
          </w:divBdr>
        </w:div>
        <w:div w:id="1713768358">
          <w:marLeft w:val="0"/>
          <w:marRight w:val="0"/>
          <w:marTop w:val="0"/>
          <w:marBottom w:val="0"/>
          <w:divBdr>
            <w:top w:val="none" w:sz="0" w:space="0" w:color="auto"/>
            <w:left w:val="none" w:sz="0" w:space="0" w:color="auto"/>
            <w:bottom w:val="none" w:sz="0" w:space="0" w:color="auto"/>
            <w:right w:val="none" w:sz="0" w:space="0" w:color="auto"/>
          </w:divBdr>
        </w:div>
        <w:div w:id="1730421324">
          <w:marLeft w:val="0"/>
          <w:marRight w:val="0"/>
          <w:marTop w:val="0"/>
          <w:marBottom w:val="0"/>
          <w:divBdr>
            <w:top w:val="none" w:sz="0" w:space="0" w:color="auto"/>
            <w:left w:val="none" w:sz="0" w:space="0" w:color="auto"/>
            <w:bottom w:val="none" w:sz="0" w:space="0" w:color="auto"/>
            <w:right w:val="none" w:sz="0" w:space="0" w:color="auto"/>
          </w:divBdr>
        </w:div>
        <w:div w:id="1735544330">
          <w:marLeft w:val="0"/>
          <w:marRight w:val="0"/>
          <w:marTop w:val="0"/>
          <w:marBottom w:val="0"/>
          <w:divBdr>
            <w:top w:val="none" w:sz="0" w:space="0" w:color="auto"/>
            <w:left w:val="none" w:sz="0" w:space="0" w:color="auto"/>
            <w:bottom w:val="none" w:sz="0" w:space="0" w:color="auto"/>
            <w:right w:val="none" w:sz="0" w:space="0" w:color="auto"/>
          </w:divBdr>
        </w:div>
        <w:div w:id="1748385053">
          <w:marLeft w:val="0"/>
          <w:marRight w:val="0"/>
          <w:marTop w:val="0"/>
          <w:marBottom w:val="0"/>
          <w:divBdr>
            <w:top w:val="none" w:sz="0" w:space="0" w:color="auto"/>
            <w:left w:val="none" w:sz="0" w:space="0" w:color="auto"/>
            <w:bottom w:val="none" w:sz="0" w:space="0" w:color="auto"/>
            <w:right w:val="none" w:sz="0" w:space="0" w:color="auto"/>
          </w:divBdr>
        </w:div>
        <w:div w:id="1769815827">
          <w:marLeft w:val="0"/>
          <w:marRight w:val="0"/>
          <w:marTop w:val="0"/>
          <w:marBottom w:val="0"/>
          <w:divBdr>
            <w:top w:val="none" w:sz="0" w:space="0" w:color="auto"/>
            <w:left w:val="none" w:sz="0" w:space="0" w:color="auto"/>
            <w:bottom w:val="none" w:sz="0" w:space="0" w:color="auto"/>
            <w:right w:val="none" w:sz="0" w:space="0" w:color="auto"/>
          </w:divBdr>
        </w:div>
        <w:div w:id="1772047509">
          <w:marLeft w:val="0"/>
          <w:marRight w:val="0"/>
          <w:marTop w:val="0"/>
          <w:marBottom w:val="0"/>
          <w:divBdr>
            <w:top w:val="none" w:sz="0" w:space="0" w:color="auto"/>
            <w:left w:val="none" w:sz="0" w:space="0" w:color="auto"/>
            <w:bottom w:val="none" w:sz="0" w:space="0" w:color="auto"/>
            <w:right w:val="none" w:sz="0" w:space="0" w:color="auto"/>
          </w:divBdr>
        </w:div>
        <w:div w:id="1792431291">
          <w:marLeft w:val="0"/>
          <w:marRight w:val="0"/>
          <w:marTop w:val="0"/>
          <w:marBottom w:val="0"/>
          <w:divBdr>
            <w:top w:val="none" w:sz="0" w:space="0" w:color="auto"/>
            <w:left w:val="none" w:sz="0" w:space="0" w:color="auto"/>
            <w:bottom w:val="none" w:sz="0" w:space="0" w:color="auto"/>
            <w:right w:val="none" w:sz="0" w:space="0" w:color="auto"/>
          </w:divBdr>
        </w:div>
        <w:div w:id="1812552474">
          <w:marLeft w:val="0"/>
          <w:marRight w:val="0"/>
          <w:marTop w:val="0"/>
          <w:marBottom w:val="0"/>
          <w:divBdr>
            <w:top w:val="none" w:sz="0" w:space="0" w:color="auto"/>
            <w:left w:val="none" w:sz="0" w:space="0" w:color="auto"/>
            <w:bottom w:val="none" w:sz="0" w:space="0" w:color="auto"/>
            <w:right w:val="none" w:sz="0" w:space="0" w:color="auto"/>
          </w:divBdr>
        </w:div>
        <w:div w:id="1815490684">
          <w:marLeft w:val="0"/>
          <w:marRight w:val="0"/>
          <w:marTop w:val="0"/>
          <w:marBottom w:val="0"/>
          <w:divBdr>
            <w:top w:val="none" w:sz="0" w:space="0" w:color="auto"/>
            <w:left w:val="none" w:sz="0" w:space="0" w:color="auto"/>
            <w:bottom w:val="none" w:sz="0" w:space="0" w:color="auto"/>
            <w:right w:val="none" w:sz="0" w:space="0" w:color="auto"/>
          </w:divBdr>
        </w:div>
        <w:div w:id="1824809414">
          <w:marLeft w:val="0"/>
          <w:marRight w:val="0"/>
          <w:marTop w:val="0"/>
          <w:marBottom w:val="0"/>
          <w:divBdr>
            <w:top w:val="none" w:sz="0" w:space="0" w:color="auto"/>
            <w:left w:val="none" w:sz="0" w:space="0" w:color="auto"/>
            <w:bottom w:val="none" w:sz="0" w:space="0" w:color="auto"/>
            <w:right w:val="none" w:sz="0" w:space="0" w:color="auto"/>
          </w:divBdr>
        </w:div>
        <w:div w:id="1846163471">
          <w:marLeft w:val="0"/>
          <w:marRight w:val="0"/>
          <w:marTop w:val="0"/>
          <w:marBottom w:val="0"/>
          <w:divBdr>
            <w:top w:val="none" w:sz="0" w:space="0" w:color="auto"/>
            <w:left w:val="none" w:sz="0" w:space="0" w:color="auto"/>
            <w:bottom w:val="none" w:sz="0" w:space="0" w:color="auto"/>
            <w:right w:val="none" w:sz="0" w:space="0" w:color="auto"/>
          </w:divBdr>
        </w:div>
        <w:div w:id="1857885527">
          <w:marLeft w:val="0"/>
          <w:marRight w:val="0"/>
          <w:marTop w:val="0"/>
          <w:marBottom w:val="0"/>
          <w:divBdr>
            <w:top w:val="none" w:sz="0" w:space="0" w:color="auto"/>
            <w:left w:val="none" w:sz="0" w:space="0" w:color="auto"/>
            <w:bottom w:val="none" w:sz="0" w:space="0" w:color="auto"/>
            <w:right w:val="none" w:sz="0" w:space="0" w:color="auto"/>
          </w:divBdr>
        </w:div>
        <w:div w:id="1873879623">
          <w:marLeft w:val="0"/>
          <w:marRight w:val="0"/>
          <w:marTop w:val="0"/>
          <w:marBottom w:val="0"/>
          <w:divBdr>
            <w:top w:val="none" w:sz="0" w:space="0" w:color="auto"/>
            <w:left w:val="none" w:sz="0" w:space="0" w:color="auto"/>
            <w:bottom w:val="none" w:sz="0" w:space="0" w:color="auto"/>
            <w:right w:val="none" w:sz="0" w:space="0" w:color="auto"/>
          </w:divBdr>
        </w:div>
        <w:div w:id="1876692469">
          <w:marLeft w:val="0"/>
          <w:marRight w:val="0"/>
          <w:marTop w:val="0"/>
          <w:marBottom w:val="0"/>
          <w:divBdr>
            <w:top w:val="none" w:sz="0" w:space="0" w:color="auto"/>
            <w:left w:val="none" w:sz="0" w:space="0" w:color="auto"/>
            <w:bottom w:val="none" w:sz="0" w:space="0" w:color="auto"/>
            <w:right w:val="none" w:sz="0" w:space="0" w:color="auto"/>
          </w:divBdr>
        </w:div>
        <w:div w:id="1888567272">
          <w:marLeft w:val="0"/>
          <w:marRight w:val="0"/>
          <w:marTop w:val="0"/>
          <w:marBottom w:val="0"/>
          <w:divBdr>
            <w:top w:val="none" w:sz="0" w:space="0" w:color="auto"/>
            <w:left w:val="none" w:sz="0" w:space="0" w:color="auto"/>
            <w:bottom w:val="none" w:sz="0" w:space="0" w:color="auto"/>
            <w:right w:val="none" w:sz="0" w:space="0" w:color="auto"/>
          </w:divBdr>
        </w:div>
        <w:div w:id="1903976512">
          <w:marLeft w:val="0"/>
          <w:marRight w:val="0"/>
          <w:marTop w:val="0"/>
          <w:marBottom w:val="0"/>
          <w:divBdr>
            <w:top w:val="none" w:sz="0" w:space="0" w:color="auto"/>
            <w:left w:val="none" w:sz="0" w:space="0" w:color="auto"/>
            <w:bottom w:val="none" w:sz="0" w:space="0" w:color="auto"/>
            <w:right w:val="none" w:sz="0" w:space="0" w:color="auto"/>
          </w:divBdr>
        </w:div>
        <w:div w:id="1926063144">
          <w:marLeft w:val="0"/>
          <w:marRight w:val="0"/>
          <w:marTop w:val="0"/>
          <w:marBottom w:val="0"/>
          <w:divBdr>
            <w:top w:val="none" w:sz="0" w:space="0" w:color="auto"/>
            <w:left w:val="none" w:sz="0" w:space="0" w:color="auto"/>
            <w:bottom w:val="none" w:sz="0" w:space="0" w:color="auto"/>
            <w:right w:val="none" w:sz="0" w:space="0" w:color="auto"/>
          </w:divBdr>
        </w:div>
        <w:div w:id="1928229766">
          <w:marLeft w:val="0"/>
          <w:marRight w:val="0"/>
          <w:marTop w:val="0"/>
          <w:marBottom w:val="0"/>
          <w:divBdr>
            <w:top w:val="none" w:sz="0" w:space="0" w:color="auto"/>
            <w:left w:val="none" w:sz="0" w:space="0" w:color="auto"/>
            <w:bottom w:val="none" w:sz="0" w:space="0" w:color="auto"/>
            <w:right w:val="none" w:sz="0" w:space="0" w:color="auto"/>
          </w:divBdr>
        </w:div>
        <w:div w:id="1936399882">
          <w:marLeft w:val="0"/>
          <w:marRight w:val="0"/>
          <w:marTop w:val="0"/>
          <w:marBottom w:val="0"/>
          <w:divBdr>
            <w:top w:val="none" w:sz="0" w:space="0" w:color="auto"/>
            <w:left w:val="none" w:sz="0" w:space="0" w:color="auto"/>
            <w:bottom w:val="none" w:sz="0" w:space="0" w:color="auto"/>
            <w:right w:val="none" w:sz="0" w:space="0" w:color="auto"/>
          </w:divBdr>
        </w:div>
        <w:div w:id="1940673996">
          <w:marLeft w:val="0"/>
          <w:marRight w:val="0"/>
          <w:marTop w:val="0"/>
          <w:marBottom w:val="0"/>
          <w:divBdr>
            <w:top w:val="none" w:sz="0" w:space="0" w:color="auto"/>
            <w:left w:val="none" w:sz="0" w:space="0" w:color="auto"/>
            <w:bottom w:val="none" w:sz="0" w:space="0" w:color="auto"/>
            <w:right w:val="none" w:sz="0" w:space="0" w:color="auto"/>
          </w:divBdr>
        </w:div>
        <w:div w:id="1947350409">
          <w:marLeft w:val="0"/>
          <w:marRight w:val="0"/>
          <w:marTop w:val="0"/>
          <w:marBottom w:val="0"/>
          <w:divBdr>
            <w:top w:val="none" w:sz="0" w:space="0" w:color="auto"/>
            <w:left w:val="none" w:sz="0" w:space="0" w:color="auto"/>
            <w:bottom w:val="none" w:sz="0" w:space="0" w:color="auto"/>
            <w:right w:val="none" w:sz="0" w:space="0" w:color="auto"/>
          </w:divBdr>
        </w:div>
        <w:div w:id="1951431634">
          <w:marLeft w:val="0"/>
          <w:marRight w:val="0"/>
          <w:marTop w:val="0"/>
          <w:marBottom w:val="0"/>
          <w:divBdr>
            <w:top w:val="none" w:sz="0" w:space="0" w:color="auto"/>
            <w:left w:val="none" w:sz="0" w:space="0" w:color="auto"/>
            <w:bottom w:val="none" w:sz="0" w:space="0" w:color="auto"/>
            <w:right w:val="none" w:sz="0" w:space="0" w:color="auto"/>
          </w:divBdr>
        </w:div>
        <w:div w:id="1954896989">
          <w:marLeft w:val="0"/>
          <w:marRight w:val="0"/>
          <w:marTop w:val="0"/>
          <w:marBottom w:val="0"/>
          <w:divBdr>
            <w:top w:val="none" w:sz="0" w:space="0" w:color="auto"/>
            <w:left w:val="none" w:sz="0" w:space="0" w:color="auto"/>
            <w:bottom w:val="none" w:sz="0" w:space="0" w:color="auto"/>
            <w:right w:val="none" w:sz="0" w:space="0" w:color="auto"/>
          </w:divBdr>
        </w:div>
        <w:div w:id="1963996498">
          <w:marLeft w:val="0"/>
          <w:marRight w:val="0"/>
          <w:marTop w:val="0"/>
          <w:marBottom w:val="0"/>
          <w:divBdr>
            <w:top w:val="none" w:sz="0" w:space="0" w:color="auto"/>
            <w:left w:val="none" w:sz="0" w:space="0" w:color="auto"/>
            <w:bottom w:val="none" w:sz="0" w:space="0" w:color="auto"/>
            <w:right w:val="none" w:sz="0" w:space="0" w:color="auto"/>
          </w:divBdr>
        </w:div>
        <w:div w:id="1972206159">
          <w:marLeft w:val="0"/>
          <w:marRight w:val="0"/>
          <w:marTop w:val="0"/>
          <w:marBottom w:val="0"/>
          <w:divBdr>
            <w:top w:val="none" w:sz="0" w:space="0" w:color="auto"/>
            <w:left w:val="none" w:sz="0" w:space="0" w:color="auto"/>
            <w:bottom w:val="none" w:sz="0" w:space="0" w:color="auto"/>
            <w:right w:val="none" w:sz="0" w:space="0" w:color="auto"/>
          </w:divBdr>
        </w:div>
        <w:div w:id="1987121271">
          <w:marLeft w:val="0"/>
          <w:marRight w:val="0"/>
          <w:marTop w:val="0"/>
          <w:marBottom w:val="0"/>
          <w:divBdr>
            <w:top w:val="none" w:sz="0" w:space="0" w:color="auto"/>
            <w:left w:val="none" w:sz="0" w:space="0" w:color="auto"/>
            <w:bottom w:val="none" w:sz="0" w:space="0" w:color="auto"/>
            <w:right w:val="none" w:sz="0" w:space="0" w:color="auto"/>
          </w:divBdr>
        </w:div>
        <w:div w:id="1989165213">
          <w:marLeft w:val="0"/>
          <w:marRight w:val="0"/>
          <w:marTop w:val="0"/>
          <w:marBottom w:val="0"/>
          <w:divBdr>
            <w:top w:val="none" w:sz="0" w:space="0" w:color="auto"/>
            <w:left w:val="none" w:sz="0" w:space="0" w:color="auto"/>
            <w:bottom w:val="none" w:sz="0" w:space="0" w:color="auto"/>
            <w:right w:val="none" w:sz="0" w:space="0" w:color="auto"/>
          </w:divBdr>
        </w:div>
        <w:div w:id="1989942185">
          <w:marLeft w:val="0"/>
          <w:marRight w:val="0"/>
          <w:marTop w:val="0"/>
          <w:marBottom w:val="0"/>
          <w:divBdr>
            <w:top w:val="none" w:sz="0" w:space="0" w:color="auto"/>
            <w:left w:val="none" w:sz="0" w:space="0" w:color="auto"/>
            <w:bottom w:val="none" w:sz="0" w:space="0" w:color="auto"/>
            <w:right w:val="none" w:sz="0" w:space="0" w:color="auto"/>
          </w:divBdr>
        </w:div>
        <w:div w:id="1994984511">
          <w:marLeft w:val="0"/>
          <w:marRight w:val="0"/>
          <w:marTop w:val="0"/>
          <w:marBottom w:val="0"/>
          <w:divBdr>
            <w:top w:val="none" w:sz="0" w:space="0" w:color="auto"/>
            <w:left w:val="none" w:sz="0" w:space="0" w:color="auto"/>
            <w:bottom w:val="none" w:sz="0" w:space="0" w:color="auto"/>
            <w:right w:val="none" w:sz="0" w:space="0" w:color="auto"/>
          </w:divBdr>
        </w:div>
        <w:div w:id="1997763913">
          <w:marLeft w:val="0"/>
          <w:marRight w:val="0"/>
          <w:marTop w:val="0"/>
          <w:marBottom w:val="0"/>
          <w:divBdr>
            <w:top w:val="none" w:sz="0" w:space="0" w:color="auto"/>
            <w:left w:val="none" w:sz="0" w:space="0" w:color="auto"/>
            <w:bottom w:val="none" w:sz="0" w:space="0" w:color="auto"/>
            <w:right w:val="none" w:sz="0" w:space="0" w:color="auto"/>
          </w:divBdr>
        </w:div>
        <w:div w:id="1998147670">
          <w:marLeft w:val="0"/>
          <w:marRight w:val="0"/>
          <w:marTop w:val="0"/>
          <w:marBottom w:val="0"/>
          <w:divBdr>
            <w:top w:val="none" w:sz="0" w:space="0" w:color="auto"/>
            <w:left w:val="none" w:sz="0" w:space="0" w:color="auto"/>
            <w:bottom w:val="none" w:sz="0" w:space="0" w:color="auto"/>
            <w:right w:val="none" w:sz="0" w:space="0" w:color="auto"/>
          </w:divBdr>
        </w:div>
        <w:div w:id="1999268307">
          <w:marLeft w:val="0"/>
          <w:marRight w:val="0"/>
          <w:marTop w:val="0"/>
          <w:marBottom w:val="0"/>
          <w:divBdr>
            <w:top w:val="none" w:sz="0" w:space="0" w:color="auto"/>
            <w:left w:val="none" w:sz="0" w:space="0" w:color="auto"/>
            <w:bottom w:val="none" w:sz="0" w:space="0" w:color="auto"/>
            <w:right w:val="none" w:sz="0" w:space="0" w:color="auto"/>
          </w:divBdr>
        </w:div>
        <w:div w:id="2026445964">
          <w:marLeft w:val="0"/>
          <w:marRight w:val="0"/>
          <w:marTop w:val="0"/>
          <w:marBottom w:val="0"/>
          <w:divBdr>
            <w:top w:val="none" w:sz="0" w:space="0" w:color="auto"/>
            <w:left w:val="none" w:sz="0" w:space="0" w:color="auto"/>
            <w:bottom w:val="none" w:sz="0" w:space="0" w:color="auto"/>
            <w:right w:val="none" w:sz="0" w:space="0" w:color="auto"/>
          </w:divBdr>
        </w:div>
        <w:div w:id="2027057332">
          <w:marLeft w:val="0"/>
          <w:marRight w:val="0"/>
          <w:marTop w:val="0"/>
          <w:marBottom w:val="0"/>
          <w:divBdr>
            <w:top w:val="none" w:sz="0" w:space="0" w:color="auto"/>
            <w:left w:val="none" w:sz="0" w:space="0" w:color="auto"/>
            <w:bottom w:val="none" w:sz="0" w:space="0" w:color="auto"/>
            <w:right w:val="none" w:sz="0" w:space="0" w:color="auto"/>
          </w:divBdr>
        </w:div>
        <w:div w:id="2028090892">
          <w:marLeft w:val="0"/>
          <w:marRight w:val="0"/>
          <w:marTop w:val="0"/>
          <w:marBottom w:val="0"/>
          <w:divBdr>
            <w:top w:val="none" w:sz="0" w:space="0" w:color="auto"/>
            <w:left w:val="none" w:sz="0" w:space="0" w:color="auto"/>
            <w:bottom w:val="none" w:sz="0" w:space="0" w:color="auto"/>
            <w:right w:val="none" w:sz="0" w:space="0" w:color="auto"/>
          </w:divBdr>
        </w:div>
        <w:div w:id="2029942967">
          <w:marLeft w:val="0"/>
          <w:marRight w:val="0"/>
          <w:marTop w:val="0"/>
          <w:marBottom w:val="0"/>
          <w:divBdr>
            <w:top w:val="none" w:sz="0" w:space="0" w:color="auto"/>
            <w:left w:val="none" w:sz="0" w:space="0" w:color="auto"/>
            <w:bottom w:val="none" w:sz="0" w:space="0" w:color="auto"/>
            <w:right w:val="none" w:sz="0" w:space="0" w:color="auto"/>
          </w:divBdr>
        </w:div>
        <w:div w:id="2038968201">
          <w:marLeft w:val="0"/>
          <w:marRight w:val="0"/>
          <w:marTop w:val="0"/>
          <w:marBottom w:val="0"/>
          <w:divBdr>
            <w:top w:val="none" w:sz="0" w:space="0" w:color="auto"/>
            <w:left w:val="none" w:sz="0" w:space="0" w:color="auto"/>
            <w:bottom w:val="none" w:sz="0" w:space="0" w:color="auto"/>
            <w:right w:val="none" w:sz="0" w:space="0" w:color="auto"/>
          </w:divBdr>
        </w:div>
        <w:div w:id="2039814750">
          <w:marLeft w:val="0"/>
          <w:marRight w:val="0"/>
          <w:marTop w:val="0"/>
          <w:marBottom w:val="0"/>
          <w:divBdr>
            <w:top w:val="none" w:sz="0" w:space="0" w:color="auto"/>
            <w:left w:val="none" w:sz="0" w:space="0" w:color="auto"/>
            <w:bottom w:val="none" w:sz="0" w:space="0" w:color="auto"/>
            <w:right w:val="none" w:sz="0" w:space="0" w:color="auto"/>
          </w:divBdr>
        </w:div>
        <w:div w:id="2042628909">
          <w:marLeft w:val="0"/>
          <w:marRight w:val="0"/>
          <w:marTop w:val="0"/>
          <w:marBottom w:val="0"/>
          <w:divBdr>
            <w:top w:val="none" w:sz="0" w:space="0" w:color="auto"/>
            <w:left w:val="none" w:sz="0" w:space="0" w:color="auto"/>
            <w:bottom w:val="none" w:sz="0" w:space="0" w:color="auto"/>
            <w:right w:val="none" w:sz="0" w:space="0" w:color="auto"/>
          </w:divBdr>
        </w:div>
        <w:div w:id="2053381317">
          <w:marLeft w:val="0"/>
          <w:marRight w:val="0"/>
          <w:marTop w:val="0"/>
          <w:marBottom w:val="0"/>
          <w:divBdr>
            <w:top w:val="none" w:sz="0" w:space="0" w:color="auto"/>
            <w:left w:val="none" w:sz="0" w:space="0" w:color="auto"/>
            <w:bottom w:val="none" w:sz="0" w:space="0" w:color="auto"/>
            <w:right w:val="none" w:sz="0" w:space="0" w:color="auto"/>
          </w:divBdr>
        </w:div>
        <w:div w:id="2056193277">
          <w:marLeft w:val="0"/>
          <w:marRight w:val="0"/>
          <w:marTop w:val="0"/>
          <w:marBottom w:val="0"/>
          <w:divBdr>
            <w:top w:val="none" w:sz="0" w:space="0" w:color="auto"/>
            <w:left w:val="none" w:sz="0" w:space="0" w:color="auto"/>
            <w:bottom w:val="none" w:sz="0" w:space="0" w:color="auto"/>
            <w:right w:val="none" w:sz="0" w:space="0" w:color="auto"/>
          </w:divBdr>
        </w:div>
        <w:div w:id="2062096776">
          <w:marLeft w:val="0"/>
          <w:marRight w:val="0"/>
          <w:marTop w:val="0"/>
          <w:marBottom w:val="0"/>
          <w:divBdr>
            <w:top w:val="none" w:sz="0" w:space="0" w:color="auto"/>
            <w:left w:val="none" w:sz="0" w:space="0" w:color="auto"/>
            <w:bottom w:val="none" w:sz="0" w:space="0" w:color="auto"/>
            <w:right w:val="none" w:sz="0" w:space="0" w:color="auto"/>
          </w:divBdr>
        </w:div>
        <w:div w:id="2068186321">
          <w:marLeft w:val="0"/>
          <w:marRight w:val="0"/>
          <w:marTop w:val="0"/>
          <w:marBottom w:val="0"/>
          <w:divBdr>
            <w:top w:val="none" w:sz="0" w:space="0" w:color="auto"/>
            <w:left w:val="none" w:sz="0" w:space="0" w:color="auto"/>
            <w:bottom w:val="none" w:sz="0" w:space="0" w:color="auto"/>
            <w:right w:val="none" w:sz="0" w:space="0" w:color="auto"/>
          </w:divBdr>
        </w:div>
        <w:div w:id="2082016607">
          <w:marLeft w:val="0"/>
          <w:marRight w:val="0"/>
          <w:marTop w:val="0"/>
          <w:marBottom w:val="0"/>
          <w:divBdr>
            <w:top w:val="none" w:sz="0" w:space="0" w:color="auto"/>
            <w:left w:val="none" w:sz="0" w:space="0" w:color="auto"/>
            <w:bottom w:val="none" w:sz="0" w:space="0" w:color="auto"/>
            <w:right w:val="none" w:sz="0" w:space="0" w:color="auto"/>
          </w:divBdr>
        </w:div>
        <w:div w:id="2094430001">
          <w:marLeft w:val="0"/>
          <w:marRight w:val="0"/>
          <w:marTop w:val="0"/>
          <w:marBottom w:val="0"/>
          <w:divBdr>
            <w:top w:val="none" w:sz="0" w:space="0" w:color="auto"/>
            <w:left w:val="none" w:sz="0" w:space="0" w:color="auto"/>
            <w:bottom w:val="none" w:sz="0" w:space="0" w:color="auto"/>
            <w:right w:val="none" w:sz="0" w:space="0" w:color="auto"/>
          </w:divBdr>
        </w:div>
        <w:div w:id="2098092964">
          <w:marLeft w:val="0"/>
          <w:marRight w:val="0"/>
          <w:marTop w:val="0"/>
          <w:marBottom w:val="0"/>
          <w:divBdr>
            <w:top w:val="none" w:sz="0" w:space="0" w:color="auto"/>
            <w:left w:val="none" w:sz="0" w:space="0" w:color="auto"/>
            <w:bottom w:val="none" w:sz="0" w:space="0" w:color="auto"/>
            <w:right w:val="none" w:sz="0" w:space="0" w:color="auto"/>
          </w:divBdr>
        </w:div>
        <w:div w:id="2101096973">
          <w:marLeft w:val="0"/>
          <w:marRight w:val="0"/>
          <w:marTop w:val="0"/>
          <w:marBottom w:val="0"/>
          <w:divBdr>
            <w:top w:val="none" w:sz="0" w:space="0" w:color="auto"/>
            <w:left w:val="none" w:sz="0" w:space="0" w:color="auto"/>
            <w:bottom w:val="none" w:sz="0" w:space="0" w:color="auto"/>
            <w:right w:val="none" w:sz="0" w:space="0" w:color="auto"/>
          </w:divBdr>
        </w:div>
        <w:div w:id="2105682450">
          <w:marLeft w:val="0"/>
          <w:marRight w:val="0"/>
          <w:marTop w:val="0"/>
          <w:marBottom w:val="0"/>
          <w:divBdr>
            <w:top w:val="none" w:sz="0" w:space="0" w:color="auto"/>
            <w:left w:val="none" w:sz="0" w:space="0" w:color="auto"/>
            <w:bottom w:val="none" w:sz="0" w:space="0" w:color="auto"/>
            <w:right w:val="none" w:sz="0" w:space="0" w:color="auto"/>
          </w:divBdr>
        </w:div>
        <w:div w:id="2111269546">
          <w:marLeft w:val="0"/>
          <w:marRight w:val="0"/>
          <w:marTop w:val="0"/>
          <w:marBottom w:val="0"/>
          <w:divBdr>
            <w:top w:val="none" w:sz="0" w:space="0" w:color="auto"/>
            <w:left w:val="none" w:sz="0" w:space="0" w:color="auto"/>
            <w:bottom w:val="none" w:sz="0" w:space="0" w:color="auto"/>
            <w:right w:val="none" w:sz="0" w:space="0" w:color="auto"/>
          </w:divBdr>
        </w:div>
        <w:div w:id="2111386822">
          <w:marLeft w:val="0"/>
          <w:marRight w:val="0"/>
          <w:marTop w:val="0"/>
          <w:marBottom w:val="0"/>
          <w:divBdr>
            <w:top w:val="none" w:sz="0" w:space="0" w:color="auto"/>
            <w:left w:val="none" w:sz="0" w:space="0" w:color="auto"/>
            <w:bottom w:val="none" w:sz="0" w:space="0" w:color="auto"/>
            <w:right w:val="none" w:sz="0" w:space="0" w:color="auto"/>
          </w:divBdr>
        </w:div>
        <w:div w:id="2111969636">
          <w:marLeft w:val="0"/>
          <w:marRight w:val="0"/>
          <w:marTop w:val="0"/>
          <w:marBottom w:val="0"/>
          <w:divBdr>
            <w:top w:val="none" w:sz="0" w:space="0" w:color="auto"/>
            <w:left w:val="none" w:sz="0" w:space="0" w:color="auto"/>
            <w:bottom w:val="none" w:sz="0" w:space="0" w:color="auto"/>
            <w:right w:val="none" w:sz="0" w:space="0" w:color="auto"/>
          </w:divBdr>
        </w:div>
        <w:div w:id="2116510057">
          <w:marLeft w:val="0"/>
          <w:marRight w:val="0"/>
          <w:marTop w:val="0"/>
          <w:marBottom w:val="0"/>
          <w:divBdr>
            <w:top w:val="none" w:sz="0" w:space="0" w:color="auto"/>
            <w:left w:val="none" w:sz="0" w:space="0" w:color="auto"/>
            <w:bottom w:val="none" w:sz="0" w:space="0" w:color="auto"/>
            <w:right w:val="none" w:sz="0" w:space="0" w:color="auto"/>
          </w:divBdr>
        </w:div>
        <w:div w:id="2135638245">
          <w:marLeft w:val="0"/>
          <w:marRight w:val="0"/>
          <w:marTop w:val="0"/>
          <w:marBottom w:val="0"/>
          <w:divBdr>
            <w:top w:val="none" w:sz="0" w:space="0" w:color="auto"/>
            <w:left w:val="none" w:sz="0" w:space="0" w:color="auto"/>
            <w:bottom w:val="none" w:sz="0" w:space="0" w:color="auto"/>
            <w:right w:val="none" w:sz="0" w:space="0" w:color="auto"/>
          </w:divBdr>
        </w:div>
        <w:div w:id="2139714194">
          <w:marLeft w:val="0"/>
          <w:marRight w:val="0"/>
          <w:marTop w:val="0"/>
          <w:marBottom w:val="0"/>
          <w:divBdr>
            <w:top w:val="none" w:sz="0" w:space="0" w:color="auto"/>
            <w:left w:val="none" w:sz="0" w:space="0" w:color="auto"/>
            <w:bottom w:val="none" w:sz="0" w:space="0" w:color="auto"/>
            <w:right w:val="none" w:sz="0" w:space="0" w:color="auto"/>
          </w:divBdr>
        </w:div>
        <w:div w:id="2139762883">
          <w:marLeft w:val="0"/>
          <w:marRight w:val="0"/>
          <w:marTop w:val="0"/>
          <w:marBottom w:val="0"/>
          <w:divBdr>
            <w:top w:val="none" w:sz="0" w:space="0" w:color="auto"/>
            <w:left w:val="none" w:sz="0" w:space="0" w:color="auto"/>
            <w:bottom w:val="none" w:sz="0" w:space="0" w:color="auto"/>
            <w:right w:val="none" w:sz="0" w:space="0" w:color="auto"/>
          </w:divBdr>
        </w:div>
        <w:div w:id="2141219306">
          <w:marLeft w:val="0"/>
          <w:marRight w:val="0"/>
          <w:marTop w:val="0"/>
          <w:marBottom w:val="0"/>
          <w:divBdr>
            <w:top w:val="none" w:sz="0" w:space="0" w:color="auto"/>
            <w:left w:val="none" w:sz="0" w:space="0" w:color="auto"/>
            <w:bottom w:val="none" w:sz="0" w:space="0" w:color="auto"/>
            <w:right w:val="none" w:sz="0" w:space="0" w:color="auto"/>
          </w:divBdr>
        </w:div>
        <w:div w:id="2143383789">
          <w:marLeft w:val="0"/>
          <w:marRight w:val="0"/>
          <w:marTop w:val="0"/>
          <w:marBottom w:val="0"/>
          <w:divBdr>
            <w:top w:val="none" w:sz="0" w:space="0" w:color="auto"/>
            <w:left w:val="none" w:sz="0" w:space="0" w:color="auto"/>
            <w:bottom w:val="none" w:sz="0" w:space="0" w:color="auto"/>
            <w:right w:val="none" w:sz="0" w:space="0" w:color="auto"/>
          </w:divBdr>
        </w:div>
      </w:divsChild>
    </w:div>
    <w:div w:id="1937471334">
      <w:bodyDiv w:val="1"/>
      <w:marLeft w:val="0"/>
      <w:marRight w:val="0"/>
      <w:marTop w:val="0"/>
      <w:marBottom w:val="0"/>
      <w:divBdr>
        <w:top w:val="none" w:sz="0" w:space="0" w:color="auto"/>
        <w:left w:val="none" w:sz="0" w:space="0" w:color="auto"/>
        <w:bottom w:val="none" w:sz="0" w:space="0" w:color="auto"/>
        <w:right w:val="none" w:sz="0" w:space="0" w:color="auto"/>
      </w:divBdr>
      <w:divsChild>
        <w:div w:id="1509178088">
          <w:marLeft w:val="0"/>
          <w:marRight w:val="0"/>
          <w:marTop w:val="0"/>
          <w:marBottom w:val="0"/>
          <w:divBdr>
            <w:top w:val="none" w:sz="0" w:space="0" w:color="auto"/>
            <w:left w:val="none" w:sz="0" w:space="0" w:color="auto"/>
            <w:bottom w:val="none" w:sz="0" w:space="0" w:color="auto"/>
            <w:right w:val="none" w:sz="0" w:space="0" w:color="auto"/>
          </w:divBdr>
          <w:divsChild>
            <w:div w:id="256905743">
              <w:marLeft w:val="0"/>
              <w:marRight w:val="0"/>
              <w:marTop w:val="0"/>
              <w:marBottom w:val="0"/>
              <w:divBdr>
                <w:top w:val="none" w:sz="0" w:space="0" w:color="auto"/>
                <w:left w:val="none" w:sz="0" w:space="0" w:color="auto"/>
                <w:bottom w:val="none" w:sz="0" w:space="0" w:color="auto"/>
                <w:right w:val="none" w:sz="0" w:space="0" w:color="auto"/>
              </w:divBdr>
            </w:div>
            <w:div w:id="118883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226">
      <w:bodyDiv w:val="1"/>
      <w:marLeft w:val="0"/>
      <w:marRight w:val="0"/>
      <w:marTop w:val="0"/>
      <w:marBottom w:val="0"/>
      <w:divBdr>
        <w:top w:val="none" w:sz="0" w:space="0" w:color="auto"/>
        <w:left w:val="none" w:sz="0" w:space="0" w:color="auto"/>
        <w:bottom w:val="none" w:sz="0" w:space="0" w:color="auto"/>
        <w:right w:val="none" w:sz="0" w:space="0" w:color="auto"/>
      </w:divBdr>
      <w:divsChild>
        <w:div w:id="1712068382">
          <w:marLeft w:val="0"/>
          <w:marRight w:val="0"/>
          <w:marTop w:val="0"/>
          <w:marBottom w:val="0"/>
          <w:divBdr>
            <w:top w:val="none" w:sz="0" w:space="0" w:color="auto"/>
            <w:left w:val="none" w:sz="0" w:space="0" w:color="auto"/>
            <w:bottom w:val="none" w:sz="0" w:space="0" w:color="auto"/>
            <w:right w:val="none" w:sz="0" w:space="0" w:color="auto"/>
          </w:divBdr>
        </w:div>
      </w:divsChild>
    </w:div>
    <w:div w:id="1993409532">
      <w:bodyDiv w:val="1"/>
      <w:marLeft w:val="0"/>
      <w:marRight w:val="0"/>
      <w:marTop w:val="0"/>
      <w:marBottom w:val="0"/>
      <w:divBdr>
        <w:top w:val="none" w:sz="0" w:space="0" w:color="auto"/>
        <w:left w:val="none" w:sz="0" w:space="0" w:color="auto"/>
        <w:bottom w:val="none" w:sz="0" w:space="0" w:color="auto"/>
        <w:right w:val="none" w:sz="0" w:space="0" w:color="auto"/>
      </w:divBdr>
      <w:divsChild>
        <w:div w:id="606697243">
          <w:marLeft w:val="0"/>
          <w:marRight w:val="0"/>
          <w:marTop w:val="0"/>
          <w:marBottom w:val="0"/>
          <w:divBdr>
            <w:top w:val="none" w:sz="0" w:space="0" w:color="auto"/>
            <w:left w:val="none" w:sz="0" w:space="0" w:color="auto"/>
            <w:bottom w:val="none" w:sz="0" w:space="0" w:color="auto"/>
            <w:right w:val="none" w:sz="0" w:space="0" w:color="auto"/>
          </w:divBdr>
          <w:divsChild>
            <w:div w:id="900292450">
              <w:marLeft w:val="0"/>
              <w:marRight w:val="0"/>
              <w:marTop w:val="0"/>
              <w:marBottom w:val="0"/>
              <w:divBdr>
                <w:top w:val="none" w:sz="0" w:space="0" w:color="auto"/>
                <w:left w:val="none" w:sz="0" w:space="0" w:color="auto"/>
                <w:bottom w:val="none" w:sz="0" w:space="0" w:color="auto"/>
                <w:right w:val="none" w:sz="0" w:space="0" w:color="auto"/>
              </w:divBdr>
            </w:div>
            <w:div w:id="16435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6893">
      <w:bodyDiv w:val="1"/>
      <w:marLeft w:val="0"/>
      <w:marRight w:val="0"/>
      <w:marTop w:val="0"/>
      <w:marBottom w:val="0"/>
      <w:divBdr>
        <w:top w:val="none" w:sz="0" w:space="0" w:color="auto"/>
        <w:left w:val="none" w:sz="0" w:space="0" w:color="auto"/>
        <w:bottom w:val="none" w:sz="0" w:space="0" w:color="auto"/>
        <w:right w:val="none" w:sz="0" w:space="0" w:color="auto"/>
      </w:divBdr>
      <w:divsChild>
        <w:div w:id="20277519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536271208\AppData\Roaming\CM_Tools\Templates\WordTemplates\A4\RBCCM\Memo.dotx" TargetMode="External"/></Relationships>
</file>

<file path=word/theme/theme1.xml><?xml version="1.0" encoding="utf-8"?>
<a:theme xmlns:a="http://schemas.openxmlformats.org/drawingml/2006/main" name="NewRBCPresentationToolsThemeFileFromWord">
  <a:themeElements>
    <a:clrScheme name="Custom 1">
      <a:dk1>
        <a:srgbClr val="000000"/>
      </a:dk1>
      <a:lt1>
        <a:srgbClr val="FFFFFF"/>
      </a:lt1>
      <a:dk2>
        <a:srgbClr val="002750"/>
      </a:dk2>
      <a:lt2>
        <a:srgbClr val="ADC2D2"/>
      </a:lt2>
      <a:accent1>
        <a:srgbClr val="002750"/>
      </a:accent1>
      <a:accent2>
        <a:srgbClr val="0051A5"/>
      </a:accent2>
      <a:accent3>
        <a:srgbClr val="6AADE4"/>
      </a:accent3>
      <a:accent4>
        <a:srgbClr val="FFD200"/>
      </a:accent4>
      <a:accent5>
        <a:srgbClr val="8499A6"/>
      </a:accent5>
      <a:accent6>
        <a:srgbClr val="9D8954"/>
      </a:accent6>
      <a:hlink>
        <a:srgbClr val="0051A5"/>
      </a:hlink>
      <a:folHlink>
        <a:srgbClr val="008FFA"/>
      </a:folHlink>
    </a:clrScheme>
    <a:fontScheme name="RBCCM_2014_Landscape">
      <a:majorFont>
        <a:latin typeface="Arial"/>
        <a:ea typeface="Geneva"/>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EBF0F5"/>
        </a:solidFill>
        <a:ln>
          <a:noFill/>
        </a:ln>
        <a:effectLst/>
        <a:extLst>
          <a:ext uri="{91240B29-F687-4F45-9708-019B960494DF}">
            <a14:hiddenLine xmlns:a14="http://schemas.microsoft.com/office/drawing/2010/main" w="9525" cap="flat" cmpd="sng" algn="ctr">
              <a:solidFill>
                <a:srgbClr val="000000"/>
              </a:solidFill>
              <a:prstDash val="solid"/>
              <a:round/>
              <a:headEnd type="none" w="med" len="med"/>
              <a:tailEnd type="none" w="med" len="med"/>
            </a14:hiddenLine>
          </a:ext>
          <a:ext uri="{AF507438-7753-43E0-B8FC-AC1667EBCBE1}">
            <a14:hiddenEffects xmlns:a14="http://schemas.microsoft.com/office/drawing/2010/main">
              <a:effectLst>
                <a:outerShdw dist="35921" dir="2700000" algn="ctr" rotWithShape="0">
                  <a:srgbClr val="808080"/>
                </a:outerShdw>
              </a:effectLst>
            </a14:hiddenEffects>
          </a:ext>
        </a:ex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defPPr marL="0" marR="0" indent="0" algn="l" defTabSz="511175" rtl="0" eaLnBrk="1" fontAlgn="base" latinLnBrk="0" hangingPunct="1">
          <a:lnSpc>
            <a:spcPct val="100000"/>
          </a:lnSpc>
          <a:spcBef>
            <a:spcPct val="0"/>
          </a:spcBef>
          <a:spcAft>
            <a:spcPct val="0"/>
          </a:spcAft>
          <a:buClrTx/>
          <a:buSzTx/>
          <a:buFontTx/>
          <a:buNone/>
          <a:tabLst/>
          <a:defRPr kumimoji="0" sz="1000" i="0" u="none" strike="noStrike" cap="none" normalizeH="0" baseline="0" smtClean="0">
            <a:ln>
              <a:noFill/>
            </a:ln>
            <a:solidFill>
              <a:srgbClr val="000000"/>
            </a:solidFill>
            <a:effectLst/>
            <a:latin typeface="Arial" panose="020B0604020202020204" pitchFamily="34" charset="0"/>
            <a:ea typeface="Geneva" pitchFamily="1" charset="-128"/>
          </a:defRPr>
        </a:defPPr>
      </a:lstStyle>
    </a:spDef>
    <a:lnDef>
      <a:spPr bwMode="auto">
        <a:noFill/>
        <a:ln w="9525" cap="flat" cmpd="sng" algn="ctr">
          <a:solidFill>
            <a:srgbClr val="000000"/>
          </a:solidFill>
          <a:prstDash val="solid"/>
          <a:round/>
          <a:headEnd type="none" w="med" len="med"/>
          <a:tailEnd type="none" w="med" len="me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a:spPr>
      <a:bodyPr/>
      <a:lstStyle/>
    </a:lnDef>
    <a:txDef>
      <a:spPr>
        <a:noFill/>
        <a:extLst>
          <a:ext uri="{909E8E84-426E-40DD-AFC4-6F175D3DCCD1}">
            <a14:hiddenFill xmlns:a14="http://schemas.microsoft.com/office/drawing/2010/main">
              <a:solidFill>
                <a:srgbClr val="EBF0F5"/>
              </a:solidFill>
            </a14:hiddenFill>
          </a:ext>
        </a:extLst>
      </a:spPr>
      <a:bodyPr vert="horz" wrap="square" rtlCol="0">
        <a:noAutofit/>
      </a:bodyPr>
      <a:lstStyle>
        <a:defPPr algn="l">
          <a:defRPr sz="1000" dirty="0" smtClean="0">
            <a:solidFill>
              <a:srgbClr val="000000"/>
            </a:solidFill>
            <a:latin typeface="Arial" panose="020B0604020202020204" pitchFamily="34" charset="0"/>
          </a:defRPr>
        </a:defPPr>
      </a:lstStyle>
    </a:txDef>
  </a:objectDefaults>
  <a:extraClrSchemeLst>
    <a:extraClrScheme>
      <a:clrScheme name="RBCCM_2014_Landscape 1">
        <a:dk1>
          <a:srgbClr val="000000"/>
        </a:dk1>
        <a:lt1>
          <a:srgbClr val="FFFFFF"/>
        </a:lt1>
        <a:dk2>
          <a:srgbClr val="003263"/>
        </a:dk2>
        <a:lt2>
          <a:srgbClr val="FFD200"/>
        </a:lt2>
        <a:accent1>
          <a:srgbClr val="0060A9"/>
        </a:accent1>
        <a:accent2>
          <a:srgbClr val="6AADE4"/>
        </a:accent2>
        <a:accent3>
          <a:srgbClr val="FFFFFF"/>
        </a:accent3>
        <a:accent4>
          <a:srgbClr val="000000"/>
        </a:accent4>
        <a:accent5>
          <a:srgbClr val="AAB6D1"/>
        </a:accent5>
        <a:accent6>
          <a:srgbClr val="5F9CCF"/>
        </a:accent6>
        <a:hlink>
          <a:srgbClr val="6F6E6F"/>
        </a:hlink>
        <a:folHlink>
          <a:srgbClr val="8499A6"/>
        </a:folHlink>
      </a:clrScheme>
      <a:clrMap bg1="lt1" tx1="dk1" bg2="lt2" tx2="dk2" accent1="accent1" accent2="accent2" accent3="accent3" accent4="accent4" accent5="accent5" accent6="accent6" hlink="hlink" folHlink="folHlink"/>
    </a:extraClrScheme>
  </a:extraClrSchemeLst>
  <a:custClrLst>
    <a:custClr name="Dark Blue">
      <a:srgbClr val="002750"/>
    </a:custClr>
    <a:custClr name="Bright Blue">
      <a:srgbClr val="0051A5"/>
    </a:custClr>
    <a:custClr name="Light Blue">
      <a:srgbClr val="73B0E3"/>
    </a:custClr>
    <a:custClr name="Yellow">
      <a:srgbClr val="FEDF01"/>
    </a:custClr>
    <a:custClr name="Blue-Grey">
      <a:srgbClr val="8499A6"/>
    </a:custClr>
    <a:custClr name="Gold">
      <a:srgbClr val="E8CF00"/>
    </a:custClr>
    <a:custClr name="Orange">
      <a:srgbClr val="FCA311"/>
    </a:custClr>
    <a:custClr name="Red">
      <a:srgbClr val="9B301B"/>
    </a:custClr>
    <a:custClr name="Silver">
      <a:srgbClr val="700078"/>
    </a:custClr>
    <a:custClr name="Slate">
      <a:srgbClr val="6F6E6F"/>
    </a:custClr>
    <a:custClr name="Dark Blue Tint 1">
      <a:srgbClr val="74748E"/>
    </a:custClr>
    <a:custClr name="Bright Blue Tint 1">
      <a:srgbClr val="0800C3"/>
    </a:custClr>
    <a:custClr name="Light Blue Tint 2">
      <a:srgbClr val="E3F4FF"/>
    </a:custClr>
    <a:custClr name="Yellow Tint 1">
      <a:srgbClr val="FFE692"/>
    </a:custClr>
    <a:custClr name="Blue-Grey Tint 1">
      <a:srgbClr val="ADC2D2"/>
    </a:custClr>
    <a:custClr name="Gold Tint 1">
      <a:srgbClr val="F2E395"/>
    </a:custClr>
    <a:custClr name="Orange Tint 1">
      <a:srgbClr val="FDC16B"/>
    </a:custClr>
    <a:custClr name="Red Tint 1">
      <a:srgbClr val="BD695D"/>
    </a:custClr>
    <a:custClr name="Silver Tint 3">
      <a:srgbClr val="DCDDDE"/>
    </a:custClr>
    <a:custClr name="Slate Tint 1">
      <a:srgbClr val="9D9D9D"/>
    </a:custClr>
    <a:custClr name="Dark Blue Tint 2">
      <a:srgbClr val="BBBAC7"/>
    </a:custClr>
    <a:custClr name="Bright Blue Tint 2">
      <a:srgbClr val="C3E2FA"/>
    </a:custClr>
    <a:custClr name="Grey (table shading)">
      <a:srgbClr val="E6EBF0"/>
    </a:custClr>
    <a:custClr name="Yellow Tint 2">
      <a:srgbClr val="FFF3D5"/>
    </a:custClr>
    <a:custClr name="Blue-Grey Tint 2">
      <a:srgbClr val="D3DDE5"/>
    </a:custClr>
    <a:custClr name="Gold Tint 2">
      <a:srgbClr val="FBF7E6"/>
    </a:custClr>
    <a:custClr name="Orange Tint 2">
      <a:srgbClr val="FFE2BA"/>
    </a:custClr>
    <a:custClr name="Red Tint 2">
      <a:srgbClr val="DFB4AA"/>
    </a:custClr>
    <a:custClr name="Silver tint 4">
      <a:srgbClr val="F2F1F0"/>
    </a:custClr>
    <a:custClr name="Slate Tint 2">
      <a:srgbClr val="D7D7D7"/>
    </a:custClr>
    <a:custClr name="Light Grey">
      <a:srgbClr val="C1B5A5"/>
    </a:custClr>
    <a:custClr name="Beige">
      <a:srgbClr val="B8A970"/>
    </a:custClr>
    <a:custClr name="Brown">
      <a:srgbClr val="906646"/>
    </a:custClr>
    <a:custClr name="Apple">
      <a:srgbClr val="AABA0A"/>
    </a:custClr>
    <a:custClr name="Green">
      <a:srgbClr val="6B702B"/>
    </a:custClr>
    <a:custClr name="Warm red">
      <a:srgbClr val="F93F26"/>
    </a:custClr>
    <a:custClr name="Light Grey Tint 4">
      <a:srgbClr val="F4F2E8"/>
    </a:custClr>
    <a:custClr name="Beige Tint 4">
      <a:srgbClr val="F3F0E8"/>
    </a:custClr>
    <a:custClr name="Grey (map fill)">
      <a:srgbClr val="CDD1D0"/>
    </a:custClr>
    <a:custClr name="Warm red Tint 3">
      <a:srgbClr val="F4CEBB"/>
    </a:custClr>
    <a:custClr name="Light Grey Tint 2">
      <a:srgbClr val="E1DDD5"/>
    </a:custClr>
    <a:custClr name="Beige Tint 2">
      <a:srgbClr val="DFD8BF"/>
    </a:custClr>
    <a:custClr name="Brown Tint 2">
      <a:srgbClr val="D7BFAD"/>
    </a:custClr>
    <a:custClr name="Apple Tint 3">
      <a:srgbClr val="F2F3B9"/>
    </a:custClr>
    <a:custClr name="Green Tint 2">
      <a:srgbClr val="C8CE7C"/>
    </a:custClr>
  </a:custClrLst>
  <a:extLst>
    <a:ext uri="{05A4C25C-085E-4340-85A3-A5531E510DB2}">
      <thm15:themeFamily xmlns:thm15="http://schemas.microsoft.com/office/thememl/2012/main" name="NewRBCPresentationToolsThemeFileFromPowerPoint" id="{0F958595-073D-493C-A424-D79133AF84A0}" vid="{E88EAE35-7907-43BD-926C-094921D8B9C9}"/>
    </a:ext>
  </a:extLst>
</a:theme>
</file>

<file path=docProps/app.xml><?xml version="1.0" encoding="utf-8"?>
<Properties xmlns="http://schemas.openxmlformats.org/officeDocument/2006/extended-properties" xmlns:vt="http://schemas.openxmlformats.org/officeDocument/2006/docPropsVTypes">
  <Template>Memo</Template>
  <TotalTime>2</TotalTime>
  <Pages>1</Pages>
  <Words>14</Words>
  <Characters>77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Supporting your Growth &amp; Profitability</vt:lpstr>
    </vt:vector>
  </TitlesOfParts>
  <Manager/>
  <Company>RBC Investor Services</Company>
  <LinksUpToDate>false</LinksUpToDate>
  <CharactersWithSpaces>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your Growth &amp; Profitability</dc:title>
  <dc:subject/>
  <dc:creator>Ian Sinclair</dc:creator>
  <cp:keywords/>
  <dc:description/>
  <cp:lastModifiedBy>Ian Sinclair</cp:lastModifiedBy>
  <cp:revision>3</cp:revision>
  <cp:lastPrinted>2026-02-01T17:46:00Z</cp:lastPrinted>
  <dcterms:created xsi:type="dcterms:W3CDTF">2026-03-09T12:37:00Z</dcterms:created>
  <dcterms:modified xsi:type="dcterms:W3CDTF">2026-03-09T12:38:00Z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Name">
    <vt:lpwstr>Word Template</vt:lpwstr>
  </property>
  <property fmtid="{D5CDD505-2E9C-101B-9397-08002B2CF9AE}" pid="3" name="Version">
    <vt:lpwstr>1.00</vt:lpwstr>
  </property>
  <property fmtid="{D5CDD505-2E9C-101B-9397-08002B2CF9AE}" pid="4" name="Developer">
    <vt:lpwstr>Dylan Curry, Creative Design Manager</vt:lpwstr>
  </property>
  <property fmtid="{D5CDD505-2E9C-101B-9397-08002B2CF9AE}" pid="5" name="Client">
    <vt:lpwstr>RBC Investor Services</vt:lpwstr>
  </property>
  <property fmtid="{D5CDD505-2E9C-101B-9397-08002B2CF9AE}" pid="6" name="Language">
    <vt:i4>44</vt:i4>
  </property>
  <property fmtid="{D5CDD505-2E9C-101B-9397-08002B2CF9AE}" pid="7" name="ListSeperator">
    <vt:lpwstr/>
  </property>
  <property fmtid="{D5CDD505-2E9C-101B-9397-08002B2CF9AE}" pid="8" name="RBCLogoUsed">
    <vt:lpwstr>RBCCM</vt:lpwstr>
  </property>
  <property fmtid="{D5CDD505-2E9C-101B-9397-08002B2CF9AE}" pid="9" name="RBCGroup">
    <vt:lpwstr>Capital Markets</vt:lpwstr>
  </property>
  <property fmtid="{D5CDD505-2E9C-101B-9397-08002B2CF9AE}" pid="10" name="MSIP_Label_f01692fd-22c0-4d57-8827-ca1b33aa058d_Enabled">
    <vt:lpwstr>true</vt:lpwstr>
  </property>
  <property fmtid="{D5CDD505-2E9C-101B-9397-08002B2CF9AE}" pid="11" name="MSIP_Label_f01692fd-22c0-4d57-8827-ca1b33aa058d_Method">
    <vt:lpwstr>Privileged</vt:lpwstr>
  </property>
  <property fmtid="{D5CDD505-2E9C-101B-9397-08002B2CF9AE}" pid="12" name="MSIP_Label_f01692fd-22c0-4d57-8827-ca1b33aa058d_SiteId">
    <vt:lpwstr>9323b596-236d-4890-bed3-60232a849027</vt:lpwstr>
  </property>
  <property fmtid="{D5CDD505-2E9C-101B-9397-08002B2CF9AE}" pid="13" name="Classification">
    <vt:lpwstr>TT_RBC_Internal</vt:lpwstr>
  </property>
</Properties>
</file>