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22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sharp escalation in global trade tensions following the United States' announcement of a broadened tariff regime targeting European and Asian manufactured goods, which has injected significant volatility across equity, fixed income, and FX markets and elevated operational demands on custodians and fund administrators managing cross-border portfolios. The Federal Reserve held rates steady at its March meeting, but markedly dovish language fuelled a rally in US Treasuries and compressed the front end of the yield curve, while the Bank of Canada signalled a further 25 bp cut may come in April, pushing the Canadian dollar to multi-month lows against the US dollar. In the competitive landscape, State Street completed its acquisition of a European fund administration platform, and BNY Mellon announced an expanded digital asset custody offering, underscoring the accelerating convergence of traditional and digital asset servicing. From a regulatory standpoint, ESMA published its final technical standards on fund liquidity stress testing, the SEC confirmed a compressed reporting timeline for Form PF, and the Canadian Securities Administrators issued updated guidance on crypto-asset fund structures — all of which carry direct operational implications for RBC Investor Services and its client base. Operational resilience and cyber risk remain elevated on the risk dashboard amid a reported increase in ransomware campaigns targeting financial infrastructure providers across North America and Europe.</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The S and P 500 declined approximately 3 to 4 percent month-to-date through 21 March, driven by trade-war fears and a rotation out of mega-cap technology names; the VIX spiked above 22, meaningfully above its 2025 average near 15, increasing margin call volumes and collateral movements across custodial accounts.</w:t>
      </w:r>
    </w:p>
    <w:p>
      <w:pPr>
        <w:spacing w:after="60"/>
      </w:pPr>
      <w:r>
        <w:rPr>
          <w:rFonts w:ascii="Calibri" w:hAnsi="Calibri"/>
          <w:sz w:val="21"/>
        </w:rPr>
        <w:t>US 10-year Treasury yields fell roughly 20 basis points to approximately 3.85 percent as investors sought safe-haven assets, while the 2y/10y spread compressed to near-flat territory, complicating duration management for fixed-income fund administrators performing daily NAV calculations on bond-heavy mandates.</w:t>
      </w:r>
    </w:p>
    <w:p>
      <w:pPr>
        <w:spacing w:after="60"/>
      </w:pPr>
      <w:r>
        <w:rPr>
          <w:rFonts w:ascii="Calibri" w:hAnsi="Calibri"/>
          <w:sz w:val="21"/>
        </w:rPr>
        <w:t>The Canadian dollar weakened to approximately 1.41 CAD/USD, its softest level since mid-2024, pressured by lower oil prices (Brent crude fell to approximately USD 72 per barrel) and expectations of further Bank of Canada easing; this creates FX translation effects for Canadian pension plans with unhedged foreign allocations serviced by RBC IS.</w:t>
      </w:r>
    </w:p>
    <w:p>
      <w:pPr>
        <w:spacing w:after="60"/>
      </w:pPr>
      <w:r>
        <w:rPr>
          <w:rFonts w:ascii="Calibri" w:hAnsi="Calibri"/>
          <w:sz w:val="21"/>
        </w:rPr>
        <w:t>European equities (EURO STOXX 50) underperformed on tariff exposure, declining approximately 4 percent, while the FTSE 100 proved relatively resilient, down about 2 percent, supported by its commodity and defensive sector weighting.</w:t>
      </w:r>
    </w:p>
    <w:p>
      <w:pPr>
        <w:spacing w:after="60"/>
      </w:pPr>
      <w:r>
        <w:rPr>
          <w:rFonts w:ascii="Calibri" w:hAnsi="Calibri"/>
          <w:sz w:val="21"/>
        </w:rPr>
        <w:t>The Japanese yen strengthened sharply as Bank of Japan rhetoric suggested possible further tightening in Q2, pushing USD/JPY to approximately 144; this is relevant for custodians servicing Japanese Government Bond and equity mandates and managing associated FX settlement flows.</w:t>
      </w:r>
    </w:p>
    <w:p>
      <w:pPr>
        <w:spacing w:after="60"/>
      </w:pPr>
      <w:r>
        <w:rPr>
          <w:rFonts w:ascii="Calibri" w:hAnsi="Calibri"/>
          <w:sz w:val="21"/>
        </w:rPr>
        <w:t>Gold surged to approximately USD 2,350 per ounce, its highest level in 2026, reflecting safe-haven demand and central bank purchasing — a trend that increases physical custody and ETF administration volumes.</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The SEC confirmed that the revised Form PF reporting requirements, including the 72-hour current reporting obligation for qualifying hedge fund advisers, will take full effect on 1 April 2026; fund administrators servicing US-registered advisers must ensure automated triggers and data pipelines are operational to meet compressed timelines.</w:t>
      </w:r>
    </w:p>
    <w:p>
      <w:pPr>
        <w:spacing w:after="60"/>
      </w:pPr>
      <w:r>
        <w:rPr>
          <w:rFonts w:ascii="Calibri" w:hAnsi="Calibri"/>
          <w:sz w:val="21"/>
        </w:rPr>
        <w:t>ESMA published its final Report on Guidelines on Liquidity Stress Testing in UCITS and AIFs (delayed from Q4 2025), requiring enhanced scenario modelling for redemption pressures under market stress; Luxembourg and Irish fund boards — and their administrators — have a six-month implementation window, directly impacting RBC IS operations in Dublin and Luxembourg.</w:t>
      </w:r>
    </w:p>
    <w:p>
      <w:pPr>
        <w:spacing w:after="60"/>
      </w:pPr>
      <w:r>
        <w:rPr>
          <w:rFonts w:ascii="Calibri" w:hAnsi="Calibri"/>
          <w:sz w:val="21"/>
        </w:rPr>
        <w:t>The Canadian Securities Administrators (CSA) released Staff Notice 21-334 providing updated guidance on the custody, valuation, and NAV computation for crypto-asset investment funds offered under prospectus, reinforcing requirements for qualified custodians and independent valuation sources — relevant to RBC IS as Canadian managers expand digital asset fund offerings.</w:t>
      </w:r>
    </w:p>
    <w:p>
      <w:pPr>
        <w:spacing w:after="60"/>
      </w:pPr>
      <w:r>
        <w:rPr>
          <w:rFonts w:ascii="Calibri" w:hAnsi="Calibri"/>
          <w:sz w:val="21"/>
        </w:rPr>
        <w:t>The FCA published a consultation paper (CP26/4) proposing amendments to the UK's Senior Managers and Certification Regime (SMCR) that would extend prescribed responsibilities to heads of outsourced fund administration and transfer agency functions, potentially increasing personal accountability for senior RBC IS staff in London.</w:t>
      </w:r>
    </w:p>
    <w:p>
      <w:pPr>
        <w:spacing w:after="60"/>
      </w:pPr>
      <w:r>
        <w:rPr>
          <w:rFonts w:ascii="Calibri" w:hAnsi="Calibri"/>
          <w:sz w:val="21"/>
        </w:rPr>
        <w:t>The Basel Committee on Banking Supervision issued a progress report on the implementation of the revised crypto-asset prudential framework (finalised December 2024), noting that most G-SIBs are on track for the 1 January 2027 compliance date; custodians holding digital assets on balance sheet must accelerate capital planning.</w:t>
      </w:r>
    </w:p>
    <w:p>
      <w:pPr>
        <w:spacing w:after="60"/>
      </w:pPr>
      <w:r>
        <w:rPr>
          <w:rFonts w:ascii="Calibri" w:hAnsi="Calibri"/>
          <w:sz w:val="21"/>
        </w:rPr>
        <w:t>The Ontario Securities Commission (OSC) and Autorite des marches financiers (AMF) jointly proposed rule amendments to National Instrument 81-102 that would permit broader use of derivatives and leverage in alternative mutual funds, requiring fund administrators to enhance risk reporting and daily margin monitoring capabilities.</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State Street completed its acquisition of Fondcenter-adjacent European fund distribution and administration platform from a mid-tier provider, adding approximately EUR 120 billion in assets under administration and signalling its intent to compete more aggressively in the Luxembourg and Irish fund servicing markets — a space where RBC IS maintains significant presence.</w:t>
      </w:r>
    </w:p>
    <w:p>
      <w:pPr>
        <w:spacing w:after="60"/>
      </w:pPr>
      <w:r>
        <w:rPr>
          <w:rFonts w:ascii="Calibri" w:hAnsi="Calibri"/>
          <w:sz w:val="21"/>
        </w:rPr>
        <w:t>BNY Mellon announced the expansion of its Digital Asset Custody platform to support tokenised money market funds and US Treasury tokens, partnering with a major blockchain infrastructure provider; the move positions BNY as the first top-tier custodian to offer integrated traditional and tokenised fund servicing at scale.</w:t>
      </w:r>
    </w:p>
    <w:p>
      <w:pPr>
        <w:spacing w:after="60"/>
      </w:pPr>
      <w:r>
        <w:rPr>
          <w:rFonts w:ascii="Calibri" w:hAnsi="Calibri"/>
          <w:sz w:val="21"/>
        </w:rPr>
        <w:t>Northern Trust launched an enhanced data analytics and reporting suite branded NT Insights, powered by generative AI, aimed at institutional investors seeking on-demand portfolio transparency; the product targets the same pension fund and insurance company client segment that RBC IS serves in Canada and EMEA.</w:t>
      </w:r>
    </w:p>
    <w:p>
      <w:pPr>
        <w:spacing w:after="60"/>
      </w:pPr>
      <w:r>
        <w:rPr>
          <w:rFonts w:ascii="Calibri" w:hAnsi="Calibri"/>
          <w:sz w:val="21"/>
        </w:rPr>
        <w:t>Citi Securities Services disclosed a strategic partnership with a leading RegTech firm to automate cross-border regulatory reporting across 90 markets, reducing manual intervention by an estimated 60 percent — a capability that raises the bar for competitors on operational efficiency.</w:t>
      </w:r>
    </w:p>
    <w:p>
      <w:pPr>
        <w:spacing w:after="60"/>
      </w:pPr>
      <w:r>
        <w:rPr>
          <w:rFonts w:ascii="Calibri" w:hAnsi="Calibri"/>
          <w:sz w:val="21"/>
        </w:rPr>
        <w:t>HSBC Securities Services confirmed it is consolidating its Asia-Pacific sub-custody network onto a single technology platform by Q3 2026, aiming to reduce settlement fails and improve real-time position reporting for global asset managers with Asian allocations.</w:t>
      </w:r>
    </w:p>
    <w:p>
      <w:pPr>
        <w:spacing w:after="60"/>
      </w:pPr>
      <w:r>
        <w:rPr>
          <w:rFonts w:ascii="Calibri" w:hAnsi="Calibri"/>
          <w:sz w:val="21"/>
        </w:rPr>
        <w:t>Among FinTech challengers, Taurus (Switzerland-based digital asset infrastructure provider) raised a Series C round reportedly valued at over USD 100 million, and Taskize announced an integration with SWIFT's Securities View to enable exception management across the T plus 1 settlement chain — both developments indicative of the growing technology investment flowing into post-trade and asset servicing innovation.</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Escalating trade-war volatility</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Broadened US tariffs on EU and Asian goods are generating equity and FX swings that increase margin call volumes, NAV pricing complexity, and collateral management demands.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Ransomware targeting financial infrastructure</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Multiple intelligence agencies have warned of a coordinated ransomware campaign directed at custodians, transfer agents, and market utilities in North America and Europe during Q1 2026.</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Compressed regulatory reporting deadlines</w:t>
            </w:r>
          </w:p>
        </w:tc>
        <w:tc>
          <w:tcPr>
            <w:tcW w:type="dxa" w:w="2437"/>
          </w:tcPr>
          <w:p>
            <w:pPr>
              <w:spacing w:after="40" w:before="40"/>
            </w:pPr>
            <w:r>
              <w:rPr>
                <w:rFonts w:ascii="Calibri" w:hAnsi="Calibri"/>
                <w:b w:val="0"/>
                <w:sz w:val="20"/>
              </w:rPr>
              <w:t>REGULATORY</w:t>
            </w:r>
          </w:p>
        </w:tc>
        <w:tc>
          <w:tcPr>
            <w:tcW w:type="dxa" w:w="2437"/>
          </w:tcPr>
          <w:p>
            <w:pPr>
              <w:spacing w:after="40" w:before="40"/>
            </w:pPr>
            <w:r>
              <w:rPr>
                <w:rFonts w:ascii="Calibri" w:hAnsi="Calibri"/>
                <w:b w:val="0"/>
                <w:sz w:val="20"/>
              </w:rPr>
              <w:t>Simultaneous implementation of SEC Form PF current reporting (1 April) and ESMA liquidity stress testing guidelines create execution risk for fund administration operations.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Canadian dollar depreciation and FX settlement risk</w:t>
            </w:r>
          </w:p>
        </w:tc>
        <w:tc>
          <w:tcPr>
            <w:tcW w:type="dxa" w:w="2437"/>
            <w:shd w:val="clear" w:color="auto" w:fill="EEF3FA"/>
          </w:tcPr>
          <w:p>
            <w:pPr>
              <w:spacing w:after="40" w:before="40"/>
            </w:pPr>
            <w:r>
              <w:rPr>
                <w:rFonts w:ascii="Calibri" w:hAnsi="Calibri"/>
                <w:b w:val="0"/>
                <w:sz w:val="20"/>
              </w:rPr>
              <w:t>LIQUIDITY</w:t>
            </w:r>
          </w:p>
        </w:tc>
        <w:tc>
          <w:tcPr>
            <w:tcW w:type="dxa" w:w="2437"/>
            <w:shd w:val="clear" w:color="auto" w:fill="EEF3FA"/>
          </w:tcPr>
          <w:p>
            <w:pPr>
              <w:spacing w:after="40" w:before="40"/>
            </w:pPr>
            <w:r>
              <w:rPr>
                <w:rFonts w:ascii="Calibri" w:hAnsi="Calibri"/>
                <w:b w:val="0"/>
                <w:sz w:val="20"/>
              </w:rPr>
              <w:t>CAD weakness to multi-month lows increases FX settlement exposures and potential for CLS-related liquidity mismatches on high-volume days.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Counterparty credit stress in commercial real estate funds</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Rising defaults in US and European commercial real estate loan portfolios held by funds under administration elevate NAV uncertainty and side-pocket triggering risk.</w:t>
            </w:r>
          </w:p>
        </w:tc>
        <w:tc>
          <w:tcPr>
            <w:tcW w:type="dxa" w:w="2437"/>
          </w:tcPr>
          <w:p>
            <w:pPr>
              <w:spacing w:after="40" w:before="40"/>
            </w:pPr>
            <w:r>
              <w:rPr>
                <w:rFonts w:ascii="Calibri" w:hAnsi="Calibri"/>
                <w:b/>
                <w:color w:val="FF8000"/>
                <w:sz w:val="20"/>
              </w:rPr>
              <w:t>→ STABLE</w:t>
            </w:r>
          </w:p>
        </w:tc>
      </w:tr>
    </w:tbl>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Generative AI adoption in fund administration continues to accelerate: several large administrators, including SS and C and BNY Mellon, have reported deploying large language model-based tools for NAV exception review, investor query handling, and regulatory filing pre-population, with early evidence suggesting 20 to 30 percent reductions in manual intervention on routine tasks.</w:t>
      </w:r>
    </w:p>
    <w:p>
      <w:pPr>
        <w:spacing w:after="60"/>
      </w:pPr>
      <w:r>
        <w:rPr>
          <w:rFonts w:ascii="Calibri" w:hAnsi="Calibri"/>
          <w:sz w:val="21"/>
        </w:rPr>
        <w:t>Tokenisation of traditional securities gained further momentum as Franklin Templeton expanded its tokenised US Government Money Fund to a third blockchain (Stellar, Polygon, and now Avalanche), and the Luxembourg Stock Exchange listed its first tokenised bond under the EU DLT Pilot Regime — developments that demand custodians build multi-chain safekeeping and reconciliation capabilities.</w:t>
      </w:r>
    </w:p>
    <w:p>
      <w:pPr>
        <w:spacing w:after="60"/>
      </w:pPr>
      <w:r>
        <w:rPr>
          <w:rFonts w:ascii="Calibri" w:hAnsi="Calibri"/>
          <w:sz w:val="21"/>
        </w:rPr>
        <w:t>The first full year of T plus 1 settlement in US and Canadian equity markets has yielded measurable results: DTCC reported that settlement fail rates have stabilised at approximately 2.5 percent, down from the immediate post-transition spike of 4 percent in mid-2024, though non-North American market participants continue to report FX funding challenges in the compressed window.</w:t>
      </w:r>
    </w:p>
    <w:p>
      <w:pPr>
        <w:spacing w:after="60"/>
      </w:pPr>
      <w:r>
        <w:rPr>
          <w:rFonts w:ascii="Calibri" w:hAnsi="Calibri"/>
          <w:sz w:val="21"/>
        </w:rPr>
        <w:t>The European Commission confirmed that the target date for T plus 1 migration in EU securities markets remains H2 2027, and ESMA launched a formal consultation on the implementation roadmap; custodians with pan-European operations should begin upgrading matching and affirmation systems imminently.</w:t>
      </w:r>
    </w:p>
    <w:p>
      <w:pPr>
        <w:spacing w:after="60"/>
      </w:pPr>
      <w:r>
        <w:rPr>
          <w:rFonts w:ascii="Calibri" w:hAnsi="Calibri"/>
          <w:sz w:val="21"/>
        </w:rPr>
        <w:t>SWIFT reported that its new Transaction Manager platform, which enables atomic settlement instructions across multiple asset classes, surpassed 500 institutional participants in live testing during March — a milestone that could reshape how custodians process cross-border settlement instructions.</w:t>
      </w:r>
    </w:p>
    <w:p>
      <w:pPr>
        <w:spacing w:after="60"/>
      </w:pPr>
      <w:r>
        <w:rPr>
          <w:rFonts w:ascii="Calibri" w:hAnsi="Calibri"/>
          <w:sz w:val="21"/>
        </w:rPr>
        <w:t>Cybersecurity remains a board-level concern: the Financial Stability Board (FSB) issued an interim report highlighting third-party and fourth-party technology concentration risk in securities services, urging custodians and fund administrators to conduct enhanced due diligence and scenario testing on critical cloud and SaaS providers.</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SEC Form PF revised current reporting obligations take full effect for qualifying hedge fund advisers; fund administrators must be prepared for 72-hour filing triggers.</w:t>
      </w:r>
    </w:p>
    <w:p>
      <w:pPr>
        <w:spacing w:after="60"/>
      </w:pPr>
      <w:r>
        <w:rPr>
          <w:rFonts w:ascii="Calibri" w:hAnsi="Calibri"/>
          <w:sz w:val="21"/>
        </w:rPr>
        <w:t>02 Apr — Reserve Bank of Australia (RBA) interest rate decision; market consensus is hold at 3.60 percent, with forward guidance relevant to APAC custody flows.</w:t>
      </w:r>
    </w:p>
    <w:p>
      <w:pPr>
        <w:spacing w:after="60"/>
      </w:pPr>
      <w:r>
        <w:rPr>
          <w:rFonts w:ascii="Calibri" w:hAnsi="Calibri"/>
          <w:sz w:val="21"/>
        </w:rPr>
        <w:t>08 Apr — ESMA public hearing on the EU T plus 1 migration roadmap consultation, Frankfurt; critical for EMEA-based custodians and CSDs.</w:t>
      </w:r>
    </w:p>
    <w:p>
      <w:pPr>
        <w:spacing w:after="60"/>
      </w:pPr>
      <w:r>
        <w:rPr>
          <w:rFonts w:ascii="Calibri" w:hAnsi="Calibri"/>
          <w:sz w:val="21"/>
        </w:rPr>
        <w:t>16 Apr — Bank of Canada interest rate announcement; market pricing implies approximately 60 percent probability of a 25 bp cut to 3.00 percent, with direct implications for Canadian institutional client portfolios.</w:t>
      </w:r>
    </w:p>
    <w:p>
      <w:pPr>
        <w:spacing w:after="60"/>
      </w:pPr>
      <w:r>
        <w:rPr>
          <w:rFonts w:ascii="Calibri" w:hAnsi="Calibri"/>
          <w:sz w:val="21"/>
        </w:rPr>
        <w:t>22-24 Apr — FundForum International, Monaco; a key gathering for fund distribution, administration, and servicing leaders in Europe.</w:t>
      </w:r>
    </w:p>
    <w:p>
      <w:pPr>
        <w:spacing w:after="60"/>
      </w:pPr>
      <w:r>
        <w:rPr>
          <w:rFonts w:ascii="Calibri" w:hAnsi="Calibri"/>
          <w:sz w:val="21"/>
        </w:rPr>
        <w:t>28-30 Apr — SIFMA Operations Conference, New York; sessions on T plus 1 lessons learned, AI in post-trade, and digital asset custody.</w:t>
      </w:r>
    </w:p>
    <w:p>
      <w:pPr>
        <w:spacing w:after="60"/>
      </w:pPr>
      <w:r>
        <w:rPr>
          <w:rFonts w:ascii="Calibri" w:hAnsi="Calibri"/>
          <w:sz w:val="21"/>
        </w:rPr>
        <w:t>29 Apr — US Q1 2026 GDP advance estimate release; a below-consensus print could accelerate Fed easing expectations and drive further Treasury rally.</w:t>
      </w:r>
    </w:p>
    <w:p>
      <w:pPr>
        <w:spacing w:after="60"/>
      </w:pPr>
      <w:r>
        <w:rPr>
          <w:rFonts w:ascii="Calibri" w:hAnsi="Calibri"/>
          <w:sz w:val="21"/>
        </w:rPr>
        <w:t>30 Apr — European Central Bank (ECB) interest rate decision; consensus expects a hold at 2.25 percent, though dovish risks exist given tariff-driven growth concerns.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Impact of Escalating US Tariffs on Canadian Pension and Insurance Portfolios</w:t>
      </w:r>
    </w:p>
    <w:p>
      <w:pPr>
        <w:spacing w:after="60"/>
      </w:pPr>
      <w:r>
        <w:rPr>
          <w:rFonts w:ascii="Calibri" w:hAnsi="Calibri"/>
          <w:sz w:val="21"/>
        </w:rPr>
        <w:t>Canadian institutional clients with significant allocations to European and Asian equities, as well as global supply chain-sensitive sectors, face potential mark-to-market losses and increased portfolio rebalancing activity as retaliatory tariff measures widen. Pension funds and insurers serviced by RBC IS may also experience valuation challenges on private market and infrastructure holdings exposed to cross-border trade flows. RBC IS senior management should proactively engage with the top 20 pension and insurance clients to offer enhanced scenario-based reporting — including tariff sensitivity overlays on public and private market portfolios — and ensure NAV and unit pricing teams are prepared for elevated corporate action and index rebalancing volumes that typically follow trade-shock episodes.</w:t>
      </w:r>
    </w:p>
    <w:p>
      <w:pPr>
        <w:spacing w:after="60"/>
      </w:pPr>
      <w:r>
        <w:rPr>
          <w:rFonts w:ascii="Calibri" w:hAnsi="Calibri"/>
          <w:sz w:val="21"/>
        </w:rPr>
        <w:t>Theme 2: Canadian Dollar Weakness and FX Hedging Program Recalibration</w:t>
      </w:r>
    </w:p>
    <w:p>
      <w:pPr>
        <w:spacing w:after="60"/>
      </w:pPr>
      <w:r>
        <w:rPr>
          <w:rFonts w:ascii="Calibri" w:hAnsi="Calibri"/>
          <w:sz w:val="21"/>
        </w:rPr>
        <w:t>The CAD decline toward 1.41 per USD, combined with elevated currency volatility, directly affects the hedge ratio effectiveness of Canadian pension plans and asset managers running systematic FX overlay programs administered or settled through RBC IS. Clients with quarterly hedge rebalancing schedules may find their programs significantly over- or under-hedged relative to policy benchmarks, creating both P and L and compliance concerns. RBC IS should initiate a targeted outreach to all clients with FX hedging mandates to review current hedge ratios versus benchmarks, confirm margin and collateral adequacy for potential further CAD weakness, and offer interim intra-quarter rebalancing services where client investment policy statements permit.</w:t>
      </w:r>
    </w:p>
    <w:p>
      <w:pPr>
        <w:spacing w:after="60"/>
      </w:pPr>
      <w:r>
        <w:rPr>
          <w:rFonts w:ascii="Calibri" w:hAnsi="Calibri"/>
          <w:sz w:val="21"/>
        </w:rPr>
        <w:t>Theme 3: CSA Guidance on Crypto-Asset Fund Custody and Valuation</w:t>
      </w:r>
    </w:p>
    <w:p>
      <w:pPr>
        <w:spacing w:after="60"/>
      </w:pPr>
      <w:r>
        <w:rPr>
          <w:rFonts w:ascii="Calibri" w:hAnsi="Calibri"/>
          <w:sz w:val="21"/>
        </w:rPr>
        <w:t>The CSA Staff Notice 21-334 on crypto-asset fund requirements directly impacts the growing number of Canadian-domiciled funds (both prospectus-qualified and exempt market) that hold digital assets and rely on RBC IS or affiliated entities for custody, fund accounting, or transfer agency services. Clients launching or expanding crypto-asset mandates must comply with enhanced custody segregation, independent valuation sourcing, and disclosure requirements, all of which carry operational implications for the fund administrator. RBC IS senior management should convene a working group of product, legal, compliance, and technology leaders within the next 30 days to assess the operational readiness of current digital asset servicing capabilities against the CSA guidance, identify any gaps in qualified custodian relationships or valuation data feeds, and communicate a clear service roadmap to asset manager clients planning digital asset fund launches in 2026.</w:t>
      </w:r>
    </w:p>
    <w:p>
      <w:pPr>
        <w:spacing w:before="240" w:after="80"/>
        <w:pBdr>
          <w:bottom w:val="single" w:sz="6" w:space="1" w:color="00429B"/>
        </w:pBdr>
      </w:pPr>
      <w:r>
        <w:rPr>
          <w:rFonts w:ascii="Calibri" w:hAnsi="Calibri"/>
          <w:b/>
          <w:color w:val="00429B"/>
          <w:sz w:val="26"/>
        </w:rPr>
        <w:t>9. TECHNOLOGY VENDOR LANDSCAPE</w:t>
      </w:r>
    </w:p>
    <w:p>
      <w:pPr>
        <w:spacing w:after="60"/>
      </w:pPr>
      <w:r>
        <w:rPr>
          <w:rFonts w:ascii="Calibri" w:hAnsi="Calibri"/>
          <w:sz w:val="21"/>
        </w:rPr>
        <w:t>SimCorp (now a Deutsche Boerse company) announced the general availability of SimCorp One Cloud, a fully cloud-native version of its investment management platform, targeting large asset owners and asset managers seeking to consolidate front-to-back operations; the release is significant for fund administrators that interface with SimCorp-based clients for data exchange and position reconciliation.</w:t>
      </w:r>
    </w:p>
    <w:p>
      <w:pPr>
        <w:spacing w:after="60"/>
      </w:pPr>
      <w:r>
        <w:rPr>
          <w:rFonts w:ascii="Calibri" w:hAnsi="Calibri"/>
          <w:sz w:val="21"/>
        </w:rPr>
        <w:t>SS and C Technologies released an enhanced version of its SKYLINE fund administration platform incorporating generative AI modules for automated NAV commentary generation and exception flagging; SS and C also disclosed that its Eze platform now supports tokenised securities position-keeping, positioning the firm at the intersection of traditional and digital fund servicing.</w:t>
      </w:r>
    </w:p>
    <w:p>
      <w:pPr>
        <w:spacing w:after="60"/>
      </w:pPr>
      <w:r>
        <w:rPr>
          <w:rFonts w:ascii="Calibri" w:hAnsi="Calibri"/>
          <w:sz w:val="21"/>
        </w:rPr>
        <w:t>Broadridge Financial Solutions reported strong uptake of its distributed ledger repo platform (built on the Digital Ledger Repo technology), with over USD 1 trillion in cumulative repo transactions processed since launch; Broadridge also announced a strategic partnership with a major Middle Eastern sovereign wealth fund to deliver next-generation proxy voting and governance analytics.</w:t>
      </w:r>
    </w:p>
    <w:p>
      <w:pPr>
        <w:spacing w:after="60"/>
      </w:pPr>
      <w:r>
        <w:rPr>
          <w:rFonts w:ascii="Calibri" w:hAnsi="Calibri"/>
          <w:sz w:val="21"/>
        </w:rPr>
        <w:t>FIS Global continued its post-Worldpay separation restructuring by announcing plans to spin its Capital Markets Solutions division into a standalone entity by Q4 2026; for custodians and fund administrators that rely on FIS for securities processing, clearing, and corporate actions, this creates medium-term vendor continuity and contract reassignment considerations.</w:t>
      </w:r>
    </w:p>
    <w:p>
      <w:pPr>
        <w:spacing w:after="60"/>
      </w:pPr>
      <w:r>
        <w:rPr>
          <w:rFonts w:ascii="Calibri" w:hAnsi="Calibri"/>
          <w:sz w:val="21"/>
        </w:rPr>
        <w:t>Temenos expanded its fund administration and wealth management modules to support the new ESMA liquidity stress testing requirements, offering pre-built templates and scenario engines; the move targets mid-tier fund administrators in Luxembourg and Ireland.</w:t>
      </w:r>
    </w:p>
    <w:p>
      <w:pPr>
        <w:spacing w:after="60"/>
      </w:pPr>
      <w:r>
        <w:rPr>
          <w:rFonts w:ascii="Calibri" w:hAnsi="Calibri"/>
          <w:sz w:val="21"/>
        </w:rPr>
        <w:t>Charles River Development (an MSCI company) released an integration with CLS FXNet for automated netting and settlement of FX transactions originated within the Charles River Investment Management Solution, reducing settlement risk for buy-side firms and their custodians.</w:t>
      </w:r>
    </w:p>
    <w:p>
      <w:pPr>
        <w:spacing w:after="60"/>
      </w:pPr>
      <w:r>
        <w:rPr>
          <w:rFonts w:ascii="Calibri" w:hAnsi="Calibri"/>
          <w:sz w:val="21"/>
        </w:rPr>
        <w:t>Among FinTech challengers, SWIFT advanced its Securities View adoption (now live with 120 plus agent banks globally), Clearstream launched D7t — a tokenised securities issuance and custody platform extension — and Nasdaq Financial Technology signed a multi-year deal with a top-five Asian exchange to deliver end-to-end post-trade technology, further expanding its footprint beyond Nordic markets.</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5,450</w:t>
            </w:r>
          </w:p>
        </w:tc>
        <w:tc>
          <w:tcPr>
            <w:tcW w:type="dxa" w:w="2437"/>
          </w:tcPr>
          <w:p>
            <w:pPr>
              <w:spacing w:after="40" w:before="40"/>
            </w:pPr>
            <w:r>
              <w:rPr>
                <w:rFonts w:ascii="Calibri" w:hAnsi="Calibri"/>
                <w:b w:val="0"/>
                <w:color w:val="CC0000"/>
                <w:sz w:val="20"/>
              </w:rPr>
              <w:t>-3.5%</w:t>
            </w:r>
          </w:p>
        </w:tc>
        <w:tc>
          <w:tcPr>
            <w:tcW w:type="dxa" w:w="2437"/>
          </w:tcPr>
          <w:p>
            <w:pPr>
              <w:spacing w:after="40" w:before="40"/>
            </w:pPr>
            <w:r>
              <w:rPr>
                <w:rFonts w:ascii="Calibri" w:hAnsi="Calibri"/>
                <w:b w:val="0"/>
                <w:color w:val="CC0000"/>
                <w:sz w:val="20"/>
              </w:rPr>
              <w:t>-1.8%</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8,150</w:t>
            </w:r>
          </w:p>
        </w:tc>
        <w:tc>
          <w:tcPr>
            <w:tcW w:type="dxa" w:w="2437"/>
            <w:shd w:val="clear" w:color="auto" w:fill="EEF3FA"/>
          </w:tcPr>
          <w:p>
            <w:pPr>
              <w:spacing w:after="40" w:before="40"/>
            </w:pPr>
            <w:r>
              <w:rPr>
                <w:rFonts w:ascii="Calibri" w:hAnsi="Calibri"/>
                <w:b w:val="0"/>
                <w:color w:val="CC0000"/>
                <w:sz w:val="20"/>
              </w:rPr>
              <w:t>-2.0%</w:t>
            </w:r>
          </w:p>
        </w:tc>
        <w:tc>
          <w:tcPr>
            <w:tcW w:type="dxa" w:w="2437"/>
            <w:shd w:val="clear" w:color="auto" w:fill="EEF3FA"/>
          </w:tcPr>
          <w:p>
            <w:pPr>
              <w:spacing w:after="40" w:before="40"/>
            </w:pPr>
            <w:r>
              <w:rPr>
                <w:rFonts w:ascii="Calibri" w:hAnsi="Calibri"/>
                <w:b w:val="0"/>
                <w:color w:val="007A33"/>
                <w:sz w:val="20"/>
              </w:rPr>
              <w:t>+0.5%</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4,750</w:t>
            </w:r>
          </w:p>
        </w:tc>
        <w:tc>
          <w:tcPr>
            <w:tcW w:type="dxa" w:w="2437"/>
          </w:tcPr>
          <w:p>
            <w:pPr>
              <w:spacing w:after="40" w:before="40"/>
            </w:pPr>
            <w:r>
              <w:rPr>
                <w:rFonts w:ascii="Calibri" w:hAnsi="Calibri"/>
                <w:b w:val="0"/>
                <w:color w:val="CC0000"/>
                <w:sz w:val="20"/>
              </w:rPr>
              <w:t>-4.2%</w:t>
            </w:r>
          </w:p>
        </w:tc>
        <w:tc>
          <w:tcPr>
            <w:tcW w:type="dxa" w:w="2437"/>
          </w:tcPr>
          <w:p>
            <w:pPr>
              <w:spacing w:after="40" w:before="40"/>
            </w:pPr>
            <w:r>
              <w:rPr>
                <w:rFonts w:ascii="Calibri" w:hAnsi="Calibri"/>
                <w:b w:val="0"/>
                <w:color w:val="CC0000"/>
                <w:sz w:val="20"/>
              </w:rPr>
              <w:t>-2.1%</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37,800</w:t>
            </w:r>
          </w:p>
        </w:tc>
        <w:tc>
          <w:tcPr>
            <w:tcW w:type="dxa" w:w="2437"/>
            <w:shd w:val="clear" w:color="auto" w:fill="EEF3FA"/>
          </w:tcPr>
          <w:p>
            <w:pPr>
              <w:spacing w:after="40" w:before="40"/>
            </w:pPr>
            <w:r>
              <w:rPr>
                <w:rFonts w:ascii="Calibri" w:hAnsi="Calibri"/>
                <w:b w:val="0"/>
                <w:color w:val="CC0000"/>
                <w:sz w:val="20"/>
              </w:rPr>
              <w:t>-3.8%</w:t>
            </w:r>
          </w:p>
        </w:tc>
        <w:tc>
          <w:tcPr>
            <w:tcW w:type="dxa" w:w="2437"/>
            <w:shd w:val="clear" w:color="auto" w:fill="EEF3FA"/>
          </w:tcPr>
          <w:p>
            <w:pPr>
              <w:spacing w:after="40" w:before="40"/>
            </w:pPr>
            <w:r>
              <w:rPr>
                <w:rFonts w:ascii="Calibri" w:hAnsi="Calibri"/>
                <w:b w:val="0"/>
                <w:color w:val="CC0000"/>
                <w:sz w:val="20"/>
              </w:rPr>
              <w:t>-3.0%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1.1050</w:t>
            </w:r>
          </w:p>
        </w:tc>
        <w:tc>
          <w:tcPr>
            <w:tcW w:type="dxa" w:w="2437"/>
          </w:tcPr>
          <w:p>
            <w:pPr>
              <w:spacing w:after="40" w:before="40"/>
            </w:pPr>
            <w:r>
              <w:rPr>
                <w:rFonts w:ascii="Calibri" w:hAnsi="Calibri"/>
                <w:b w:val="0"/>
                <w:color w:val="007A33"/>
                <w:sz w:val="20"/>
              </w:rPr>
              <w:t>+1.5%</w:t>
            </w:r>
          </w:p>
        </w:tc>
        <w:tc>
          <w:tcPr>
            <w:tcW w:type="dxa" w:w="2437"/>
          </w:tcPr>
          <w:p>
            <w:pPr>
              <w:spacing w:after="40" w:before="40"/>
            </w:pPr>
            <w:r>
              <w:rPr>
                <w:rFonts w:ascii="Calibri" w:hAnsi="Calibri"/>
                <w:b w:val="0"/>
                <w:color w:val="007A33"/>
                <w:sz w:val="20"/>
              </w:rPr>
              <w:t>+2.8%</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1.2850</w:t>
            </w:r>
          </w:p>
        </w:tc>
        <w:tc>
          <w:tcPr>
            <w:tcW w:type="dxa" w:w="2437"/>
            <w:shd w:val="clear" w:color="auto" w:fill="EEF3FA"/>
          </w:tcPr>
          <w:p>
            <w:pPr>
              <w:spacing w:after="40" w:before="40"/>
            </w:pPr>
            <w:r>
              <w:rPr>
                <w:rFonts w:ascii="Calibri" w:hAnsi="Calibri"/>
                <w:b w:val="0"/>
                <w:color w:val="007A33"/>
                <w:sz w:val="20"/>
              </w:rPr>
              <w:t>+0.8%</w:t>
            </w:r>
          </w:p>
        </w:tc>
        <w:tc>
          <w:tcPr>
            <w:tcW w:type="dxa" w:w="2437"/>
            <w:shd w:val="clear" w:color="auto" w:fill="EEF3FA"/>
          </w:tcPr>
          <w:p>
            <w:pPr>
              <w:spacing w:after="40" w:before="40"/>
            </w:pPr>
            <w:r>
              <w:rPr>
                <w:rFonts w:ascii="Calibri" w:hAnsi="Calibri"/>
                <w:b w:val="0"/>
                <w:color w:val="007A33"/>
                <w:sz w:val="20"/>
              </w:rPr>
              <w:t>+1.2%</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144.00</w:t>
            </w:r>
          </w:p>
        </w:tc>
        <w:tc>
          <w:tcPr>
            <w:tcW w:type="dxa" w:w="2437"/>
          </w:tcPr>
          <w:p>
            <w:pPr>
              <w:spacing w:after="40" w:before="40"/>
            </w:pPr>
            <w:r>
              <w:rPr>
                <w:rFonts w:ascii="Calibri" w:hAnsi="Calibri"/>
                <w:b w:val="0"/>
                <w:color w:val="CC0000"/>
                <w:sz w:val="20"/>
              </w:rPr>
              <w:t>-2.5%</w:t>
            </w:r>
          </w:p>
        </w:tc>
        <w:tc>
          <w:tcPr>
            <w:tcW w:type="dxa" w:w="2437"/>
          </w:tcPr>
          <w:p>
            <w:pPr>
              <w:spacing w:after="40" w:before="40"/>
            </w:pPr>
            <w:r>
              <w:rPr>
                <w:rFonts w:ascii="Calibri" w:hAnsi="Calibri"/>
                <w:b w:val="0"/>
                <w:color w:val="CC0000"/>
                <w:sz w:val="20"/>
              </w:rPr>
              <w:t>-4.0%</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3.85%</w:t>
            </w:r>
          </w:p>
        </w:tc>
        <w:tc>
          <w:tcPr>
            <w:tcW w:type="dxa" w:w="2437"/>
            <w:shd w:val="clear" w:color="auto" w:fill="EEF3FA"/>
          </w:tcPr>
          <w:p>
            <w:pPr>
              <w:spacing w:after="40" w:before="40"/>
            </w:pPr>
            <w:r>
              <w:rPr>
                <w:rFonts w:ascii="Calibri" w:hAnsi="Calibri"/>
                <w:b w:val="0"/>
                <w:color w:val="CC0000"/>
                <w:sz w:val="20"/>
              </w:rPr>
              <w:t>-20 bps</w:t>
            </w:r>
          </w:p>
        </w:tc>
        <w:tc>
          <w:tcPr>
            <w:tcW w:type="dxa" w:w="2437"/>
            <w:shd w:val="clear" w:color="auto" w:fill="EEF3FA"/>
          </w:tcPr>
          <w:p>
            <w:pPr>
              <w:spacing w:after="40" w:before="40"/>
            </w:pPr>
            <w:r>
              <w:rPr>
                <w:rFonts w:ascii="Calibri" w:hAnsi="Calibri"/>
                <w:b w:val="0"/>
                <w:color w:val="CC0000"/>
                <w:sz w:val="20"/>
              </w:rPr>
              <w:t>-45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2.15%</w:t>
            </w:r>
          </w:p>
        </w:tc>
        <w:tc>
          <w:tcPr>
            <w:tcW w:type="dxa" w:w="2437"/>
          </w:tcPr>
          <w:p>
            <w:pPr>
              <w:spacing w:after="40" w:before="40"/>
            </w:pPr>
            <w:r>
              <w:rPr>
                <w:rFonts w:ascii="Calibri" w:hAnsi="Calibri"/>
                <w:b w:val="0"/>
                <w:color w:val="CC0000"/>
                <w:sz w:val="20"/>
              </w:rPr>
              <w:t>-15 bps</w:t>
            </w:r>
          </w:p>
        </w:tc>
        <w:tc>
          <w:tcPr>
            <w:tcW w:type="dxa" w:w="2437"/>
          </w:tcPr>
          <w:p>
            <w:pPr>
              <w:spacing w:after="40" w:before="40"/>
            </w:pPr>
            <w:r>
              <w:rPr>
                <w:rFonts w:ascii="Calibri" w:hAnsi="Calibri"/>
                <w:b w:val="0"/>
                <w:color w:val="CC0000"/>
                <w:sz w:val="20"/>
              </w:rPr>
              <w:t>-20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72.00</w:t>
            </w:r>
          </w:p>
        </w:tc>
        <w:tc>
          <w:tcPr>
            <w:tcW w:type="dxa" w:w="2437"/>
            <w:shd w:val="clear" w:color="auto" w:fill="EEF3FA"/>
          </w:tcPr>
          <w:p>
            <w:pPr>
              <w:spacing w:after="40" w:before="40"/>
            </w:pPr>
            <w:r>
              <w:rPr>
                <w:rFonts w:ascii="Calibri" w:hAnsi="Calibri"/>
                <w:b w:val="0"/>
                <w:color w:val="CC0000"/>
                <w:sz w:val="20"/>
              </w:rPr>
              <w:t>-6.0%</w:t>
            </w:r>
          </w:p>
        </w:tc>
        <w:tc>
          <w:tcPr>
            <w:tcW w:type="dxa" w:w="2437"/>
            <w:shd w:val="clear" w:color="auto" w:fill="EEF3FA"/>
          </w:tcPr>
          <w:p>
            <w:pPr>
              <w:spacing w:after="40" w:before="40"/>
            </w:pPr>
            <w:r>
              <w:rPr>
                <w:rFonts w:ascii="Calibri" w:hAnsi="Calibri"/>
                <w:b w:val="0"/>
                <w:color w:val="CC0000"/>
                <w:sz w:val="20"/>
              </w:rPr>
              <w:t>-8.5%</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2,350</w:t>
            </w:r>
          </w:p>
        </w:tc>
        <w:tc>
          <w:tcPr>
            <w:tcW w:type="dxa" w:w="2437"/>
          </w:tcPr>
          <w:p>
            <w:pPr>
              <w:spacing w:after="40" w:before="40"/>
            </w:pPr>
            <w:r>
              <w:rPr>
                <w:rFonts w:ascii="Calibri" w:hAnsi="Calibri"/>
                <w:b w:val="0"/>
                <w:color w:val="007A33"/>
                <w:sz w:val="20"/>
              </w:rPr>
              <w:t>+4.5%</w:t>
            </w:r>
          </w:p>
        </w:tc>
        <w:tc>
          <w:tcPr>
            <w:tcW w:type="dxa" w:w="2437"/>
          </w:tcPr>
          <w:p>
            <w:pPr>
              <w:spacing w:after="40" w:before="40"/>
            </w:pPr>
            <w:r>
              <w:rPr>
                <w:rFonts w:ascii="Calibri" w:hAnsi="Calibri"/>
                <w:b w:val="0"/>
                <w:color w:val="007A33"/>
                <w:sz w:val="20"/>
              </w:rPr>
              <w:t>+8.0%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22.5</w:t>
            </w:r>
          </w:p>
        </w:tc>
        <w:tc>
          <w:tcPr>
            <w:tcW w:type="dxa" w:w="2437"/>
            <w:shd w:val="clear" w:color="auto" w:fill="EEF3FA"/>
          </w:tcPr>
          <w:p>
            <w:pPr>
              <w:spacing w:after="40" w:before="40"/>
            </w:pPr>
            <w:r>
              <w:rPr>
                <w:rFonts w:ascii="Calibri" w:hAnsi="Calibri"/>
                <w:b w:val="0"/>
                <w:color w:val="007A33"/>
                <w:sz w:val="20"/>
              </w:rPr>
              <w:t>+35%</w:t>
            </w:r>
          </w:p>
        </w:tc>
        <w:tc>
          <w:tcPr>
            <w:tcW w:type="dxa" w:w="2437"/>
            <w:shd w:val="clear" w:color="auto" w:fill="EEF3FA"/>
          </w:tcPr>
          <w:p>
            <w:pPr>
              <w:spacing w:after="40" w:before="40"/>
            </w:pPr>
            <w:r>
              <w:rPr>
                <w:rFonts w:ascii="Calibri" w:hAnsi="Calibri"/>
                <w:b w:val="0"/>
                <w:color w:val="007A33"/>
                <w:sz w:val="20"/>
              </w:rPr>
              <w:t>+45%</w:t>
            </w:r>
          </w:p>
        </w:tc>
      </w:tr>
    </w:tbl>
    <w:p>
      <w:pPr>
        <w:spacing w:before="240" w:after="80"/>
        <w:pBdr>
          <w:bottom w:val="single" w:sz="6" w:space="1" w:color="00429B"/>
        </w:pBdr>
      </w:pPr>
      <w:r>
        <w:rPr>
          <w:rFonts w:ascii="Calibri" w:hAnsi="Calibri"/>
          <w:b/>
          <w:color w:val="00429B"/>
          <w:sz w:val="26"/>
        </w:rPr>
        <w:t>11. CUSTODIAN AND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Announced expansion of Digital Asset Custody platform to support tokenised money market funds and US Treasury tokens via partnership with major blockchain infrastructure provider.</w:t>
            </w:r>
          </w:p>
        </w:tc>
        <w:tc>
          <w:tcPr>
            <w:tcW w:type="dxa" w:w="3250"/>
          </w:tcPr>
          <w:p>
            <w:pPr>
              <w:spacing w:after="40" w:before="40"/>
            </w:pPr>
            <w:r>
              <w:rPr>
                <w:rFonts w:ascii="Calibri" w:hAnsi="Calibri"/>
                <w:b w:val="0"/>
                <w:sz w:val="20"/>
              </w:rPr>
              <w:t>Positions BNY as first top-tier custodian offering integrated traditional and tokenised fund servicing at scale, raising competitive bar for peers.</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Completed acquisition of European fund administration platform adding approximately EUR 120 billion in AUA.</w:t>
            </w:r>
          </w:p>
        </w:tc>
        <w:tc>
          <w:tcPr>
            <w:tcW w:type="dxa" w:w="3250"/>
            <w:shd w:val="clear" w:color="auto" w:fill="EEF3FA"/>
          </w:tcPr>
          <w:p>
            <w:pPr>
              <w:spacing w:after="40" w:before="40"/>
            </w:pPr>
            <w:r>
              <w:rPr>
                <w:rFonts w:ascii="Calibri" w:hAnsi="Calibri"/>
                <w:b w:val="0"/>
                <w:sz w:val="20"/>
              </w:rPr>
              <w:t>Strengthens State Street's Luxembourg and Ireland presence, directly competing with RBC IS and other European fund administrators.</w:t>
            </w:r>
          </w:p>
        </w:tc>
      </w:tr>
      <w:tr>
        <w:tc>
          <w:tcPr>
            <w:tcW w:type="dxa" w:w="3250"/>
          </w:tcPr>
          <w:p>
            <w:pPr>
              <w:spacing w:after="40" w:before="40"/>
            </w:pPr>
            <w:r>
              <w:rPr>
                <w:rFonts w:ascii="Calibri" w:hAnsi="Calibri"/>
                <w:b w:val="0"/>
                <w:sz w:val="20"/>
              </w:rPr>
              <w:t>JPMorgan Chase and Co.</w:t>
            </w:r>
          </w:p>
        </w:tc>
        <w:tc>
          <w:tcPr>
            <w:tcW w:type="dxa" w:w="3250"/>
          </w:tcPr>
          <w:p>
            <w:pPr>
              <w:spacing w:after="40" w:before="40"/>
            </w:pPr>
            <w:r>
              <w:rPr>
                <w:rFonts w:ascii="Calibri" w:hAnsi="Calibri"/>
                <w:b w:val="0"/>
                <w:sz w:val="20"/>
              </w:rPr>
              <w:t>Expanded Onyx Digital Assets platform to facilitate intraday repo settlement for institutional clients across three additional currencies (EUR, GBP, JPY).</w:t>
            </w:r>
          </w:p>
        </w:tc>
        <w:tc>
          <w:tcPr>
            <w:tcW w:type="dxa" w:w="3250"/>
          </w:tcPr>
          <w:p>
            <w:pPr>
              <w:spacing w:after="40" w:before="40"/>
            </w:pPr>
            <w:r>
              <w:rPr>
                <w:rFonts w:ascii="Calibri" w:hAnsi="Calibri"/>
                <w:b w:val="0"/>
                <w:sz w:val="20"/>
              </w:rPr>
              <w:t>Demonstrates JPMorgan's commitment to DLT-based post-trade infrastructure and positions its custody arm for multi-currency tokenised collateral management.</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Disclosed strategic partnership with a leading RegTech firm to automate cross-border regulatory reporting across 90 markets.</w:t>
            </w:r>
          </w:p>
        </w:tc>
        <w:tc>
          <w:tcPr>
            <w:tcW w:type="dxa" w:w="3250"/>
            <w:shd w:val="clear" w:color="auto" w:fill="EEF3FA"/>
          </w:tcPr>
          <w:p>
            <w:pPr>
              <w:spacing w:after="40" w:before="40"/>
            </w:pPr>
            <w:r>
              <w:rPr>
                <w:rFonts w:ascii="Calibri" w:hAnsi="Calibri"/>
                <w:b w:val="0"/>
                <w:sz w:val="20"/>
              </w:rPr>
              <w:t>Sets a new efficiency benchmark for securities services, potentially reducing manual reporting intervention by 60 percent.</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Confirmed consolidation of Asia-Pacific sub-custody network onto a single technology platform, targeted for completion by Q3 2026.</w:t>
            </w:r>
          </w:p>
        </w:tc>
        <w:tc>
          <w:tcPr>
            <w:tcW w:type="dxa" w:w="3250"/>
          </w:tcPr>
          <w:p>
            <w:pPr>
              <w:spacing w:after="40" w:before="40"/>
            </w:pPr>
            <w:r>
              <w:rPr>
                <w:rFonts w:ascii="Calibri" w:hAnsi="Calibri"/>
                <w:b w:val="0"/>
                <w:sz w:val="20"/>
              </w:rPr>
              <w:t>Aims to reduce settlement fails and improve real-time position reporting for global managers with Asian allocations.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Launched BNP Paribas Securities Services ESG Data Hub, aggregating over 50 ESG data providers into a single client-facing portal for regulatory and voluntary sustainability reporting.</w:t>
            </w:r>
          </w:p>
        </w:tc>
        <w:tc>
          <w:tcPr>
            <w:tcW w:type="dxa" w:w="3250"/>
            <w:shd w:val="clear" w:color="auto" w:fill="EEF3FA"/>
          </w:tcPr>
          <w:p>
            <w:pPr>
              <w:spacing w:after="40" w:before="40"/>
            </w:pPr>
            <w:r>
              <w:rPr>
                <w:rFonts w:ascii="Calibri" w:hAnsi="Calibri"/>
                <w:b w:val="0"/>
                <w:sz w:val="20"/>
              </w:rPr>
              <w:t>Responds to growing demand from European institutional clients for consolidated ESG data in portfolio reporting and regulatory compliance.</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Released NT Insights, a generative AI-powered data analytics and reporting suite targeting pension funds and insurance companies.</w:t>
            </w:r>
          </w:p>
        </w:tc>
        <w:tc>
          <w:tcPr>
            <w:tcW w:type="dxa" w:w="3250"/>
          </w:tcPr>
          <w:p>
            <w:pPr>
              <w:spacing w:after="40" w:before="40"/>
            </w:pPr>
            <w:r>
              <w:rPr>
                <w:rFonts w:ascii="Calibri" w:hAnsi="Calibri"/>
                <w:b w:val="0"/>
                <w:sz w:val="20"/>
              </w:rPr>
              <w:t>Directly competes with RBC IS in the Canadian and EMEA institutional investor segment by offering on-demand AI-driven portfolio transparency.</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Announced it will expand its Securities Services division in Asia, opening a new custody operations centre in Singapore.</w:t>
            </w:r>
          </w:p>
        </w:tc>
        <w:tc>
          <w:tcPr>
            <w:tcW w:type="dxa" w:w="3250"/>
            <w:shd w:val="clear" w:color="auto" w:fill="EEF3FA"/>
          </w:tcPr>
          <w:p>
            <w:pPr>
              <w:spacing w:after="40" w:before="40"/>
            </w:pPr>
            <w:r>
              <w:rPr>
                <w:rFonts w:ascii="Calibri" w:hAnsi="Calibri"/>
                <w:b w:val="0"/>
                <w:sz w:val="20"/>
              </w:rPr>
              <w:t>Signals Deutsche Bank's renewed commitment to the APAC custody market after years of strategic retrenchment.</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Completed the integration of Credit Suisse's fund services client book onto the UBS fund administration platform in Luxembourg and Switzerland.</w:t>
            </w:r>
          </w:p>
        </w:tc>
        <w:tc>
          <w:tcPr>
            <w:tcW w:type="dxa" w:w="3250"/>
          </w:tcPr>
          <w:p>
            <w:pPr>
              <w:spacing w:after="40" w:before="40"/>
            </w:pPr>
            <w:r>
              <w:rPr>
                <w:rFonts w:ascii="Calibri" w:hAnsi="Calibri"/>
                <w:b w:val="0"/>
                <w:sz w:val="20"/>
              </w:rPr>
              <w:t>Removes a major source of post-merger operational uncertainty; combined AUA now estimated at over CHF 4 trillion.</w:t>
            </w:r>
          </w:p>
        </w:tc>
      </w:tr>
      <w:tr>
        <w:tc>
          <w:tcPr>
            <w:tcW w:type="dxa" w:w="3250"/>
            <w:shd w:val="clear" w:color="auto" w:fill="EEF3FA"/>
          </w:tcPr>
          <w:p>
            <w:pPr>
              <w:spacing w:after="40" w:before="40"/>
            </w:pPr>
            <w:r>
              <w:rPr>
                <w:rFonts w:ascii="Calibri" w:hAnsi="Calibri"/>
                <w:b w:val="0"/>
                <w:sz w:val="20"/>
              </w:rPr>
              <w:t>RBC Investor and Treasury Services</w:t>
            </w:r>
          </w:p>
        </w:tc>
        <w:tc>
          <w:tcPr>
            <w:tcW w:type="dxa" w:w="3250"/>
            <w:shd w:val="clear" w:color="auto" w:fill="EEF3FA"/>
          </w:tcPr>
          <w:p>
            <w:pPr>
              <w:spacing w:after="40" w:before="40"/>
            </w:pPr>
            <w:r>
              <w:rPr>
                <w:rFonts w:ascii="Calibri" w:hAnsi="Calibri"/>
                <w:b w:val="0"/>
                <w:sz w:val="20"/>
              </w:rPr>
              <w:t>No material public announcement this month beyond ongoing client service enhancements.</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Partnered with a European FinTech to deploy AI-based corporate actions processing, targeting 40 percent reduction in manual scrubbing.</w:t>
            </w:r>
          </w:p>
        </w:tc>
        <w:tc>
          <w:tcPr>
            <w:tcW w:type="dxa" w:w="3250"/>
          </w:tcPr>
          <w:p>
            <w:pPr>
              <w:spacing w:after="40" w:before="40"/>
            </w:pPr>
            <w:r>
              <w:rPr>
                <w:rFonts w:ascii="Calibri" w:hAnsi="Calibri"/>
                <w:b w:val="0"/>
                <w:sz w:val="20"/>
              </w:rPr>
              <w:t>Aligns with industry trend of applying AI to high-volume, error-prone post-trade processes.</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Expanded digital asset custody services to institutional clients in the UAE and Singapore through its Zodia Custody joint venture.</w:t>
            </w:r>
          </w:p>
        </w:tc>
        <w:tc>
          <w:tcPr>
            <w:tcW w:type="dxa" w:w="3250"/>
            <w:shd w:val="clear" w:color="auto" w:fill="EEF3FA"/>
          </w:tcPr>
          <w:p>
            <w:pPr>
              <w:spacing w:after="40" w:before="40"/>
            </w:pPr>
            <w:r>
              <w:rPr>
                <w:rFonts w:ascii="Calibri" w:hAnsi="Calibri"/>
                <w:b w:val="0"/>
                <w:sz w:val="20"/>
              </w:rPr>
              <w:t>Strengthens Standard Chartered's positioning as a bridge between traditional and digital custody in high-growth markets.</w:t>
            </w:r>
          </w:p>
        </w:tc>
      </w:tr>
      <w:tr>
        <w:tc>
          <w:tcPr>
            <w:tcW w:type="dxa" w:w="3250"/>
          </w:tcPr>
          <w:p>
            <w:pPr>
              <w:spacing w:after="40" w:before="40"/>
            </w:pPr>
            <w:r>
              <w:rPr>
                <w:rFonts w:ascii="Calibri" w:hAnsi="Calibri"/>
                <w:b w:val="0"/>
                <w:sz w:val="20"/>
              </w:rPr>
              <w:t>SIX Group</w:t>
            </w:r>
          </w:p>
        </w:tc>
        <w:tc>
          <w:tcPr>
            <w:tcW w:type="dxa" w:w="3250"/>
          </w:tcPr>
          <w:p>
            <w:pPr>
              <w:spacing w:after="40" w:before="40"/>
            </w:pPr>
            <w:r>
              <w:rPr>
                <w:rFonts w:ascii="Calibri" w:hAnsi="Calibri"/>
                <w:b w:val="0"/>
                <w:sz w:val="20"/>
              </w:rPr>
              <w:t>Launched an updated version of SIX Digital Exchange (SDX) supporting tokenised bond issuance under the Swiss DLT Act with enhanced secondary market trading functionality.</w:t>
            </w:r>
          </w:p>
        </w:tc>
        <w:tc>
          <w:tcPr>
            <w:tcW w:type="dxa" w:w="3250"/>
          </w:tcPr>
          <w:p>
            <w:pPr>
              <w:spacing w:after="40" w:before="40"/>
            </w:pPr>
            <w:r>
              <w:rPr>
                <w:rFonts w:ascii="Calibri" w:hAnsi="Calibri"/>
                <w:b w:val="0"/>
                <w:sz w:val="20"/>
              </w:rPr>
              <w:t>Reinforces Switzerland's leadership in regulated digital asset market infrastructure.</w:t>
            </w:r>
          </w:p>
        </w:tc>
      </w:tr>
      <w:tr>
        <w:tc>
          <w:tcPr>
            <w:tcW w:type="dxa" w:w="3250"/>
            <w:shd w:val="clear" w:color="auto" w:fill="EEF3FA"/>
          </w:tcPr>
          <w:p>
            <w:pPr>
              <w:spacing w:after="40" w:before="40"/>
            </w:pPr>
            <w:r>
              <w:rPr>
                <w:rFonts w:ascii="Calibri" w:hAnsi="Calibri"/>
                <w:b w:val="0"/>
                <w:sz w:val="20"/>
              </w:rPr>
              <w:t>Brown Brothers Harriman and Co.</w:t>
            </w:r>
          </w:p>
        </w:tc>
        <w:tc>
          <w:tcPr>
            <w:tcW w:type="dxa" w:w="3250"/>
            <w:shd w:val="clear" w:color="auto" w:fill="EEF3FA"/>
          </w:tcPr>
          <w:p>
            <w:pPr>
              <w:spacing w:after="40" w:before="40"/>
            </w:pPr>
            <w:r>
              <w:rPr>
                <w:rFonts w:ascii="Calibri" w:hAnsi="Calibri"/>
                <w:b w:val="0"/>
                <w:sz w:val="20"/>
              </w:rPr>
              <w:t>Announced an expansion of its Infomediary data management platform to cover private market fund data aggregation and reporting.</w:t>
            </w:r>
          </w:p>
        </w:tc>
        <w:tc>
          <w:tcPr>
            <w:tcW w:type="dxa" w:w="3250"/>
            <w:shd w:val="clear" w:color="auto" w:fill="EEF3FA"/>
          </w:tcPr>
          <w:p>
            <w:pPr>
              <w:spacing w:after="40" w:before="40"/>
            </w:pPr>
            <w:r>
              <w:rPr>
                <w:rFonts w:ascii="Calibri" w:hAnsi="Calibri"/>
                <w:b w:val="0"/>
                <w:sz w:val="20"/>
              </w:rPr>
              <w:t>Addresses the growing institutional allocation to private markets and the associated data fragmentation challenge.</w:t>
            </w:r>
          </w:p>
        </w:tc>
      </w:tr>
      <w:tr>
        <w:tc>
          <w:tcPr>
            <w:tcW w:type="dxa" w:w="3250"/>
          </w:tcPr>
          <w:p>
            <w:pPr>
              <w:spacing w:after="40" w:before="40"/>
            </w:pPr>
            <w:r>
              <w:rPr>
                <w:rFonts w:ascii="Calibri" w:hAnsi="Calibri"/>
                <w:b w:val="0"/>
                <w:sz w:val="20"/>
              </w:rPr>
              <w:t>Clearstream</w:t>
            </w:r>
          </w:p>
        </w:tc>
        <w:tc>
          <w:tcPr>
            <w:tcW w:type="dxa" w:w="3250"/>
          </w:tcPr>
          <w:p>
            <w:pPr>
              <w:spacing w:after="40" w:before="40"/>
            </w:pPr>
            <w:r>
              <w:rPr>
                <w:rFonts w:ascii="Calibri" w:hAnsi="Calibri"/>
                <w:b w:val="0"/>
                <w:sz w:val="20"/>
              </w:rPr>
              <w:t>Launched D7t, a tokenised securities issuance and custody platform extension under the EU DLT Pilot Regime.</w:t>
            </w:r>
          </w:p>
        </w:tc>
        <w:tc>
          <w:tcPr>
            <w:tcW w:type="dxa" w:w="3250"/>
          </w:tcPr>
          <w:p>
            <w:pPr>
              <w:spacing w:after="40" w:before="40"/>
            </w:pPr>
            <w:r>
              <w:rPr>
                <w:rFonts w:ascii="Calibri" w:hAnsi="Calibri"/>
                <w:b w:val="0"/>
                <w:sz w:val="20"/>
              </w:rPr>
              <w:t>Positions Clearstream as a central infrastructure provider for the emerging European tokenised securities ecosystem.</w:t>
            </w:r>
          </w:p>
        </w:tc>
      </w:tr>
      <w:tr>
        <w:tc>
          <w:tcPr>
            <w:tcW w:type="dxa" w:w="3250"/>
            <w:shd w:val="clear" w:color="auto" w:fill="EEF3FA"/>
          </w:tcPr>
          <w:p>
            <w:pPr>
              <w:spacing w:after="40" w:before="40"/>
            </w:pPr>
            <w:r>
              <w:rPr>
                <w:rFonts w:ascii="Calibri" w:hAnsi="Calibri"/>
                <w:b w:val="0"/>
                <w:sz w:val="20"/>
              </w:rPr>
              <w:t>Euroclear</w:t>
            </w:r>
          </w:p>
        </w:tc>
        <w:tc>
          <w:tcPr>
            <w:tcW w:type="dxa" w:w="3250"/>
            <w:shd w:val="clear" w:color="auto" w:fill="EEF3FA"/>
          </w:tcPr>
          <w:p>
            <w:pPr>
              <w:spacing w:after="40" w:before="40"/>
            </w:pPr>
            <w:r>
              <w:rPr>
                <w:rFonts w:ascii="Calibri" w:hAnsi="Calibri"/>
                <w:b w:val="0"/>
                <w:sz w:val="20"/>
              </w:rPr>
              <w:t>Published a white paper proposing a framework for interoperability between traditional CSDs and DLT-based settlement platforms.</w:t>
            </w:r>
          </w:p>
        </w:tc>
        <w:tc>
          <w:tcPr>
            <w:tcW w:type="dxa" w:w="3250"/>
            <w:shd w:val="clear" w:color="auto" w:fill="EEF3FA"/>
          </w:tcPr>
          <w:p>
            <w:pPr>
              <w:spacing w:after="40" w:before="40"/>
            </w:pPr>
            <w:r>
              <w:rPr>
                <w:rFonts w:ascii="Calibri" w:hAnsi="Calibri"/>
                <w:b w:val="0"/>
                <w:sz w:val="20"/>
              </w:rPr>
              <w:t>Could shape European regulatory and industry thinking on how tokenised and book-entry securities coexist in settlement.</w:t>
            </w:r>
          </w:p>
        </w:tc>
      </w:tr>
      <w:tr>
        <w:tc>
          <w:tcPr>
            <w:tcW w:type="dxa" w:w="3250"/>
          </w:tcPr>
          <w:p>
            <w:pPr>
              <w:spacing w:after="40" w:before="40"/>
            </w:pPr>
            <w:r>
              <w:rPr>
                <w:rFonts w:ascii="Calibri" w:hAnsi="Calibri"/>
                <w:b w:val="0"/>
                <w:sz w:val="20"/>
              </w:rPr>
              <w:t>CIBC Mellon</w:t>
            </w:r>
          </w:p>
        </w:tc>
        <w:tc>
          <w:tcPr>
            <w:tcW w:type="dxa" w:w="3250"/>
          </w:tcPr>
          <w:p>
            <w:pPr>
              <w:spacing w:after="40" w:before="40"/>
            </w:pPr>
            <w:r>
              <w:rPr>
                <w:rFonts w:ascii="Calibri" w:hAnsi="Calibri"/>
                <w:b w:val="0"/>
                <w:sz w:val="20"/>
              </w:rPr>
              <w:t>Announced an upgrade to its Canadian fund reporting platform to accommodate CSA updated guidance on crypto-asset fund disclosure and valuation.</w:t>
            </w:r>
          </w:p>
        </w:tc>
        <w:tc>
          <w:tcPr>
            <w:tcW w:type="dxa" w:w="3250"/>
          </w:tcPr>
          <w:p>
            <w:pPr>
              <w:spacing w:after="40" w:before="40"/>
            </w:pPr>
            <w:r>
              <w:rPr>
                <w:rFonts w:ascii="Calibri" w:hAnsi="Calibri"/>
                <w:b w:val="0"/>
                <w:sz w:val="20"/>
              </w:rPr>
              <w:t>Directly relevant for Canadian fund managers launching or expanding digital asset mandates.</w:t>
            </w:r>
          </w:p>
        </w:tc>
      </w:tr>
      <w:tr>
        <w:tc>
          <w:tcPr>
            <w:tcW w:type="dxa" w:w="3250"/>
            <w:shd w:val="clear" w:color="auto" w:fill="EEF3FA"/>
          </w:tcPr>
          <w:p>
            <w:pPr>
              <w:spacing w:after="40" w:before="40"/>
            </w:pPr>
            <w:r>
              <w:rPr>
                <w:rFonts w:ascii="Calibri" w:hAnsi="Calibri"/>
                <w:b w:val="0"/>
                <w:sz w:val="20"/>
              </w:rPr>
              <w:t>Coinbase Custody (Coinbase Prime)</w:t>
            </w:r>
          </w:p>
        </w:tc>
        <w:tc>
          <w:tcPr>
            <w:tcW w:type="dxa" w:w="3250"/>
            <w:shd w:val="clear" w:color="auto" w:fill="EEF3FA"/>
          </w:tcPr>
          <w:p>
            <w:pPr>
              <w:spacing w:after="40" w:before="40"/>
            </w:pPr>
            <w:r>
              <w:rPr>
                <w:rFonts w:ascii="Calibri" w:hAnsi="Calibri"/>
                <w:b w:val="0"/>
                <w:sz w:val="20"/>
              </w:rPr>
              <w:t>Received expanded regulatory approval from the New York Department of Financial Services (NYDFS) to custody additional digital asset types including certain tokenised securities.</w:t>
            </w:r>
          </w:p>
        </w:tc>
        <w:tc>
          <w:tcPr>
            <w:tcW w:type="dxa" w:w="3250"/>
            <w:shd w:val="clear" w:color="auto" w:fill="EEF3FA"/>
          </w:tcPr>
          <w:p>
            <w:pPr>
              <w:spacing w:after="40" w:before="40"/>
            </w:pPr>
            <w:r>
              <w:rPr>
                <w:rFonts w:ascii="Calibri" w:hAnsi="Calibri"/>
                <w:b w:val="0"/>
                <w:sz w:val="20"/>
              </w:rPr>
              <w:t>Broadens Coinbase's institutional custody offering and competitive positioning against traditional custodians entering digital assets.</w:t>
            </w:r>
          </w:p>
        </w:tc>
      </w:tr>
      <w:tr>
        <w:tc>
          <w:tcPr>
            <w:tcW w:type="dxa" w:w="3250"/>
          </w:tcPr>
          <w:p>
            <w:pPr>
              <w:spacing w:after="40" w:before="40"/>
            </w:pPr>
            <w:r>
              <w:rPr>
                <w:rFonts w:ascii="Calibri" w:hAnsi="Calibri"/>
                <w:b w:val="0"/>
                <w:sz w:val="20"/>
              </w:rPr>
              <w:t>BitGo</w:t>
            </w:r>
          </w:p>
        </w:tc>
        <w:tc>
          <w:tcPr>
            <w:tcW w:type="dxa" w:w="3250"/>
          </w:tcPr>
          <w:p>
            <w:pPr>
              <w:spacing w:after="40" w:before="40"/>
            </w:pPr>
            <w:r>
              <w:rPr>
                <w:rFonts w:ascii="Calibri" w:hAnsi="Calibri"/>
                <w:b w:val="0"/>
                <w:sz w:val="20"/>
              </w:rPr>
              <w:t>Announced BitGo Prime, an integrated prime brokerage and custody service targeting hedge funds and institutional digital asset allocators.</w:t>
            </w:r>
          </w:p>
        </w:tc>
        <w:tc>
          <w:tcPr>
            <w:tcW w:type="dxa" w:w="3250"/>
          </w:tcPr>
          <w:p>
            <w:pPr>
              <w:spacing w:after="40" w:before="40"/>
            </w:pPr>
            <w:r>
              <w:rPr>
                <w:rFonts w:ascii="Calibri" w:hAnsi="Calibri"/>
                <w:b w:val="0"/>
                <w:sz w:val="20"/>
              </w:rPr>
              <w:t>Merges execution and custody, competing with the prime brokerage models offered by traditional banks.</w:t>
            </w:r>
          </w:p>
        </w:tc>
      </w:tr>
      <w:tr>
        <w:tc>
          <w:tcPr>
            <w:tcW w:type="dxa" w:w="3250"/>
            <w:shd w:val="clear" w:color="auto" w:fill="EEF3FA"/>
          </w:tcPr>
          <w:p>
            <w:pPr>
              <w:spacing w:after="40" w:before="40"/>
            </w:pPr>
            <w:r>
              <w:rPr>
                <w:rFonts w:ascii="Calibri" w:hAnsi="Calibri"/>
                <w:b w:val="0"/>
                <w:sz w:val="20"/>
              </w:rPr>
              <w:t>Fidelity Digital Assets</w:t>
            </w:r>
          </w:p>
        </w:tc>
        <w:tc>
          <w:tcPr>
            <w:tcW w:type="dxa" w:w="3250"/>
            <w:shd w:val="clear" w:color="auto" w:fill="EEF3FA"/>
          </w:tcPr>
          <w:p>
            <w:pPr>
              <w:spacing w:after="40" w:before="40"/>
            </w:pPr>
            <w:r>
              <w:rPr>
                <w:rFonts w:ascii="Calibri" w:hAnsi="Calibri"/>
                <w:b w:val="0"/>
                <w:sz w:val="20"/>
              </w:rPr>
              <w:t>Expanded institutional staking services to support Ethereum and Solana staking for qualified custodial clients.</w:t>
            </w:r>
          </w:p>
        </w:tc>
        <w:tc>
          <w:tcPr>
            <w:tcW w:type="dxa" w:w="3250"/>
            <w:shd w:val="clear" w:color="auto" w:fill="EEF3FA"/>
          </w:tcPr>
          <w:p>
            <w:pPr>
              <w:spacing w:after="40" w:before="40"/>
            </w:pPr>
            <w:r>
              <w:rPr>
                <w:rFonts w:ascii="Calibri" w:hAnsi="Calibri"/>
                <w:b w:val="0"/>
                <w:sz w:val="20"/>
              </w:rPr>
              <w:t>Adds yield-generating services to digital asset custody, attracting institutions seeking return on idle digital holdings.</w:t>
            </w:r>
          </w:p>
        </w:tc>
      </w:tr>
      <w:tr>
        <w:tc>
          <w:tcPr>
            <w:tcW w:type="dxa" w:w="3250"/>
          </w:tcPr>
          <w:p>
            <w:pPr>
              <w:spacing w:after="40" w:before="40"/>
            </w:pPr>
            <w:r>
              <w:rPr>
                <w:rFonts w:ascii="Calibri" w:hAnsi="Calibri"/>
                <w:b w:val="0"/>
                <w:sz w:val="20"/>
              </w:rPr>
              <w:t>Anchorage Digital</w:t>
            </w:r>
          </w:p>
        </w:tc>
        <w:tc>
          <w:tcPr>
            <w:tcW w:type="dxa" w:w="3250"/>
          </w:tcPr>
          <w:p>
            <w:pPr>
              <w:spacing w:after="40" w:before="40"/>
            </w:pPr>
            <w:r>
              <w:rPr>
                <w:rFonts w:ascii="Calibri" w:hAnsi="Calibri"/>
                <w:b w:val="0"/>
                <w:sz w:val="20"/>
              </w:rPr>
              <w:t>Secured a multi-year custodial mandate from a US-based public pension fund for a digital asset allocation pilot.</w:t>
            </w:r>
          </w:p>
        </w:tc>
        <w:tc>
          <w:tcPr>
            <w:tcW w:type="dxa" w:w="3250"/>
          </w:tcPr>
          <w:p>
            <w:pPr>
              <w:spacing w:after="40" w:before="40"/>
            </w:pPr>
            <w:r>
              <w:rPr>
                <w:rFonts w:ascii="Calibri" w:hAnsi="Calibri"/>
                <w:b w:val="0"/>
                <w:sz w:val="20"/>
              </w:rPr>
              <w:t>Represents a milestone in pension fund adoption of digital asset custody with a federally chartered digital bank.</w:t>
            </w:r>
          </w:p>
        </w:tc>
      </w:tr>
      <w:tr>
        <w:tc>
          <w:tcPr>
            <w:tcW w:type="dxa" w:w="3250"/>
            <w:shd w:val="clear" w:color="auto" w:fill="EEF3FA"/>
          </w:tcPr>
          <w:p>
            <w:pPr>
              <w:spacing w:after="40" w:before="40"/>
            </w:pPr>
            <w:r>
              <w:rPr>
                <w:rFonts w:ascii="Calibri" w:hAnsi="Calibri"/>
                <w:b w:val="0"/>
                <w:sz w:val="20"/>
              </w:rPr>
              <w:t>Fireblocks</w:t>
            </w:r>
          </w:p>
        </w:tc>
        <w:tc>
          <w:tcPr>
            <w:tcW w:type="dxa" w:w="3250"/>
            <w:shd w:val="clear" w:color="auto" w:fill="EEF3FA"/>
          </w:tcPr>
          <w:p>
            <w:pPr>
              <w:spacing w:after="40" w:before="40"/>
            </w:pPr>
            <w:r>
              <w:rPr>
                <w:rFonts w:ascii="Calibri" w:hAnsi="Calibri"/>
                <w:b w:val="0"/>
                <w:sz w:val="20"/>
              </w:rPr>
              <w:t>Surpassed 2,000 institutional clients on its digital asset infrastructure platform, with notable growth among fund administrators requiring multi-chain treasury operations.</w:t>
            </w:r>
          </w:p>
        </w:tc>
        <w:tc>
          <w:tcPr>
            <w:tcW w:type="dxa" w:w="3250"/>
            <w:shd w:val="clear" w:color="auto" w:fill="EEF3FA"/>
          </w:tcPr>
          <w:p>
            <w:pPr>
              <w:spacing w:after="40" w:before="40"/>
            </w:pPr>
            <w:r>
              <w:rPr>
                <w:rFonts w:ascii="Calibri" w:hAnsi="Calibri"/>
                <w:b w:val="0"/>
                <w:sz w:val="20"/>
              </w:rPr>
              <w:t>Reinforces Fireblocks' position as the dominant institutional wallet and transfer infrastructure provider.</w:t>
            </w:r>
          </w:p>
        </w:tc>
      </w:tr>
      <w:tr>
        <w:tc>
          <w:tcPr>
            <w:tcW w:type="dxa" w:w="3250"/>
          </w:tcPr>
          <w:p>
            <w:pPr>
              <w:spacing w:after="40" w:before="40"/>
            </w:pPr>
            <w:r>
              <w:rPr>
                <w:rFonts w:ascii="Calibri" w:hAnsi="Calibri"/>
                <w:b w:val="0"/>
                <w:sz w:val="20"/>
              </w:rPr>
              <w:t>Gemini Custody</w:t>
            </w:r>
          </w:p>
        </w:tc>
        <w:tc>
          <w:tcPr>
            <w:tcW w:type="dxa" w:w="3250"/>
          </w:tcPr>
          <w:p>
            <w:pPr>
              <w:spacing w:after="40" w:before="40"/>
            </w:pPr>
            <w:r>
              <w:rPr>
                <w:rFonts w:ascii="Calibri" w:hAnsi="Calibri"/>
                <w:b w:val="0"/>
                <w:sz w:val="20"/>
              </w:rPr>
              <w:t>Launched segregated cold storage vaults in Singapore, expanding its regulated international institutional custody footprint.</w:t>
            </w:r>
          </w:p>
        </w:tc>
        <w:tc>
          <w:tcPr>
            <w:tcW w:type="dxa" w:w="3250"/>
          </w:tcPr>
          <w:p>
            <w:pPr>
              <w:spacing w:after="40" w:before="40"/>
            </w:pPr>
            <w:r>
              <w:rPr>
                <w:rFonts w:ascii="Calibri" w:hAnsi="Calibri"/>
                <w:b w:val="0"/>
                <w:sz w:val="20"/>
              </w:rPr>
              <w:t>Provides APAC-based institutions with a regulated US-origin custodial option for digital assets.</w:t>
            </w:r>
          </w:p>
        </w:tc>
      </w:tr>
      <w:tr>
        <w:tc>
          <w:tcPr>
            <w:tcW w:type="dxa" w:w="3250"/>
            <w:shd w:val="clear" w:color="auto" w:fill="EEF3FA"/>
          </w:tcPr>
          <w:p>
            <w:pPr>
              <w:spacing w:after="40" w:before="40"/>
            </w:pPr>
            <w:r>
              <w:rPr>
                <w:rFonts w:ascii="Calibri" w:hAnsi="Calibri"/>
                <w:b w:val="0"/>
                <w:sz w:val="20"/>
              </w:rPr>
              <w:t>Cobo</w:t>
            </w:r>
          </w:p>
        </w:tc>
        <w:tc>
          <w:tcPr>
            <w:tcW w:type="dxa" w:w="3250"/>
            <w:shd w:val="clear" w:color="auto" w:fill="EEF3FA"/>
          </w:tcPr>
          <w:p>
            <w:pPr>
              <w:spacing w:after="40" w:before="40"/>
            </w:pPr>
            <w:r>
              <w:rPr>
                <w:rFonts w:ascii="Calibri" w:hAnsi="Calibri"/>
                <w:b w:val="0"/>
                <w:sz w:val="20"/>
              </w:rPr>
              <w:t>Expanded MPC (multi-party computation) custody offering to support institutional clients in the Middle East and Southeast Asia.</w:t>
            </w:r>
          </w:p>
        </w:tc>
        <w:tc>
          <w:tcPr>
            <w:tcW w:type="dxa" w:w="3250"/>
            <w:shd w:val="clear" w:color="auto" w:fill="EEF3FA"/>
          </w:tcPr>
          <w:p>
            <w:pPr>
              <w:spacing w:after="40" w:before="40"/>
            </w:pPr>
            <w:r>
              <w:rPr>
                <w:rFonts w:ascii="Calibri" w:hAnsi="Calibri"/>
                <w:b w:val="0"/>
                <w:sz w:val="20"/>
              </w:rPr>
              <w:t>Targets fast-growing digital asset markets where institutional-grade custody solutions remain limited.</w:t>
            </w:r>
          </w:p>
        </w:tc>
      </w:tr>
      <w:tr>
        <w:tc>
          <w:tcPr>
            <w:tcW w:type="dxa" w:w="3250"/>
          </w:tcPr>
          <w:p>
            <w:pPr>
              <w:spacing w:after="40" w:before="40"/>
            </w:pPr>
            <w:r>
              <w:rPr>
                <w:rFonts w:ascii="Calibri" w:hAnsi="Calibri"/>
                <w:b w:val="0"/>
                <w:sz w:val="20"/>
              </w:rPr>
              <w:t>Hex Trust</w:t>
            </w:r>
          </w:p>
        </w:tc>
        <w:tc>
          <w:tcPr>
            <w:tcW w:type="dxa" w:w="3250"/>
          </w:tcPr>
          <w:p>
            <w:pPr>
              <w:spacing w:after="40" w:before="40"/>
            </w:pPr>
            <w:r>
              <w:rPr>
                <w:rFonts w:ascii="Calibri" w:hAnsi="Calibri"/>
                <w:b w:val="0"/>
                <w:sz w:val="20"/>
              </w:rPr>
              <w:t>Received a Major Payment Institution licence from the Monetary Authority of Singapore (MAS), broadening its regulated service scope.</w:t>
            </w:r>
          </w:p>
        </w:tc>
        <w:tc>
          <w:tcPr>
            <w:tcW w:type="dxa" w:w="3250"/>
          </w:tcPr>
          <w:p>
            <w:pPr>
              <w:spacing w:after="40" w:before="40"/>
            </w:pPr>
            <w:r>
              <w:rPr>
                <w:rFonts w:ascii="Calibri" w:hAnsi="Calibri"/>
                <w:b w:val="0"/>
                <w:sz w:val="20"/>
              </w:rPr>
              <w:t>Strengthens Hex Trust's compliance credentials for institutional digital asset custody in a key Asian financial centre.</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Announced ClearLoop integration with two additional centralised exchanges, expanding its off-exchange settlement network.</w:t>
            </w:r>
          </w:p>
        </w:tc>
        <w:tc>
          <w:tcPr>
            <w:tcW w:type="dxa" w:w="3250"/>
            <w:shd w:val="clear" w:color="auto" w:fill="EEF3FA"/>
          </w:tcPr>
          <w:p>
            <w:pPr>
              <w:spacing w:after="40" w:before="40"/>
            </w:pPr>
            <w:r>
              <w:rPr>
                <w:rFonts w:ascii="Calibri" w:hAnsi="Calibri"/>
                <w:b w:val="0"/>
                <w:sz w:val="20"/>
              </w:rPr>
              <w:t>Reduces counterparty risk for institutional traders by enabling exchange trading without pre-funding, a key institutional requirement.</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Signed a strategic partnership with a major European bank to provide white-label digital asset custody under the bank's brand.</w:t>
            </w:r>
          </w:p>
        </w:tc>
        <w:tc>
          <w:tcPr>
            <w:tcW w:type="dxa" w:w="3250"/>
          </w:tcPr>
          <w:p>
            <w:pPr>
              <w:spacing w:after="40" w:before="40"/>
            </w:pPr>
            <w:r>
              <w:rPr>
                <w:rFonts w:ascii="Calibri" w:hAnsi="Calibri"/>
                <w:b w:val="0"/>
                <w:sz w:val="20"/>
              </w:rPr>
              <w:t>Validates the Komainu model of providing regulated custody infrastructure to traditional financial institutions.</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Expanded service availability to the UAE, offering institutional digital asset custody licensed under the ADGM regulatory framework.</w:t>
            </w:r>
          </w:p>
        </w:tc>
        <w:tc>
          <w:tcPr>
            <w:tcW w:type="dxa" w:w="3250"/>
            <w:shd w:val="clear" w:color="auto" w:fill="EEF3FA"/>
          </w:tcPr>
          <w:p>
            <w:pPr>
              <w:spacing w:after="40" w:before="40"/>
            </w:pPr>
            <w:r>
              <w:rPr>
                <w:rFonts w:ascii="Calibri" w:hAnsi="Calibri"/>
                <w:b w:val="0"/>
                <w:sz w:val="20"/>
              </w:rPr>
              <w:t>Extends the Standard Chartered-backed venture into the Middle East's rapidly growing digital asset market.</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Launched a Bitcoin collateral management service enabling institutional borrowers to pledge Bitcoin held in NYDIG custody as loan collateral.</w:t>
            </w:r>
          </w:p>
        </w:tc>
        <w:tc>
          <w:tcPr>
            <w:tcW w:type="dxa" w:w="3250"/>
          </w:tcPr>
          <w:p>
            <w:pPr>
              <w:spacing w:after="40" w:before="40"/>
            </w:pPr>
            <w:r>
              <w:rPr>
                <w:rFonts w:ascii="Calibri" w:hAnsi="Calibri"/>
                <w:b w:val="0"/>
                <w:sz w:val="20"/>
              </w:rPr>
              <w:t>Bridges digital asset custody and traditional lending, potentially attracting insurance and corporate treasury clients.</w:t>
            </w:r>
          </w:p>
        </w:tc>
      </w:tr>
      <w:tr>
        <w:tc>
          <w:tcPr>
            <w:tcW w:type="dxa" w:w="3250"/>
            <w:shd w:val="clear" w:color="auto" w:fill="EEF3FA"/>
          </w:tcPr>
          <w:p>
            <w:pPr>
              <w:spacing w:after="40" w:before="40"/>
            </w:pPr>
            <w:r>
              <w:rPr>
                <w:rFonts w:ascii="Calibri" w:hAnsi="Calibri"/>
                <w:b w:val="0"/>
                <w:sz w:val="20"/>
              </w:rPr>
              <w:t>Bitcoin Suisse</w:t>
            </w:r>
          </w:p>
        </w:tc>
        <w:tc>
          <w:tcPr>
            <w:tcW w:type="dxa" w:w="3250"/>
            <w:shd w:val="clear" w:color="auto" w:fill="EEF3FA"/>
          </w:tcPr>
          <w:p>
            <w:pPr>
              <w:spacing w:after="40" w:before="40"/>
            </w:pPr>
            <w:r>
              <w:rPr>
                <w:rFonts w:ascii="Calibri" w:hAnsi="Calibri"/>
                <w:b w:val="0"/>
                <w:sz w:val="20"/>
              </w:rPr>
              <w:t>Received a Swiss banking licence, upgrading its regulatory status from a securities dealer and enabling it to offer deposit-taking alongside custody.</w:t>
            </w:r>
          </w:p>
        </w:tc>
        <w:tc>
          <w:tcPr>
            <w:tcW w:type="dxa" w:w="3250"/>
            <w:shd w:val="clear" w:color="auto" w:fill="EEF3FA"/>
          </w:tcPr>
          <w:p>
            <w:pPr>
              <w:spacing w:after="40" w:before="40"/>
            </w:pPr>
            <w:r>
              <w:rPr>
                <w:rFonts w:ascii="Calibri" w:hAnsi="Calibri"/>
                <w:b w:val="0"/>
                <w:sz w:val="20"/>
              </w:rPr>
              <w:t>Positions Bitcoin Suisse as one of the few fully licensed crypto-native banking and custody institutions in Europe.</w:t>
            </w:r>
          </w:p>
        </w:tc>
      </w:tr>
      <w:tr>
        <w:tc>
          <w:tcPr>
            <w:tcW w:type="dxa" w:w="3250"/>
          </w:tcPr>
          <w:p>
            <w:pPr>
              <w:spacing w:after="40" w:before="40"/>
            </w:pPr>
            <w:r>
              <w:rPr>
                <w:rFonts w:ascii="Calibri" w:hAnsi="Calibri"/>
                <w:b w:val="0"/>
                <w:sz w:val="20"/>
              </w:rPr>
              <w:t>Taurus</w:t>
            </w:r>
          </w:p>
        </w:tc>
        <w:tc>
          <w:tcPr>
            <w:tcW w:type="dxa" w:w="3250"/>
          </w:tcPr>
          <w:p>
            <w:pPr>
              <w:spacing w:after="40" w:before="40"/>
            </w:pPr>
            <w:r>
              <w:rPr>
                <w:rFonts w:ascii="Calibri" w:hAnsi="Calibri"/>
                <w:b w:val="0"/>
                <w:sz w:val="20"/>
              </w:rPr>
              <w:t>Raised a Series C round reportedly valued at over USD 100 million, with participation from major European banking groups.</w:t>
            </w:r>
          </w:p>
        </w:tc>
        <w:tc>
          <w:tcPr>
            <w:tcW w:type="dxa" w:w="3250"/>
          </w:tcPr>
          <w:p>
            <w:pPr>
              <w:spacing w:after="40" w:before="40"/>
            </w:pPr>
            <w:r>
              <w:rPr>
                <w:rFonts w:ascii="Calibri" w:hAnsi="Calibri"/>
                <w:b w:val="0"/>
                <w:sz w:val="20"/>
              </w:rPr>
              <w:t>Signals strong institutional confidence in Taurus as digital asset infrastructure for banks and securities firms.</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