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rPr>
                <w:b/>
                <w:bCs/>
                <w:color w:val="auto"/>
              </w:rPr>
            </w:pPr>
            <w:r>
              <w:rPr>
                <w:rFonts w:ascii="Calibri" w:hAnsi="Calibri"/>
                <w:b/>
                <w:sz w:val="22"/>
              </w:rPr>
              <w:t>Monthly Executive Report</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rPr>
                <w:rFonts w:ascii="Calibri" w:hAnsi="Calibri"/>
                <w:b w:val="0"/>
                <w:sz w:val="22"/>
              </w:rPr>
              <w:t>Senior Management Team</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rPr>
                <w:rFonts w:ascii="Calibri" w:hAnsi="Calibri"/>
                <w:b w:val="0"/>
                <w:sz w:val="22"/>
              </w:rPr>
              <w:t>Ian Sinclair</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rPr>
                <w:rFonts w:ascii="Calibri" w:hAnsi="Calibri"/>
                <w:b w:val="0"/>
                <w:sz w:val="22"/>
              </w:rPr>
              <w:t>21 March 2026</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p>
      <w:pPr>
        <w:spacing w:before="240" w:after="80"/>
        <w:pBdr>
          <w:bottom w:val="single" w:sz="6" w:space="1" w:color="00429B"/>
        </w:pBdr>
      </w:pPr>
      <w:r>
        <w:rPr>
          <w:rFonts w:ascii="Calibri" w:hAnsi="Calibri"/>
          <w:b/>
          <w:color w:val="00429B"/>
          <w:sz w:val="26"/>
        </w:rPr>
        <w:t>1. EXECUTIVE SUMMARY</w:t>
      </w:r>
    </w:p>
    <w:p>
      <w:pPr>
        <w:spacing w:after="120"/>
      </w:pPr>
      <w:r>
        <w:rPr>
          <w:rFonts w:ascii="Calibri" w:hAnsi="Calibri"/>
          <w:sz w:val="22"/>
        </w:rPr>
        <w:t>The dominant narrative for March 2026 is the escalation of global trade policy uncertainty following the United States administration's announcement of expanded tariff measures targeting European and Asian manufactured goods, which has triggered significant equity market volatility and a flight to safe-haven assets. The VIX has risen sharply above 20 and global equity markets have experienced a broad drawdown, increasing margin call volumes and collateral management activity across custodian networks. In parallel, the European Securities and Markets Authority published its final guidance on digital asset custody standards under MiCA, creating a material compliance workstream for any investor services firm with European crypto-custody ambitions. Settlement discipline continues to tighten as the industry absorbs the one-year anniversary of North American T+1, with ESMA now formally proposing an October 2027 go-live date for European T+1 migration. For RBC Investor Services, the combined effect of elevated trading volumes, new regulatory implementation demands, and competitive repositioning among peers makes this a month requiring heightened operational vigilance and strategic attentiveness.</w:t>
      </w:r>
    </w:p>
    <w:p>
      <w:pPr>
        <w:spacing w:before="240" w:after="80"/>
        <w:pBdr>
          <w:bottom w:val="single" w:sz="6" w:space="1" w:color="00429B"/>
        </w:pBdr>
      </w:pPr>
      <w:r>
        <w:rPr>
          <w:rFonts w:ascii="Calibri" w:hAnsi="Calibri"/>
          <w:b/>
          <w:color w:val="00429B"/>
          <w:sz w:val="26"/>
        </w:rPr>
        <w:t>2. MARKET AND MACRO ENVIRONMENT</w:t>
      </w:r>
    </w:p>
    <w:p>
      <w:pPr>
        <w:spacing w:after="60"/>
      </w:pPr>
      <w:r>
        <w:rPr>
          <w:rFonts w:ascii="Calibri" w:hAnsi="Calibri"/>
          <w:sz w:val="21"/>
        </w:rPr>
        <w:t>The S&amp;P 500 has fallen approximately 4 percent month-to-date through 21 March, driven by renewed US tariff escalation and hawkish Federal Reserve commentary suggesting rate cuts remain unlikely before Q3 2026, dampening earlier optimism around easing.</w:t>
      </w:r>
    </w:p>
    <w:p>
      <w:pPr>
        <w:spacing w:after="60"/>
      </w:pPr>
      <w:r>
        <w:rPr>
          <w:rFonts w:ascii="Calibri" w:hAnsi="Calibri"/>
          <w:sz w:val="21"/>
        </w:rPr>
        <w:t>US 10-year Treasury yields have retraced toward the 4.15-4.20 percent range as risk-off positioning intensifies, while German 10-year Bund yields have edged higher toward 2.85 percent on the back of continued EU fiscal expansion tied to defence spending commitments.</w:t>
      </w:r>
    </w:p>
    <w:p>
      <w:pPr>
        <w:spacing w:after="60"/>
      </w:pPr>
      <w:r>
        <w:rPr>
          <w:rFonts w:ascii="Calibri" w:hAnsi="Calibri"/>
          <w:sz w:val="21"/>
        </w:rPr>
        <w:t>The euro has strengthened modestly against the US dollar, trading near 1.10, partly reflecting capital repatriation to Europe as EU defence and infrastructure bond issuance attracts global fixed-income flows; sterling has held steady near 1.29 against the dollar.</w:t>
      </w:r>
    </w:p>
    <w:p>
      <w:pPr>
        <w:spacing w:after="60"/>
      </w:pPr>
      <w:r>
        <w:rPr>
          <w:rFonts w:ascii="Calibri" w:hAnsi="Calibri"/>
          <w:sz w:val="21"/>
        </w:rPr>
        <w:t>The Japanese yen has appreciated toward 147 against the dollar amid safe-haven demand, with the Bank of Japan signalling it remains on a gradual normalisation path following its January rate increase to 0.75 percent.</w:t>
      </w:r>
    </w:p>
    <w:p>
      <w:pPr>
        <w:spacing w:after="60"/>
      </w:pPr>
      <w:r>
        <w:rPr>
          <w:rFonts w:ascii="Calibri" w:hAnsi="Calibri"/>
          <w:sz w:val="21"/>
        </w:rPr>
        <w:t>Brent crude has declined to approximately 73 dollars per barrel as demand-side concerns linked to trade tensions outweigh OPEC-plus supply restraint; gold has surged past 3,050 dollars per ounce, setting new all-time highs, reflecting persistent geopolitical hedging demand.</w:t>
      </w:r>
    </w:p>
    <w:p>
      <w:pPr>
        <w:spacing w:after="60"/>
      </w:pPr>
      <w:r>
        <w:rPr>
          <w:rFonts w:ascii="Calibri" w:hAnsi="Calibri"/>
          <w:sz w:val="21"/>
        </w:rPr>
        <w:t>For custodians and fund administrators, the combination of elevated volatility, increased FX hedging activity, and record margin call volumes represents both an operational stress test and a revenue tailwind from higher transaction and collateral management fees.</w:t>
      </w:r>
    </w:p>
    <w:p>
      <w:pPr>
        <w:spacing w:before="240" w:after="80"/>
        <w:pBdr>
          <w:bottom w:val="single" w:sz="6" w:space="1" w:color="00429B"/>
        </w:pBdr>
      </w:pPr>
      <w:r>
        <w:rPr>
          <w:rFonts w:ascii="Calibri" w:hAnsi="Calibri"/>
          <w:b/>
          <w:color w:val="00429B"/>
          <w:sz w:val="26"/>
        </w:rPr>
        <w:t>3. REGULATORY AND POLICY DEVELOPMENTS</w:t>
      </w:r>
    </w:p>
    <w:p>
      <w:pPr>
        <w:spacing w:after="60"/>
      </w:pPr>
      <w:r>
        <w:rPr>
          <w:rFonts w:ascii="Calibri" w:hAnsi="Calibri"/>
          <w:sz w:val="21"/>
        </w:rPr>
        <w:t>ESMA released its final technical standards on digital asset custody obligations under the Markets in Crypto-Assets Regulation, effective for compliance by Q1 2027, requiring segregation of client digital assets, mandatory insurance or capital buffers, and detailed reporting to national competent authorities; this creates an immediate gap analysis requirement for all EU-licensed custodians.</w:t>
      </w:r>
    </w:p>
    <w:p>
      <w:pPr>
        <w:spacing w:after="60"/>
      </w:pPr>
      <w:r>
        <w:rPr>
          <w:rFonts w:ascii="Calibri" w:hAnsi="Calibri"/>
          <w:sz w:val="21"/>
        </w:rPr>
        <w:t>The US Securities and Exchange Commission issued a new proposed rule expanding Form PF reporting obligations for private fund advisers, including near-real-time reporting of significant redemption events and liquidity stress triggers, which would materially increase data flows to fund administrators.</w:t>
      </w:r>
    </w:p>
    <w:p>
      <w:pPr>
        <w:spacing w:after="60"/>
      </w:pPr>
      <w:r>
        <w:rPr>
          <w:rFonts w:ascii="Calibri" w:hAnsi="Calibri"/>
          <w:sz w:val="21"/>
        </w:rPr>
        <w:t>ESMA formally published a consultation paper proposing October 2027 as the go-live date for T+1 settlement in EU securities markets, closely aligning with the UK Accelerated Settlement Taskforce's recommended timeline of late 2027, and prompting major CSDs including Euroclear and Clearstream to issue operational readiness frameworks.</w:t>
      </w:r>
    </w:p>
    <w:p>
      <w:pPr>
        <w:spacing w:after="60"/>
      </w:pPr>
      <w:r>
        <w:rPr>
          <w:rFonts w:ascii="Calibri" w:hAnsi="Calibri"/>
          <w:sz w:val="21"/>
        </w:rPr>
        <w:t>The Luxembourg CSSF issued updated guidance on substance requirements for fund management companies and their delegates, reinforcing expectations around local operational capacity, board oversight, and risk management staffing, relevant to any fund administration mandates booked through Luxembourg.</w:t>
      </w:r>
    </w:p>
    <w:p>
      <w:pPr>
        <w:spacing w:after="60"/>
      </w:pPr>
      <w:r>
        <w:rPr>
          <w:rFonts w:ascii="Calibri" w:hAnsi="Calibri"/>
          <w:sz w:val="21"/>
        </w:rPr>
        <w:t>The Office of the Superintendent of Financial Institutions in Canada published revised B-13 technology and cyber risk management guidelines effective July 2026, raising the bar on third-party vendor risk oversight and incident reporting timelines for federally regulated financial institutions including RBC.</w:t>
      </w:r>
    </w:p>
    <w:p>
      <w:pPr>
        <w:spacing w:after="60"/>
      </w:pPr>
      <w:r>
        <w:rPr>
          <w:rFonts w:ascii="Calibri" w:hAnsi="Calibri"/>
          <w:sz w:val="21"/>
        </w:rPr>
        <w:t>The UK Financial Conduct Authority launched a consultation on broadening the Senior Managers and Certification Regime to cover additional functions within custody and asset servicing entities, potentially increasing personal accountability for operational failures in those businesses.</w:t>
      </w:r>
    </w:p>
    <w:p>
      <w:pPr>
        <w:spacing w:before="240" w:after="80"/>
        <w:pBdr>
          <w:bottom w:val="single" w:sz="6" w:space="1" w:color="00429B"/>
        </w:pBdr>
      </w:pPr>
      <w:r>
        <w:rPr>
          <w:rFonts w:ascii="Calibri" w:hAnsi="Calibri"/>
          <w:b/>
          <w:color w:val="00429B"/>
          <w:sz w:val="26"/>
        </w:rPr>
        <w:t>4. INDUSTRY AND COMPETITIVE LANDSCAPE</w:t>
      </w:r>
    </w:p>
    <w:p>
      <w:pPr>
        <w:spacing w:after="60"/>
      </w:pPr>
      <w:r>
        <w:rPr>
          <w:rFonts w:ascii="Calibri" w:hAnsi="Calibri"/>
          <w:sz w:val="21"/>
        </w:rPr>
        <w:t>BNY announced the full commercial launch of its Digital Asset Custody platform for institutional clients in the US and Europe, leveraging its long-running pilot and regulatory approvals to offer integrated custody of tokenised securities and select cryptocurrencies alongside traditional assets on a unified platform.</w:t>
      </w:r>
    </w:p>
    <w:p>
      <w:pPr>
        <w:spacing w:after="60"/>
      </w:pPr>
      <w:r>
        <w:rPr>
          <w:rFonts w:ascii="Calibri" w:hAnsi="Calibri"/>
          <w:sz w:val="21"/>
        </w:rPr>
        <w:t>State Street disclosed a strategic partnership with a major European digital asset infrastructure provider to build out tokenised fund distribution capabilities, positioning its Alpha platform as a front-to-back solution for managers seeking to tokenise fund units under the EU DLT Pilot Regime.</w:t>
      </w:r>
    </w:p>
    <w:p>
      <w:pPr>
        <w:spacing w:after="60"/>
      </w:pPr>
      <w:r>
        <w:rPr>
          <w:rFonts w:ascii="Calibri" w:hAnsi="Calibri"/>
          <w:sz w:val="21"/>
        </w:rPr>
        <w:t>Northern Trust confirmed the completion of its previously announced acquisition of a mid-sized European fund administration business focused on alternative assets, adding approximately 80 billion dollars in administered assets and deepening its footprint in Luxembourg and Dublin.</w:t>
      </w:r>
    </w:p>
    <w:p>
      <w:pPr>
        <w:spacing w:after="60"/>
      </w:pPr>
      <w:r>
        <w:rPr>
          <w:rFonts w:ascii="Calibri" w:hAnsi="Calibri"/>
          <w:sz w:val="21"/>
        </w:rPr>
        <w:t>HSBC Securities Services expanded its Asia-Pacific ETF servicing capabilities, announcing dedicated servicing hubs in Hong Kong and Singapore to support the rapid growth of active ETFs across the region and compete with Citi and JPMorgan for regional mandates.</w:t>
      </w:r>
    </w:p>
    <w:p>
      <w:pPr>
        <w:spacing w:after="60"/>
      </w:pPr>
      <w:r>
        <w:rPr>
          <w:rFonts w:ascii="Calibri" w:hAnsi="Calibri"/>
          <w:sz w:val="21"/>
        </w:rPr>
        <w:t>Broadridge Financial Solutions and Accenture announced a joint venture to deliver AI-powered post-trade reconciliation and exception management services targeted at mid-tier asset managers and fund administrators, signalling growing competitive pressure on incumbent custodians from technology-led entrants.</w:t>
      </w:r>
    </w:p>
    <w:p>
      <w:pPr>
        <w:spacing w:after="60"/>
      </w:pPr>
      <w:r>
        <w:rPr>
          <w:rFonts w:ascii="Calibri" w:hAnsi="Calibri"/>
          <w:sz w:val="21"/>
        </w:rPr>
        <w:t>SS&amp;C Technologies reported strong Q4 2025 earnings driven by alternative fund administration growth and announced a new generative AI-powered NAV oversight module within its GlobeOp platform, reflecting the industry-wide push to embed artificial intelligence into core fund administration workflows.</w:t>
      </w:r>
    </w:p>
    <w:p>
      <w:pPr>
        <w:spacing w:before="240" w:after="80"/>
        <w:pBdr>
          <w:bottom w:val="single" w:sz="6" w:space="1" w:color="00429B"/>
        </w:pBdr>
      </w:pPr>
      <w:r>
        <w:rPr>
          <w:rFonts w:ascii="Calibri" w:hAnsi="Calibri"/>
          <w:b/>
          <w:color w:val="00429B"/>
          <w:sz w:val="26"/>
        </w:rPr>
        <w:t>5. RISK DASHBOARD</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Risk Title</w:t>
            </w:r>
          </w:p>
        </w:tc>
        <w:tc>
          <w:tcPr>
            <w:tcW w:type="dxa" w:w="2437"/>
            <w:shd w:val="clear" w:color="auto" w:fill="00429B"/>
          </w:tcPr>
          <w:p>
            <w:pPr>
              <w:spacing w:after="40" w:before="40"/>
            </w:pPr>
            <w:r>
              <w:rPr>
                <w:rFonts w:ascii="Calibri" w:hAnsi="Calibri"/>
                <w:b/>
                <w:color w:val="FFFFFF"/>
                <w:sz w:val="20"/>
              </w:rPr>
              <w:t>Category</w:t>
            </w:r>
          </w:p>
        </w:tc>
        <w:tc>
          <w:tcPr>
            <w:tcW w:type="dxa" w:w="2437"/>
            <w:shd w:val="clear" w:color="auto" w:fill="00429B"/>
          </w:tcPr>
          <w:p>
            <w:pPr>
              <w:spacing w:after="40" w:before="40"/>
            </w:pPr>
            <w:r>
              <w:rPr>
                <w:rFonts w:ascii="Calibri" w:hAnsi="Calibri"/>
                <w:b/>
                <w:color w:val="FFFFFF"/>
                <w:sz w:val="20"/>
              </w:rPr>
              <w:t>Description</w:t>
            </w:r>
          </w:p>
        </w:tc>
        <w:tc>
          <w:tcPr>
            <w:tcW w:type="dxa" w:w="2437"/>
            <w:shd w:val="clear" w:color="auto" w:fill="00429B"/>
          </w:tcPr>
          <w:p>
            <w:pPr>
              <w:spacing w:after="40" w:before="40"/>
            </w:pPr>
            <w:r>
              <w:rPr>
                <w:rFonts w:ascii="Calibri" w:hAnsi="Calibri"/>
                <w:b/>
                <w:color w:val="FFFFFF"/>
                <w:sz w:val="20"/>
              </w:rPr>
              <w:t>Direction</w:t>
            </w:r>
          </w:p>
        </w:tc>
      </w:tr>
      <w:tr>
        <w:tc>
          <w:tcPr>
            <w:tcW w:type="dxa" w:w="2437"/>
          </w:tcPr>
          <w:p>
            <w:pPr>
              <w:spacing w:after="40" w:before="40"/>
            </w:pPr>
            <w:r>
              <w:rPr>
                <w:rFonts w:ascii="Calibri" w:hAnsi="Calibri"/>
                <w:b w:val="0"/>
                <w:sz w:val="20"/>
              </w:rPr>
              <w:t>Trade policy escalation and tariff contagion</w:t>
            </w:r>
          </w:p>
        </w:tc>
        <w:tc>
          <w:tcPr>
            <w:tcW w:type="dxa" w:w="2437"/>
          </w:tcPr>
          <w:p>
            <w:pPr>
              <w:spacing w:after="40" w:before="40"/>
            </w:pPr>
            <w:r>
              <w:rPr>
                <w:rFonts w:ascii="Calibri" w:hAnsi="Calibri"/>
                <w:b w:val="0"/>
                <w:sz w:val="20"/>
              </w:rPr>
              <w:t>MARKET</w:t>
            </w:r>
          </w:p>
        </w:tc>
        <w:tc>
          <w:tcPr>
            <w:tcW w:type="dxa" w:w="2437"/>
          </w:tcPr>
          <w:p>
            <w:pPr>
              <w:spacing w:after="40" w:before="40"/>
            </w:pPr>
            <w:r>
              <w:rPr>
                <w:rFonts w:ascii="Calibri" w:hAnsi="Calibri"/>
                <w:b w:val="0"/>
                <w:sz w:val="20"/>
              </w:rPr>
              <w:t>Expanded US tariffs on EU and Asian goods are generating equity drawdowns, FX volatility, and surging margin call volumes that test collateral management and liquidity frameworks.</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Regulatory implementation overload</w:t>
            </w:r>
          </w:p>
        </w:tc>
        <w:tc>
          <w:tcPr>
            <w:tcW w:type="dxa" w:w="2437"/>
            <w:shd w:val="clear" w:color="auto" w:fill="EEF3FA"/>
          </w:tcPr>
          <w:p>
            <w:pPr>
              <w:spacing w:after="40" w:before="40"/>
            </w:pPr>
            <w:r>
              <w:rPr>
                <w:rFonts w:ascii="Calibri" w:hAnsi="Calibri"/>
                <w:b w:val="0"/>
                <w:sz w:val="20"/>
              </w:rPr>
              <w:t>REGULATORY</w:t>
            </w:r>
          </w:p>
        </w:tc>
        <w:tc>
          <w:tcPr>
            <w:tcW w:type="dxa" w:w="2437"/>
            <w:shd w:val="clear" w:color="auto" w:fill="EEF3FA"/>
          </w:tcPr>
          <w:p>
            <w:pPr>
              <w:spacing w:after="40" w:before="40"/>
            </w:pPr>
            <w:r>
              <w:rPr>
                <w:rFonts w:ascii="Calibri" w:hAnsi="Calibri"/>
                <w:b w:val="0"/>
                <w:sz w:val="20"/>
              </w:rPr>
              <w:t>Concurrent compliance demands from MiCA custody standards, ESMA T+1 proposals, expanded Form PF reporting, and OSFI B-13 cyber guidelines risk stretching change management capacity.</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Cyber and ransomware threat to financial infrastructure</w:t>
            </w:r>
          </w:p>
        </w:tc>
        <w:tc>
          <w:tcPr>
            <w:tcW w:type="dxa" w:w="2437"/>
          </w:tcPr>
          <w:p>
            <w:pPr>
              <w:spacing w:after="40" w:before="40"/>
            </w:pPr>
            <w:r>
              <w:rPr>
                <w:rFonts w:ascii="Calibri" w:hAnsi="Calibri"/>
                <w:b w:val="0"/>
                <w:sz w:val="20"/>
              </w:rPr>
              <w:t>CYBER</w:t>
            </w:r>
          </w:p>
        </w:tc>
        <w:tc>
          <w:tcPr>
            <w:tcW w:type="dxa" w:w="2437"/>
          </w:tcPr>
          <w:p>
            <w:pPr>
              <w:spacing w:after="40" w:before="40"/>
            </w:pPr>
            <w:r>
              <w:rPr>
                <w:rFonts w:ascii="Calibri" w:hAnsi="Calibri"/>
                <w:b w:val="0"/>
                <w:sz w:val="20"/>
              </w:rPr>
              <w:t>Industry threat intelligence reports indicate a sustained increase in sophisticated ransomware campaigns targeting financial market infrastructure and custodian data systems through supply chain vectors.</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Counterparty credit stress in leveraged funds</w:t>
            </w:r>
          </w:p>
        </w:tc>
        <w:tc>
          <w:tcPr>
            <w:tcW w:type="dxa" w:w="2437"/>
            <w:shd w:val="clear" w:color="auto" w:fill="EEF3FA"/>
          </w:tcPr>
          <w:p>
            <w:pPr>
              <w:spacing w:after="40" w:before="40"/>
            </w:pPr>
            <w:r>
              <w:rPr>
                <w:rFonts w:ascii="Calibri" w:hAnsi="Calibri"/>
                <w:b w:val="0"/>
                <w:sz w:val="20"/>
              </w:rPr>
              <w:t>CREDIT</w:t>
            </w:r>
          </w:p>
        </w:tc>
        <w:tc>
          <w:tcPr>
            <w:tcW w:type="dxa" w:w="2437"/>
            <w:shd w:val="clear" w:color="auto" w:fill="EEF3FA"/>
          </w:tcPr>
          <w:p>
            <w:pPr>
              <w:spacing w:after="40" w:before="40"/>
            </w:pPr>
            <w:r>
              <w:rPr>
                <w:rFonts w:ascii="Calibri" w:hAnsi="Calibri"/>
                <w:b w:val="0"/>
                <w:sz w:val="20"/>
              </w:rPr>
              <w:t>Elevated volatility is increasing margin pressure on highly leveraged hedge fund and private credit strategies, raising the risk of counterparty defaults impacting prime brokerage and fund administration clients.</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Operational resilience under T+1 settlement</w:t>
            </w:r>
          </w:p>
        </w:tc>
        <w:tc>
          <w:tcPr>
            <w:tcW w:type="dxa" w:w="2437"/>
          </w:tcPr>
          <w:p>
            <w:pPr>
              <w:spacing w:after="40" w:before="40"/>
            </w:pPr>
            <w:r>
              <w:rPr>
                <w:rFonts w:ascii="Calibri" w:hAnsi="Calibri"/>
                <w:b w:val="0"/>
                <w:sz w:val="20"/>
              </w:rPr>
              <w:t>OPERATIONAL</w:t>
            </w:r>
          </w:p>
        </w:tc>
        <w:tc>
          <w:tcPr>
            <w:tcW w:type="dxa" w:w="2437"/>
          </w:tcPr>
          <w:p>
            <w:pPr>
              <w:spacing w:after="40" w:before="40"/>
            </w:pPr>
            <w:r>
              <w:rPr>
                <w:rFonts w:ascii="Calibri" w:hAnsi="Calibri"/>
                <w:b w:val="0"/>
                <w:sz w:val="20"/>
              </w:rPr>
              <w:t>One year into North American T+1, fail rates have stabilised but remain above pre-transition levels for cross-border transactions, particularly those involving FX settlement mismatches in different time zones.</w:t>
            </w:r>
          </w:p>
        </w:tc>
        <w:tc>
          <w:tcPr>
            <w:tcW w:type="dxa" w:w="2437"/>
          </w:tcPr>
          <w:p>
            <w:pPr>
              <w:spacing w:after="40" w:before="40"/>
            </w:pPr>
            <w:r>
              <w:rPr>
                <w:rFonts w:ascii="Calibri" w:hAnsi="Calibri"/>
                <w:b/>
                <w:color w:val="FF8000"/>
                <w:sz w:val="20"/>
              </w:rPr>
              <w:t>→ STABLE</w:t>
            </w:r>
          </w:p>
        </w:tc>
      </w:tr>
    </w:tbl>
    <w:p>
      <w:pPr>
        <w:spacing w:before="240" w:after="80"/>
        <w:pBdr>
          <w:bottom w:val="single" w:sz="6" w:space="1" w:color="00429B"/>
        </w:pBdr>
      </w:pPr>
      <w:r>
        <w:rPr>
          <w:rFonts w:ascii="Calibri" w:hAnsi="Calibri"/>
          <w:b/>
          <w:color w:val="00429B"/>
          <w:sz w:val="26"/>
        </w:rPr>
        <w:t>6. TECHNOLOGY AND DIGITAL ASSETS</w:t>
      </w:r>
    </w:p>
    <w:p>
      <w:pPr>
        <w:spacing w:after="60"/>
      </w:pPr>
      <w:r>
        <w:rPr>
          <w:rFonts w:ascii="Calibri" w:hAnsi="Calibri"/>
          <w:sz w:val="21"/>
        </w:rPr>
        <w:t>The adoption of generative AI in fund administration has accelerated materially in Q1 2026, with multiple major servicers including SS&amp;C and BNY deploying large language model-based tools for NAV commentary generation, prospectus review, regulatory filing pre-population, and client query triage, reducing manual processing times by an estimated 30-40 percent in early production environments.</w:t>
      </w:r>
    </w:p>
    <w:p>
      <w:pPr>
        <w:spacing w:after="60"/>
      </w:pPr>
      <w:r>
        <w:rPr>
          <w:rFonts w:ascii="Calibri" w:hAnsi="Calibri"/>
          <w:sz w:val="21"/>
        </w:rPr>
        <w:t>SWIFT published the results of its multi-phase tokenised asset settlement pilot, involving 12 global banks and three CSDs, demonstrating interoperability between DLT-based platforms and traditional messaging infrastructure; SWIFT indicated it intends to move to production-grade interlinking capability by late 2026.</w:t>
      </w:r>
    </w:p>
    <w:p>
      <w:pPr>
        <w:spacing w:after="60"/>
      </w:pPr>
      <w:r>
        <w:rPr>
          <w:rFonts w:ascii="Calibri" w:hAnsi="Calibri"/>
          <w:sz w:val="21"/>
        </w:rPr>
        <w:t>The EU DLT Pilot Regime has now been operational for over a year, with Euronext, SIX Digital Exchange, and several smaller venues onboarding tokenised bond issuances; cumulative issuance under the regime has surpassed 5 billion euros equivalent, though secondary market liquidity remains thin.</w:t>
      </w:r>
    </w:p>
    <w:p>
      <w:pPr>
        <w:spacing w:after="60"/>
      </w:pPr>
      <w:r>
        <w:rPr>
          <w:rFonts w:ascii="Calibri" w:hAnsi="Calibri"/>
          <w:sz w:val="21"/>
        </w:rPr>
        <w:t>Industry discussion around T+0 settlement has intensified following a joint paper by DTCC and the Bank of England exploring the feasibility and implications of atomic settlement for certain instrument classes; however, consensus remains that T+0 on a broad basis is a multi-year aspiration beyond 2030.</w:t>
      </w:r>
    </w:p>
    <w:p>
      <w:pPr>
        <w:spacing w:after="60"/>
      </w:pPr>
      <w:r>
        <w:rPr>
          <w:rFonts w:ascii="Calibri" w:hAnsi="Calibri"/>
          <w:sz w:val="21"/>
        </w:rPr>
        <w:t>A significant distributed denial-of-service attack on a European CSD in early March, though successfully mitigated, has prompted renewed focus on cyber resilience across securities services infrastructure, with regulators expected to tighten operational resilience testing requirements.</w:t>
      </w:r>
    </w:p>
    <w:p>
      <w:pPr>
        <w:spacing w:after="60"/>
      </w:pPr>
      <w:r>
        <w:rPr>
          <w:rFonts w:ascii="Calibri" w:hAnsi="Calibri"/>
          <w:sz w:val="21"/>
        </w:rPr>
        <w:t>Fireblocks and Copper both announced new institutional-grade wallet infrastructure upgrades supporting multi-party computation with hardware security module integration, catering to custodians requiring bank-grade key management for digital asset custody operations.</w:t>
      </w:r>
    </w:p>
    <w:p>
      <w:pPr>
        <w:spacing w:before="240" w:after="80"/>
        <w:pBdr>
          <w:bottom w:val="single" w:sz="6" w:space="1" w:color="00429B"/>
        </w:pBdr>
      </w:pPr>
      <w:r>
        <w:rPr>
          <w:rFonts w:ascii="Calibri" w:hAnsi="Calibri"/>
          <w:b/>
          <w:color w:val="00429B"/>
          <w:sz w:val="26"/>
        </w:rPr>
        <w:t>7. KEY UPCOMING EVENTS — APRIL 2026</w:t>
      </w:r>
    </w:p>
    <w:p>
      <w:pPr>
        <w:spacing w:after="60"/>
      </w:pPr>
      <w:r>
        <w:rPr>
          <w:rFonts w:ascii="Calibri" w:hAnsi="Calibri"/>
          <w:sz w:val="21"/>
        </w:rPr>
        <w:t>01 Apr — EU MiCA Level 2 delegated acts on custody and staking enter formal review period; industry responses due by 30 April.</w:t>
      </w:r>
    </w:p>
    <w:p>
      <w:pPr>
        <w:spacing w:after="60"/>
      </w:pPr>
      <w:r>
        <w:rPr>
          <w:rFonts w:ascii="Calibri" w:hAnsi="Calibri"/>
          <w:sz w:val="21"/>
        </w:rPr>
        <w:t>02 Apr — US ISM Manufacturing Index release for March, a key macro indicator amid trade uncertainty.</w:t>
      </w:r>
    </w:p>
    <w:p>
      <w:pPr>
        <w:spacing w:after="60"/>
      </w:pPr>
      <w:r>
        <w:rPr>
          <w:rFonts w:ascii="Calibri" w:hAnsi="Calibri"/>
          <w:sz w:val="21"/>
        </w:rPr>
        <w:t>08 Apr — ESMA public hearing on T+1 settlement migration consultation paper, Brussels.</w:t>
      </w:r>
    </w:p>
    <w:p>
      <w:pPr>
        <w:spacing w:after="60"/>
      </w:pPr>
      <w:r>
        <w:rPr>
          <w:rFonts w:ascii="Calibri" w:hAnsi="Calibri"/>
          <w:sz w:val="21"/>
        </w:rPr>
        <w:t>10 Apr — US CPI data release for March, critical for Federal Reserve rate path expectations.</w:t>
      </w:r>
    </w:p>
    <w:p>
      <w:pPr>
        <w:spacing w:after="60"/>
      </w:pPr>
      <w:r>
        <w:rPr>
          <w:rFonts w:ascii="Calibri" w:hAnsi="Calibri"/>
          <w:sz w:val="21"/>
        </w:rPr>
        <w:t>15 Apr — Bank of Canada interest rate decision and Monetary Policy Report.</w:t>
      </w:r>
    </w:p>
    <w:p>
      <w:pPr>
        <w:spacing w:after="60"/>
      </w:pPr>
      <w:r>
        <w:rPr>
          <w:rFonts w:ascii="Calibri" w:hAnsi="Calibri"/>
          <w:sz w:val="21"/>
        </w:rPr>
        <w:t>22-24 Apr — ALFI European Asset Management Conference, Luxembourg, with significant fund administration and distribution content.</w:t>
      </w:r>
    </w:p>
    <w:p>
      <w:pPr>
        <w:spacing w:after="60"/>
      </w:pPr>
      <w:r>
        <w:rPr>
          <w:rFonts w:ascii="Calibri" w:hAnsi="Calibri"/>
          <w:sz w:val="21"/>
        </w:rPr>
        <w:t>28-30 Apr — SIBOS Regional Forum (Europe), covering post-trade innovation, T+1, and digital asset infrastructure themes.</w:t>
      </w:r>
    </w:p>
    <w:p>
      <w:pPr>
        <w:spacing w:after="60"/>
      </w:pPr>
      <w:r>
        <w:rPr>
          <w:rFonts w:ascii="Calibri" w:hAnsi="Calibri"/>
          <w:sz w:val="21"/>
        </w:rPr>
        <w:t>30 Apr — Federal Reserve FOMC meeting concludes with rate decision and press conference.</w:t>
      </w:r>
    </w:p>
    <w:p>
      <w:pPr>
        <w:spacing w:before="240" w:after="80"/>
        <w:pBdr>
          <w:bottom w:val="single" w:sz="6" w:space="1" w:color="00429B"/>
        </w:pBdr>
      </w:pPr>
      <w:r>
        <w:rPr>
          <w:rFonts w:ascii="Calibri" w:hAnsi="Calibri"/>
          <w:b/>
          <w:color w:val="00429B"/>
          <w:sz w:val="26"/>
        </w:rPr>
        <w:t>8. SMT WATCH LIST</w:t>
      </w:r>
    </w:p>
    <w:p>
      <w:pPr>
        <w:spacing w:after="60"/>
      </w:pPr>
      <w:r>
        <w:rPr>
          <w:rFonts w:ascii="Calibri" w:hAnsi="Calibri"/>
          <w:sz w:val="21"/>
        </w:rPr>
        <w:t>Theme 1: MiCA digital asset custody compliance gap analysis. ESMA's final technical standards on digital asset custody create a binding compliance framework with a Q1 2027 effective date. Recommended action: Commission an immediate cross-functional gap analysis involving Legal, Compliance, Technology, and Operations to assess RBC IS exposure, required investment, and strategic positioning in European digital asset custody.</w:t>
      </w:r>
    </w:p>
    <w:p>
      <w:pPr>
        <w:spacing w:after="60"/>
      </w:pPr>
      <w:r>
        <w:rPr>
          <w:rFonts w:ascii="Calibri" w:hAnsi="Calibri"/>
          <w:sz w:val="21"/>
        </w:rPr>
        <w:t>Theme 2: Operational resilience under sustained market volatility. Tariff-driven volatility is generating elevated margin call volumes, FX settlement pressure, and exception rates that stress operational capacity. Recommended action: Convene a dedicated operational resilience review with Collateral Management, Treasury, and Risk to validate that escalation protocols, staffing models, and liquidity buffers are calibrated for a prolonged period of elevated activity.</w:t>
      </w:r>
    </w:p>
    <w:p>
      <w:pPr>
        <w:spacing w:after="60"/>
      </w:pPr>
      <w:r>
        <w:rPr>
          <w:rFonts w:ascii="Calibri" w:hAnsi="Calibri"/>
          <w:sz w:val="21"/>
        </w:rPr>
        <w:t>Theme 3: Competitive response to AI-enabled fund administration offerings. Peers and technology vendors are aggressively commercialising AI tools for NAV oversight, regulatory reporting, and client servicing, raising the baseline expectation from asset manager clients. Recommended action: Accelerate the internal AI deployment roadmap and prepare an SMT decision paper by end of April on prioritised use cases, required investment, and expected time to production for the three highest-impact AI applications in fund administration.</w:t>
      </w:r>
    </w:p>
    <w:p>
      <w:pPr>
        <w:spacing w:before="240" w:after="80"/>
        <w:pBdr>
          <w:bottom w:val="single" w:sz="6" w:space="1" w:color="00429B"/>
        </w:pBdr>
      </w:pPr>
      <w:r>
        <w:rPr>
          <w:rFonts w:ascii="Calibri" w:hAnsi="Calibri"/>
          <w:b/>
          <w:color w:val="00429B"/>
          <w:sz w:val="26"/>
        </w:rPr>
        <w:t>9. TECHNOLOGY VENDOR LANDSCAPE</w:t>
      </w:r>
    </w:p>
    <w:p>
      <w:pPr>
        <w:spacing w:after="60"/>
      </w:pPr>
      <w:r>
        <w:rPr>
          <w:rFonts w:ascii="Calibri" w:hAnsi="Calibri"/>
          <w:sz w:val="21"/>
        </w:rPr>
        <w:t>SimCorp, now fully integrated within Deutsche Boerse Group, announced enhanced interoperability between its Dimension platform and Clearstream's post-trade infrastructure, offering buy-side clients streamlined collateral management and settlement workflows, positioning the combined entity as a front-to-back competitor to multi-vendor stacks.</w:t>
      </w:r>
    </w:p>
    <w:p>
      <w:pPr>
        <w:spacing w:after="60"/>
      </w:pPr>
      <w:r>
        <w:rPr>
          <w:rFonts w:ascii="Calibri" w:hAnsi="Calibri"/>
          <w:sz w:val="21"/>
        </w:rPr>
        <w:t>SS&amp;C Technologies launched its AI-powered NAV Oversight Module within the GlobeOp fund administration suite, using machine learning to detect anomalous pricing inputs and reconciliation breaks in near real time; early adopters report a meaningful reduction in manual exception handling effort.</w:t>
      </w:r>
    </w:p>
    <w:p>
      <w:pPr>
        <w:spacing w:after="60"/>
      </w:pPr>
      <w:r>
        <w:rPr>
          <w:rFonts w:ascii="Calibri" w:hAnsi="Calibri"/>
          <w:sz w:val="21"/>
        </w:rPr>
        <w:t>Broadridge expanded its distributed ledger-based repo platform and announced integration with DTCC's enhanced trade reporting infrastructure, streamlining post-trade workflows for fixed income securities; the firm also partnered with Accenture on an AI-driven reconciliation service targeting mid-tier administrators.</w:t>
      </w:r>
    </w:p>
    <w:p>
      <w:pPr>
        <w:spacing w:after="60"/>
      </w:pPr>
      <w:r>
        <w:rPr>
          <w:rFonts w:ascii="Calibri" w:hAnsi="Calibri"/>
          <w:sz w:val="21"/>
        </w:rPr>
        <w:t>FIS Global confirmed a strategic review of its capital markets technology division, with reports indicating a potential carve-out or partial sale of its post-trade processing business, which could reshape vendor dependencies for several large custodians and administrators relying on FIS clearing and settlement systems.</w:t>
      </w:r>
    </w:p>
    <w:p>
      <w:pPr>
        <w:spacing w:after="60"/>
      </w:pPr>
      <w:r>
        <w:rPr>
          <w:rFonts w:ascii="Calibri" w:hAnsi="Calibri"/>
          <w:sz w:val="21"/>
        </w:rPr>
        <w:t>Temenos released a major upgrade to its fund administration module within the Transact platform, adding support for tokenised fund unit processing and MiCA-aligned reporting fields, targeting European banks expanding into digital asset fund servicing.</w:t>
      </w:r>
    </w:p>
    <w:p>
      <w:pPr>
        <w:spacing w:after="60"/>
      </w:pPr>
      <w:r>
        <w:rPr>
          <w:rFonts w:ascii="Calibri" w:hAnsi="Calibri"/>
          <w:sz w:val="21"/>
        </w:rPr>
        <w:t>SWIFT progressed its tokenised asset interoperability initiative to near-production status and announced expanded participation in its Transaction Manager platform, now connecting over 11,000 institutions for enhanced pre-validation of cross-border payment and securities instructions.</w:t>
      </w:r>
    </w:p>
    <w:p>
      <w:pPr>
        <w:spacing w:after="60"/>
      </w:pPr>
      <w:r>
        <w:rPr>
          <w:rFonts w:ascii="Calibri" w:hAnsi="Calibri"/>
          <w:sz w:val="21"/>
        </w:rPr>
        <w:t>Nasdaq Financial Technology rolled out new AI-based market surveillance tools designed to be embedded within custodian and clearing firm compliance workflows, offering real-time trade pattern detection and regulatory reporting automation.</w:t>
      </w:r>
    </w:p>
    <w:p>
      <w:pPr>
        <w:spacing w:after="60"/>
      </w:pPr>
      <w:r>
        <w:rPr>
          <w:rFonts w:ascii="Calibri" w:hAnsi="Calibri"/>
          <w:sz w:val="21"/>
        </w:rPr>
        <w:t>Taskize expanded its inter-firm workflow collaboration platform to cover collateral dispute resolution, partnering with two Tier 1 custodians to pilot automated exception management across tri-party collateral programmes, reflecting growing industry demand for collaborative operations technology.</w:t>
      </w:r>
    </w:p>
    <w:p>
      <w:pPr>
        <w:spacing w:before="240" w:after="80"/>
        <w:pBdr>
          <w:bottom w:val="single" w:sz="6" w:space="1" w:color="00429B"/>
        </w:pBdr>
      </w:pPr>
      <w:r>
        <w:rPr>
          <w:rFonts w:ascii="Calibri" w:hAnsi="Calibri"/>
          <w:b/>
          <w:color w:val="00429B"/>
          <w:sz w:val="26"/>
        </w:rPr>
        <w:t>10. KEY MACRO ECONOMIC INDICES</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Index</w:t>
            </w:r>
          </w:p>
        </w:tc>
        <w:tc>
          <w:tcPr>
            <w:tcW w:type="dxa" w:w="2437"/>
            <w:shd w:val="clear" w:color="auto" w:fill="00429B"/>
          </w:tcPr>
          <w:p>
            <w:pPr>
              <w:spacing w:after="40" w:before="40"/>
            </w:pPr>
            <w:r>
              <w:rPr>
                <w:rFonts w:ascii="Calibri" w:hAnsi="Calibri"/>
                <w:b/>
                <w:color w:val="FFFFFF"/>
                <w:sz w:val="20"/>
              </w:rPr>
              <w:t>Level</w:t>
            </w:r>
          </w:p>
        </w:tc>
        <w:tc>
          <w:tcPr>
            <w:tcW w:type="dxa" w:w="2437"/>
            <w:shd w:val="clear" w:color="auto" w:fill="00429B"/>
          </w:tcPr>
          <w:p>
            <w:pPr>
              <w:spacing w:after="40" w:before="40"/>
            </w:pPr>
            <w:r>
              <w:rPr>
                <w:rFonts w:ascii="Calibri" w:hAnsi="Calibri"/>
                <w:b/>
                <w:color w:val="FFFFFF"/>
                <w:sz w:val="20"/>
              </w:rPr>
              <w:t>Month Change</w:t>
            </w:r>
          </w:p>
        </w:tc>
        <w:tc>
          <w:tcPr>
            <w:tcW w:type="dxa" w:w="2437"/>
            <w:shd w:val="clear" w:color="auto" w:fill="00429B"/>
          </w:tcPr>
          <w:p>
            <w:pPr>
              <w:spacing w:after="40" w:before="40"/>
            </w:pPr>
            <w:r>
              <w:rPr>
                <w:rFonts w:ascii="Calibri" w:hAnsi="Calibri"/>
                <w:b/>
                <w:color w:val="FFFFFF"/>
                <w:sz w:val="20"/>
              </w:rPr>
              <w:t>YTD Change</w:t>
            </w:r>
          </w:p>
        </w:tc>
      </w:tr>
      <w:tr>
        <w:tc>
          <w:tcPr>
            <w:tcW w:type="dxa" w:w="2437"/>
          </w:tcPr>
          <w:p>
            <w:pPr>
              <w:spacing w:after="40" w:before="40"/>
            </w:pPr>
            <w:r>
              <w:rPr>
                <w:rFonts w:ascii="Calibri" w:hAnsi="Calibri"/>
                <w:b w:val="0"/>
                <w:sz w:val="20"/>
              </w:rPr>
              <w:t>S&amp;P 500</w:t>
            </w:r>
          </w:p>
        </w:tc>
        <w:tc>
          <w:tcPr>
            <w:tcW w:type="dxa" w:w="2437"/>
          </w:tcPr>
          <w:p>
            <w:pPr>
              <w:spacing w:after="40" w:before="40"/>
            </w:pPr>
            <w:r>
              <w:rPr>
                <w:rFonts w:ascii="Calibri" w:hAnsi="Calibri"/>
                <w:b w:val="0"/>
                <w:sz w:val="20"/>
              </w:rPr>
              <w:t>5,560</w:t>
            </w:r>
          </w:p>
        </w:tc>
        <w:tc>
          <w:tcPr>
            <w:tcW w:type="dxa" w:w="2437"/>
          </w:tcPr>
          <w:p>
            <w:pPr>
              <w:spacing w:after="40" w:before="40"/>
            </w:pPr>
            <w:r>
              <w:rPr>
                <w:rFonts w:ascii="Calibri" w:hAnsi="Calibri"/>
                <w:b w:val="0"/>
                <w:color w:val="CC0000"/>
                <w:sz w:val="20"/>
              </w:rPr>
              <w:t>-4.0%</w:t>
            </w:r>
          </w:p>
        </w:tc>
        <w:tc>
          <w:tcPr>
            <w:tcW w:type="dxa" w:w="2437"/>
          </w:tcPr>
          <w:p>
            <w:pPr>
              <w:spacing w:after="40" w:before="40"/>
            </w:pPr>
            <w:r>
              <w:rPr>
                <w:rFonts w:ascii="Calibri" w:hAnsi="Calibri"/>
                <w:b w:val="0"/>
                <w:color w:val="CC0000"/>
                <w:sz w:val="20"/>
              </w:rPr>
              <w:t>-5.5%</w:t>
            </w:r>
          </w:p>
        </w:tc>
      </w:tr>
      <w:tr>
        <w:tc>
          <w:tcPr>
            <w:tcW w:type="dxa" w:w="2437"/>
            <w:shd w:val="clear" w:color="auto" w:fill="EEF3FA"/>
          </w:tcPr>
          <w:p>
            <w:pPr>
              <w:spacing w:after="40" w:before="40"/>
            </w:pPr>
            <w:r>
              <w:rPr>
                <w:rFonts w:ascii="Calibri" w:hAnsi="Calibri"/>
                <w:b w:val="0"/>
                <w:sz w:val="20"/>
              </w:rPr>
              <w:t>FTSE 100</w:t>
            </w:r>
          </w:p>
        </w:tc>
        <w:tc>
          <w:tcPr>
            <w:tcW w:type="dxa" w:w="2437"/>
            <w:shd w:val="clear" w:color="auto" w:fill="EEF3FA"/>
          </w:tcPr>
          <w:p>
            <w:pPr>
              <w:spacing w:after="40" w:before="40"/>
            </w:pPr>
            <w:r>
              <w:rPr>
                <w:rFonts w:ascii="Calibri" w:hAnsi="Calibri"/>
                <w:b w:val="0"/>
                <w:sz w:val="20"/>
              </w:rPr>
              <w:t>8,500</w:t>
            </w:r>
          </w:p>
        </w:tc>
        <w:tc>
          <w:tcPr>
            <w:tcW w:type="dxa" w:w="2437"/>
            <w:shd w:val="clear" w:color="auto" w:fill="EEF3FA"/>
          </w:tcPr>
          <w:p>
            <w:pPr>
              <w:spacing w:after="40" w:before="40"/>
            </w:pPr>
            <w:r>
              <w:rPr>
                <w:rFonts w:ascii="Calibri" w:hAnsi="Calibri"/>
                <w:b w:val="0"/>
                <w:color w:val="CC0000"/>
                <w:sz w:val="20"/>
              </w:rPr>
              <w:t>-1.5%</w:t>
            </w:r>
          </w:p>
        </w:tc>
        <w:tc>
          <w:tcPr>
            <w:tcW w:type="dxa" w:w="2437"/>
            <w:shd w:val="clear" w:color="auto" w:fill="EEF3FA"/>
          </w:tcPr>
          <w:p>
            <w:pPr>
              <w:spacing w:after="40" w:before="40"/>
            </w:pPr>
            <w:r>
              <w:rPr>
                <w:rFonts w:ascii="Calibri" w:hAnsi="Calibri"/>
                <w:b w:val="0"/>
                <w:color w:val="007A33"/>
                <w:sz w:val="20"/>
              </w:rPr>
              <w:t>+2.0%</w:t>
            </w:r>
          </w:p>
        </w:tc>
      </w:tr>
      <w:tr>
        <w:tc>
          <w:tcPr>
            <w:tcW w:type="dxa" w:w="2437"/>
          </w:tcPr>
          <w:p>
            <w:pPr>
              <w:spacing w:after="40" w:before="40"/>
            </w:pPr>
            <w:r>
              <w:rPr>
                <w:rFonts w:ascii="Calibri" w:hAnsi="Calibri"/>
                <w:b w:val="0"/>
                <w:sz w:val="20"/>
              </w:rPr>
              <w:t>EURO STOXX 50</w:t>
            </w:r>
          </w:p>
        </w:tc>
        <w:tc>
          <w:tcPr>
            <w:tcW w:type="dxa" w:w="2437"/>
          </w:tcPr>
          <w:p>
            <w:pPr>
              <w:spacing w:after="40" w:before="40"/>
            </w:pPr>
            <w:r>
              <w:rPr>
                <w:rFonts w:ascii="Calibri" w:hAnsi="Calibri"/>
                <w:b w:val="0"/>
                <w:sz w:val="20"/>
              </w:rPr>
              <w:t>5,250</w:t>
            </w:r>
          </w:p>
        </w:tc>
        <w:tc>
          <w:tcPr>
            <w:tcW w:type="dxa" w:w="2437"/>
          </w:tcPr>
          <w:p>
            <w:pPr>
              <w:spacing w:after="40" w:before="40"/>
            </w:pPr>
            <w:r>
              <w:rPr>
                <w:rFonts w:ascii="Calibri" w:hAnsi="Calibri"/>
                <w:b w:val="0"/>
                <w:color w:val="CC0000"/>
                <w:sz w:val="20"/>
              </w:rPr>
              <w:t>-2.0%</w:t>
            </w:r>
          </w:p>
        </w:tc>
        <w:tc>
          <w:tcPr>
            <w:tcW w:type="dxa" w:w="2437"/>
          </w:tcPr>
          <w:p>
            <w:pPr>
              <w:spacing w:after="40" w:before="40"/>
            </w:pPr>
            <w:r>
              <w:rPr>
                <w:rFonts w:ascii="Calibri" w:hAnsi="Calibri"/>
                <w:b w:val="0"/>
                <w:color w:val="007A33"/>
                <w:sz w:val="20"/>
              </w:rPr>
              <w:t>+4.5%</w:t>
            </w:r>
          </w:p>
        </w:tc>
      </w:tr>
      <w:tr>
        <w:tc>
          <w:tcPr>
            <w:tcW w:type="dxa" w:w="2437"/>
            <w:shd w:val="clear" w:color="auto" w:fill="EEF3FA"/>
          </w:tcPr>
          <w:p>
            <w:pPr>
              <w:spacing w:after="40" w:before="40"/>
            </w:pPr>
            <w:r>
              <w:rPr>
                <w:rFonts w:ascii="Calibri" w:hAnsi="Calibri"/>
                <w:b w:val="0"/>
                <w:sz w:val="20"/>
              </w:rPr>
              <w:t>Nikkei 225</w:t>
            </w:r>
          </w:p>
        </w:tc>
        <w:tc>
          <w:tcPr>
            <w:tcW w:type="dxa" w:w="2437"/>
            <w:shd w:val="clear" w:color="auto" w:fill="EEF3FA"/>
          </w:tcPr>
          <w:p>
            <w:pPr>
              <w:spacing w:after="40" w:before="40"/>
            </w:pPr>
            <w:r>
              <w:rPr>
                <w:rFonts w:ascii="Calibri" w:hAnsi="Calibri"/>
                <w:b w:val="0"/>
                <w:sz w:val="20"/>
              </w:rPr>
              <w:t>37,500</w:t>
            </w:r>
          </w:p>
        </w:tc>
        <w:tc>
          <w:tcPr>
            <w:tcW w:type="dxa" w:w="2437"/>
            <w:shd w:val="clear" w:color="auto" w:fill="EEF3FA"/>
          </w:tcPr>
          <w:p>
            <w:pPr>
              <w:spacing w:after="40" w:before="40"/>
            </w:pPr>
            <w:r>
              <w:rPr>
                <w:rFonts w:ascii="Calibri" w:hAnsi="Calibri"/>
                <w:b w:val="0"/>
                <w:color w:val="CC0000"/>
                <w:sz w:val="20"/>
              </w:rPr>
              <w:t>-3.5%</w:t>
            </w:r>
          </w:p>
        </w:tc>
        <w:tc>
          <w:tcPr>
            <w:tcW w:type="dxa" w:w="2437"/>
            <w:shd w:val="clear" w:color="auto" w:fill="EEF3FA"/>
          </w:tcPr>
          <w:p>
            <w:pPr>
              <w:spacing w:after="40" w:before="40"/>
            </w:pPr>
            <w:r>
              <w:rPr>
                <w:rFonts w:ascii="Calibri" w:hAnsi="Calibri"/>
                <w:b w:val="0"/>
                <w:color w:val="CC0000"/>
                <w:sz w:val="20"/>
              </w:rPr>
              <w:t>-4.0%</w:t>
            </w:r>
          </w:p>
        </w:tc>
      </w:tr>
      <w:tr>
        <w:tc>
          <w:tcPr>
            <w:tcW w:type="dxa" w:w="2437"/>
          </w:tcPr>
          <w:p>
            <w:pPr>
              <w:spacing w:after="40" w:before="40"/>
            </w:pPr>
            <w:r>
              <w:rPr>
                <w:rFonts w:ascii="Calibri" w:hAnsi="Calibri"/>
                <w:b w:val="0"/>
                <w:sz w:val="20"/>
              </w:rPr>
              <w:t>EUR/USD</w:t>
            </w:r>
          </w:p>
        </w:tc>
        <w:tc>
          <w:tcPr>
            <w:tcW w:type="dxa" w:w="2437"/>
          </w:tcPr>
          <w:p>
            <w:pPr>
              <w:spacing w:after="40" w:before="40"/>
            </w:pPr>
            <w:r>
              <w:rPr>
                <w:rFonts w:ascii="Calibri" w:hAnsi="Calibri"/>
                <w:b w:val="0"/>
                <w:sz w:val="20"/>
              </w:rPr>
              <w:t>1.10</w:t>
            </w:r>
          </w:p>
        </w:tc>
        <w:tc>
          <w:tcPr>
            <w:tcW w:type="dxa" w:w="2437"/>
          </w:tcPr>
          <w:p>
            <w:pPr>
              <w:spacing w:after="40" w:before="40"/>
            </w:pPr>
            <w:r>
              <w:rPr>
                <w:rFonts w:ascii="Calibri" w:hAnsi="Calibri"/>
                <w:b w:val="0"/>
                <w:color w:val="007A33"/>
                <w:sz w:val="20"/>
              </w:rPr>
              <w:t>+1.5%</w:t>
            </w:r>
          </w:p>
        </w:tc>
        <w:tc>
          <w:tcPr>
            <w:tcW w:type="dxa" w:w="2437"/>
          </w:tcPr>
          <w:p>
            <w:pPr>
              <w:spacing w:after="40" w:before="40"/>
            </w:pPr>
            <w:r>
              <w:rPr>
                <w:rFonts w:ascii="Calibri" w:hAnsi="Calibri"/>
                <w:b w:val="0"/>
                <w:color w:val="007A33"/>
                <w:sz w:val="20"/>
              </w:rPr>
              <w:t>+4.5%</w:t>
            </w:r>
          </w:p>
        </w:tc>
      </w:tr>
      <w:tr>
        <w:tc>
          <w:tcPr>
            <w:tcW w:type="dxa" w:w="2437"/>
            <w:shd w:val="clear" w:color="auto" w:fill="EEF3FA"/>
          </w:tcPr>
          <w:p>
            <w:pPr>
              <w:spacing w:after="40" w:before="40"/>
            </w:pPr>
            <w:r>
              <w:rPr>
                <w:rFonts w:ascii="Calibri" w:hAnsi="Calibri"/>
                <w:b w:val="0"/>
                <w:sz w:val="20"/>
              </w:rPr>
              <w:t>GBP/USD</w:t>
            </w:r>
          </w:p>
        </w:tc>
        <w:tc>
          <w:tcPr>
            <w:tcW w:type="dxa" w:w="2437"/>
            <w:shd w:val="clear" w:color="auto" w:fill="EEF3FA"/>
          </w:tcPr>
          <w:p>
            <w:pPr>
              <w:spacing w:after="40" w:before="40"/>
            </w:pPr>
            <w:r>
              <w:rPr>
                <w:rFonts w:ascii="Calibri" w:hAnsi="Calibri"/>
                <w:b w:val="0"/>
                <w:sz w:val="20"/>
              </w:rPr>
              <w:t>1.29</w:t>
            </w:r>
          </w:p>
        </w:tc>
        <w:tc>
          <w:tcPr>
            <w:tcW w:type="dxa" w:w="2437"/>
            <w:shd w:val="clear" w:color="auto" w:fill="EEF3FA"/>
          </w:tcPr>
          <w:p>
            <w:pPr>
              <w:spacing w:after="40" w:before="40"/>
            </w:pPr>
            <w:r>
              <w:rPr>
                <w:rFonts w:ascii="Calibri" w:hAnsi="Calibri"/>
                <w:b w:val="0"/>
                <w:color w:val="007A33"/>
                <w:sz w:val="20"/>
              </w:rPr>
              <w:t>+0.5%</w:t>
            </w:r>
          </w:p>
        </w:tc>
        <w:tc>
          <w:tcPr>
            <w:tcW w:type="dxa" w:w="2437"/>
            <w:shd w:val="clear" w:color="auto" w:fill="EEF3FA"/>
          </w:tcPr>
          <w:p>
            <w:pPr>
              <w:spacing w:after="40" w:before="40"/>
            </w:pPr>
            <w:r>
              <w:rPr>
                <w:rFonts w:ascii="Calibri" w:hAnsi="Calibri"/>
                <w:b w:val="0"/>
                <w:color w:val="007A33"/>
                <w:sz w:val="20"/>
              </w:rPr>
              <w:t>+2.0%</w:t>
            </w:r>
          </w:p>
        </w:tc>
      </w:tr>
      <w:tr>
        <w:tc>
          <w:tcPr>
            <w:tcW w:type="dxa" w:w="2437"/>
          </w:tcPr>
          <w:p>
            <w:pPr>
              <w:spacing w:after="40" w:before="40"/>
            </w:pPr>
            <w:r>
              <w:rPr>
                <w:rFonts w:ascii="Calibri" w:hAnsi="Calibri"/>
                <w:b w:val="0"/>
                <w:sz w:val="20"/>
              </w:rPr>
              <w:t>USD/JPY</w:t>
            </w:r>
          </w:p>
        </w:tc>
        <w:tc>
          <w:tcPr>
            <w:tcW w:type="dxa" w:w="2437"/>
          </w:tcPr>
          <w:p>
            <w:pPr>
              <w:spacing w:after="40" w:before="40"/>
            </w:pPr>
            <w:r>
              <w:rPr>
                <w:rFonts w:ascii="Calibri" w:hAnsi="Calibri"/>
                <w:b w:val="0"/>
                <w:sz w:val="20"/>
              </w:rPr>
              <w:t>147</w:t>
            </w:r>
          </w:p>
        </w:tc>
        <w:tc>
          <w:tcPr>
            <w:tcW w:type="dxa" w:w="2437"/>
          </w:tcPr>
          <w:p>
            <w:pPr>
              <w:spacing w:after="40" w:before="40"/>
            </w:pPr>
            <w:r>
              <w:rPr>
                <w:rFonts w:ascii="Calibri" w:hAnsi="Calibri"/>
                <w:b w:val="0"/>
                <w:color w:val="CC0000"/>
                <w:sz w:val="20"/>
              </w:rPr>
              <w:t>-2.5%</w:t>
            </w:r>
          </w:p>
        </w:tc>
        <w:tc>
          <w:tcPr>
            <w:tcW w:type="dxa" w:w="2437"/>
          </w:tcPr>
          <w:p>
            <w:pPr>
              <w:spacing w:after="40" w:before="40"/>
            </w:pPr>
            <w:r>
              <w:rPr>
                <w:rFonts w:ascii="Calibri" w:hAnsi="Calibri"/>
                <w:b w:val="0"/>
                <w:color w:val="CC0000"/>
                <w:sz w:val="20"/>
              </w:rPr>
              <w:t>-6.0%</w:t>
            </w:r>
          </w:p>
        </w:tc>
      </w:tr>
      <w:tr>
        <w:tc>
          <w:tcPr>
            <w:tcW w:type="dxa" w:w="2437"/>
            <w:shd w:val="clear" w:color="auto" w:fill="EEF3FA"/>
          </w:tcPr>
          <w:p>
            <w:pPr>
              <w:spacing w:after="40" w:before="40"/>
            </w:pPr>
            <w:r>
              <w:rPr>
                <w:rFonts w:ascii="Calibri" w:hAnsi="Calibri"/>
                <w:b w:val="0"/>
                <w:sz w:val="20"/>
              </w:rPr>
              <w:t>10Y UST Yield</w:t>
            </w:r>
          </w:p>
        </w:tc>
        <w:tc>
          <w:tcPr>
            <w:tcW w:type="dxa" w:w="2437"/>
            <w:shd w:val="clear" w:color="auto" w:fill="EEF3FA"/>
          </w:tcPr>
          <w:p>
            <w:pPr>
              <w:spacing w:after="40" w:before="40"/>
            </w:pPr>
            <w:r>
              <w:rPr>
                <w:rFonts w:ascii="Calibri" w:hAnsi="Calibri"/>
                <w:b w:val="0"/>
                <w:sz w:val="20"/>
              </w:rPr>
              <w:t>4.18%</w:t>
            </w:r>
          </w:p>
        </w:tc>
        <w:tc>
          <w:tcPr>
            <w:tcW w:type="dxa" w:w="2437"/>
            <w:shd w:val="clear" w:color="auto" w:fill="EEF3FA"/>
          </w:tcPr>
          <w:p>
            <w:pPr>
              <w:spacing w:after="40" w:before="40"/>
            </w:pPr>
            <w:r>
              <w:rPr>
                <w:rFonts w:ascii="Calibri" w:hAnsi="Calibri"/>
                <w:b w:val="0"/>
                <w:color w:val="CC0000"/>
                <w:sz w:val="20"/>
              </w:rPr>
              <w:t>-12 bps</w:t>
            </w:r>
          </w:p>
        </w:tc>
        <w:tc>
          <w:tcPr>
            <w:tcW w:type="dxa" w:w="2437"/>
            <w:shd w:val="clear" w:color="auto" w:fill="EEF3FA"/>
          </w:tcPr>
          <w:p>
            <w:pPr>
              <w:spacing w:after="40" w:before="40"/>
            </w:pPr>
            <w:r>
              <w:rPr>
                <w:rFonts w:ascii="Calibri" w:hAnsi="Calibri"/>
                <w:b w:val="0"/>
                <w:color w:val="CC0000"/>
                <w:sz w:val="20"/>
              </w:rPr>
              <w:t>-35 bps</w:t>
            </w:r>
          </w:p>
        </w:tc>
      </w:tr>
      <w:tr>
        <w:tc>
          <w:tcPr>
            <w:tcW w:type="dxa" w:w="2437"/>
          </w:tcPr>
          <w:p>
            <w:pPr>
              <w:spacing w:after="40" w:before="40"/>
            </w:pPr>
            <w:r>
              <w:rPr>
                <w:rFonts w:ascii="Calibri" w:hAnsi="Calibri"/>
                <w:b w:val="0"/>
                <w:sz w:val="20"/>
              </w:rPr>
              <w:t>10Y Bund Yield</w:t>
            </w:r>
          </w:p>
        </w:tc>
        <w:tc>
          <w:tcPr>
            <w:tcW w:type="dxa" w:w="2437"/>
          </w:tcPr>
          <w:p>
            <w:pPr>
              <w:spacing w:after="40" w:before="40"/>
            </w:pPr>
            <w:r>
              <w:rPr>
                <w:rFonts w:ascii="Calibri" w:hAnsi="Calibri"/>
                <w:b w:val="0"/>
                <w:sz w:val="20"/>
              </w:rPr>
              <w:t>2.85%</w:t>
            </w:r>
          </w:p>
        </w:tc>
        <w:tc>
          <w:tcPr>
            <w:tcW w:type="dxa" w:w="2437"/>
          </w:tcPr>
          <w:p>
            <w:pPr>
              <w:spacing w:after="40" w:before="40"/>
            </w:pPr>
            <w:r>
              <w:rPr>
                <w:rFonts w:ascii="Calibri" w:hAnsi="Calibri"/>
                <w:b w:val="0"/>
                <w:color w:val="007A33"/>
                <w:sz w:val="20"/>
              </w:rPr>
              <w:t>+15 bps</w:t>
            </w:r>
          </w:p>
        </w:tc>
        <w:tc>
          <w:tcPr>
            <w:tcW w:type="dxa" w:w="2437"/>
          </w:tcPr>
          <w:p>
            <w:pPr>
              <w:spacing w:after="40" w:before="40"/>
            </w:pPr>
            <w:r>
              <w:rPr>
                <w:rFonts w:ascii="Calibri" w:hAnsi="Calibri"/>
                <w:b w:val="0"/>
                <w:color w:val="007A33"/>
                <w:sz w:val="20"/>
              </w:rPr>
              <w:t>+50 bps</w:t>
            </w:r>
          </w:p>
        </w:tc>
      </w:tr>
      <w:tr>
        <w:tc>
          <w:tcPr>
            <w:tcW w:type="dxa" w:w="2437"/>
            <w:shd w:val="clear" w:color="auto" w:fill="EEF3FA"/>
          </w:tcPr>
          <w:p>
            <w:pPr>
              <w:spacing w:after="40" w:before="40"/>
            </w:pPr>
            <w:r>
              <w:rPr>
                <w:rFonts w:ascii="Calibri" w:hAnsi="Calibri"/>
                <w:b w:val="0"/>
                <w:sz w:val="20"/>
              </w:rPr>
              <w:t>Brent Crude</w:t>
            </w:r>
          </w:p>
        </w:tc>
        <w:tc>
          <w:tcPr>
            <w:tcW w:type="dxa" w:w="2437"/>
            <w:shd w:val="clear" w:color="auto" w:fill="EEF3FA"/>
          </w:tcPr>
          <w:p>
            <w:pPr>
              <w:spacing w:after="40" w:before="40"/>
            </w:pPr>
            <w:r>
              <w:rPr>
                <w:rFonts w:ascii="Calibri" w:hAnsi="Calibri"/>
                <w:b w:val="0"/>
                <w:sz w:val="20"/>
              </w:rPr>
              <w:t>73</w:t>
            </w:r>
          </w:p>
        </w:tc>
        <w:tc>
          <w:tcPr>
            <w:tcW w:type="dxa" w:w="2437"/>
            <w:shd w:val="clear" w:color="auto" w:fill="EEF3FA"/>
          </w:tcPr>
          <w:p>
            <w:pPr>
              <w:spacing w:after="40" w:before="40"/>
            </w:pPr>
            <w:r>
              <w:rPr>
                <w:rFonts w:ascii="Calibri" w:hAnsi="Calibri"/>
                <w:b w:val="0"/>
                <w:color w:val="CC0000"/>
                <w:sz w:val="20"/>
              </w:rPr>
              <w:t>-4.0%</w:t>
            </w:r>
          </w:p>
        </w:tc>
        <w:tc>
          <w:tcPr>
            <w:tcW w:type="dxa" w:w="2437"/>
            <w:shd w:val="clear" w:color="auto" w:fill="EEF3FA"/>
          </w:tcPr>
          <w:p>
            <w:pPr>
              <w:spacing w:after="40" w:before="40"/>
            </w:pPr>
            <w:r>
              <w:rPr>
                <w:rFonts w:ascii="Calibri" w:hAnsi="Calibri"/>
                <w:b w:val="0"/>
                <w:color w:val="CC0000"/>
                <w:sz w:val="20"/>
              </w:rPr>
              <w:t>-5.0%</w:t>
            </w:r>
          </w:p>
        </w:tc>
      </w:tr>
      <w:tr>
        <w:tc>
          <w:tcPr>
            <w:tcW w:type="dxa" w:w="2437"/>
          </w:tcPr>
          <w:p>
            <w:pPr>
              <w:spacing w:after="40" w:before="40"/>
            </w:pPr>
            <w:r>
              <w:rPr>
                <w:rFonts w:ascii="Calibri" w:hAnsi="Calibri"/>
                <w:b w:val="0"/>
                <w:sz w:val="20"/>
              </w:rPr>
              <w:t>Gold</w:t>
            </w:r>
          </w:p>
        </w:tc>
        <w:tc>
          <w:tcPr>
            <w:tcW w:type="dxa" w:w="2437"/>
          </w:tcPr>
          <w:p>
            <w:pPr>
              <w:spacing w:after="40" w:before="40"/>
            </w:pPr>
            <w:r>
              <w:rPr>
                <w:rFonts w:ascii="Calibri" w:hAnsi="Calibri"/>
                <w:b w:val="0"/>
                <w:sz w:val="20"/>
              </w:rPr>
              <w:t>3,050</w:t>
            </w:r>
          </w:p>
        </w:tc>
        <w:tc>
          <w:tcPr>
            <w:tcW w:type="dxa" w:w="2437"/>
          </w:tcPr>
          <w:p>
            <w:pPr>
              <w:spacing w:after="40" w:before="40"/>
            </w:pPr>
            <w:r>
              <w:rPr>
                <w:rFonts w:ascii="Calibri" w:hAnsi="Calibri"/>
                <w:b w:val="0"/>
                <w:color w:val="007A33"/>
                <w:sz w:val="20"/>
              </w:rPr>
              <w:t>+5.5%</w:t>
            </w:r>
          </w:p>
        </w:tc>
        <w:tc>
          <w:tcPr>
            <w:tcW w:type="dxa" w:w="2437"/>
          </w:tcPr>
          <w:p>
            <w:pPr>
              <w:spacing w:after="40" w:before="40"/>
            </w:pPr>
            <w:r>
              <w:rPr>
                <w:rFonts w:ascii="Calibri" w:hAnsi="Calibri"/>
                <w:b w:val="0"/>
                <w:color w:val="007A33"/>
                <w:sz w:val="20"/>
              </w:rPr>
              <w:t>+16.0%</w:t>
            </w:r>
          </w:p>
        </w:tc>
      </w:tr>
      <w:tr>
        <w:tc>
          <w:tcPr>
            <w:tcW w:type="dxa" w:w="2437"/>
            <w:shd w:val="clear" w:color="auto" w:fill="EEF3FA"/>
          </w:tcPr>
          <w:p>
            <w:pPr>
              <w:spacing w:after="40" w:before="40"/>
            </w:pPr>
            <w:r>
              <w:rPr>
                <w:rFonts w:ascii="Calibri" w:hAnsi="Calibri"/>
                <w:b w:val="0"/>
                <w:sz w:val="20"/>
              </w:rPr>
              <w:t>VIX</w:t>
            </w:r>
          </w:p>
        </w:tc>
        <w:tc>
          <w:tcPr>
            <w:tcW w:type="dxa" w:w="2437"/>
            <w:shd w:val="clear" w:color="auto" w:fill="EEF3FA"/>
          </w:tcPr>
          <w:p>
            <w:pPr>
              <w:spacing w:after="40" w:before="40"/>
            </w:pPr>
            <w:r>
              <w:rPr>
                <w:rFonts w:ascii="Calibri" w:hAnsi="Calibri"/>
                <w:b w:val="0"/>
                <w:sz w:val="20"/>
              </w:rPr>
              <w:t>22</w:t>
            </w:r>
          </w:p>
        </w:tc>
        <w:tc>
          <w:tcPr>
            <w:tcW w:type="dxa" w:w="2437"/>
            <w:shd w:val="clear" w:color="auto" w:fill="EEF3FA"/>
          </w:tcPr>
          <w:p>
            <w:pPr>
              <w:spacing w:after="40" w:before="40"/>
            </w:pPr>
            <w:r>
              <w:rPr>
                <w:rFonts w:ascii="Calibri" w:hAnsi="Calibri"/>
                <w:b w:val="0"/>
                <w:color w:val="007A33"/>
                <w:sz w:val="20"/>
              </w:rPr>
              <w:t>+6 pts</w:t>
            </w:r>
          </w:p>
        </w:tc>
        <w:tc>
          <w:tcPr>
            <w:tcW w:type="dxa" w:w="2437"/>
            <w:shd w:val="clear" w:color="auto" w:fill="EEF3FA"/>
          </w:tcPr>
          <w:p>
            <w:pPr>
              <w:spacing w:after="40" w:before="40"/>
            </w:pPr>
            <w:r>
              <w:rPr>
                <w:rFonts w:ascii="Calibri" w:hAnsi="Calibri"/>
                <w:b w:val="0"/>
                <w:color w:val="007A33"/>
                <w:sz w:val="20"/>
              </w:rPr>
              <w:t>+8 pts</w:t>
            </w:r>
          </w:p>
        </w:tc>
      </w:tr>
    </w:tbl>
    <w:p>
      <w:pPr>
        <w:spacing w:before="240" w:after="80"/>
        <w:pBdr>
          <w:bottom w:val="single" w:sz="6" w:space="1" w:color="00429B"/>
        </w:pBdr>
      </w:pPr>
      <w:r>
        <w:rPr>
          <w:rFonts w:ascii="Calibri" w:hAnsi="Calibri"/>
          <w:b/>
          <w:color w:val="00429B"/>
          <w:sz w:val="26"/>
        </w:rPr>
        <w:t>11. CUSTODIAN AND PEER INSTITUTION NEWS</w:t>
      </w:r>
    </w:p>
    <w:tbl>
      <w:tblPr>
        <w:tblStyle w:val="TableGrid"/>
        <w:tblW w:type="auto" w:w="0"/>
        <w:tblLook w:firstColumn="1" w:firstRow="1" w:lastColumn="0" w:lastRow="0" w:noHBand="0" w:noVBand="1" w:val="04A0"/>
      </w:tblPr>
      <w:tblGrid>
        <w:gridCol w:w="3250"/>
        <w:gridCol w:w="3250"/>
        <w:gridCol w:w="3250"/>
      </w:tblGrid>
      <w:tr>
        <w:tc>
          <w:tcPr>
            <w:tcW w:type="dxa" w:w="3250"/>
            <w:shd w:val="clear" w:color="auto" w:fill="00429B"/>
          </w:tcPr>
          <w:p>
            <w:pPr>
              <w:spacing w:after="40" w:before="40"/>
            </w:pPr>
            <w:r>
              <w:rPr>
                <w:rFonts w:ascii="Calibri" w:hAnsi="Calibri"/>
                <w:b/>
                <w:color w:val="FFFFFF"/>
                <w:sz w:val="20"/>
              </w:rPr>
              <w:t>Institution</w:t>
            </w:r>
          </w:p>
        </w:tc>
        <w:tc>
          <w:tcPr>
            <w:tcW w:type="dxa" w:w="3250"/>
            <w:shd w:val="clear" w:color="auto" w:fill="00429B"/>
          </w:tcPr>
          <w:p>
            <w:pPr>
              <w:spacing w:after="40" w:before="40"/>
            </w:pPr>
            <w:r>
              <w:rPr>
                <w:rFonts w:ascii="Calibri" w:hAnsi="Calibri"/>
                <w:b/>
                <w:color w:val="FFFFFF"/>
                <w:sz w:val="20"/>
              </w:rPr>
              <w:t>Key Development</w:t>
            </w:r>
          </w:p>
        </w:tc>
        <w:tc>
          <w:tcPr>
            <w:tcW w:type="dxa" w:w="3250"/>
            <w:shd w:val="clear" w:color="auto" w:fill="00429B"/>
          </w:tcPr>
          <w:p>
            <w:pPr>
              <w:spacing w:after="40" w:before="40"/>
            </w:pPr>
            <w:r>
              <w:rPr>
                <w:rFonts w:ascii="Calibri" w:hAnsi="Calibri"/>
                <w:b/>
                <w:color w:val="FFFFFF"/>
                <w:sz w:val="20"/>
              </w:rPr>
              <w:t>Significance</w:t>
            </w:r>
          </w:p>
        </w:tc>
      </w:tr>
      <w:tr>
        <w:tc>
          <w:tcPr>
            <w:tcW w:type="dxa" w:w="3250"/>
          </w:tcPr>
          <w:p>
            <w:pPr>
              <w:spacing w:after="40" w:before="40"/>
            </w:pPr>
            <w:r>
              <w:rPr>
                <w:rFonts w:ascii="Calibri" w:hAnsi="Calibri"/>
                <w:b w:val="0"/>
                <w:sz w:val="20"/>
              </w:rPr>
              <w:t>BNY (Bank of New York Mellon)</w:t>
            </w:r>
          </w:p>
        </w:tc>
        <w:tc>
          <w:tcPr>
            <w:tcW w:type="dxa" w:w="3250"/>
          </w:tcPr>
          <w:p>
            <w:pPr>
              <w:spacing w:after="40" w:before="40"/>
            </w:pPr>
            <w:r>
              <w:rPr>
                <w:rFonts w:ascii="Calibri" w:hAnsi="Calibri"/>
                <w:b w:val="0"/>
                <w:sz w:val="20"/>
              </w:rPr>
              <w:t>Full commercial launch of Digital Asset Custody platform for institutional clients in the US and Europe, integrating tokenised securities with traditional custody.</w:t>
            </w:r>
          </w:p>
        </w:tc>
        <w:tc>
          <w:tcPr>
            <w:tcW w:type="dxa" w:w="3250"/>
          </w:tcPr>
          <w:p>
            <w:pPr>
              <w:spacing w:after="40" w:before="40"/>
            </w:pPr>
            <w:r>
              <w:rPr>
                <w:rFonts w:ascii="Calibri" w:hAnsi="Calibri"/>
                <w:b w:val="0"/>
                <w:sz w:val="20"/>
              </w:rPr>
              <w:t>Positions BNY as the first major global custodian with a fully live, cross-asset digital custody offering, setting a competitive benchmark.</w:t>
            </w:r>
          </w:p>
        </w:tc>
      </w:tr>
      <w:tr>
        <w:tc>
          <w:tcPr>
            <w:tcW w:type="dxa" w:w="3250"/>
            <w:shd w:val="clear" w:color="auto" w:fill="EEF3FA"/>
          </w:tcPr>
          <w:p>
            <w:pPr>
              <w:spacing w:after="40" w:before="40"/>
            </w:pPr>
            <w:r>
              <w:rPr>
                <w:rFonts w:ascii="Calibri" w:hAnsi="Calibri"/>
                <w:b w:val="0"/>
                <w:sz w:val="20"/>
              </w:rPr>
              <w:t>State Street Corporation</w:t>
            </w:r>
          </w:p>
        </w:tc>
        <w:tc>
          <w:tcPr>
            <w:tcW w:type="dxa" w:w="3250"/>
            <w:shd w:val="clear" w:color="auto" w:fill="EEF3FA"/>
          </w:tcPr>
          <w:p>
            <w:pPr>
              <w:spacing w:after="40" w:before="40"/>
            </w:pPr>
            <w:r>
              <w:rPr>
                <w:rFonts w:ascii="Calibri" w:hAnsi="Calibri"/>
                <w:b w:val="0"/>
                <w:sz w:val="20"/>
              </w:rPr>
              <w:t>Announced strategic partnership with a European digital infrastructure provider to build tokenised fund distribution capabilities on its Alpha platform.</w:t>
            </w:r>
          </w:p>
        </w:tc>
        <w:tc>
          <w:tcPr>
            <w:tcW w:type="dxa" w:w="3250"/>
            <w:shd w:val="clear" w:color="auto" w:fill="EEF3FA"/>
          </w:tcPr>
          <w:p>
            <w:pPr>
              <w:spacing w:after="40" w:before="40"/>
            </w:pPr>
            <w:r>
              <w:rPr>
                <w:rFonts w:ascii="Calibri" w:hAnsi="Calibri"/>
                <w:b w:val="0"/>
                <w:sz w:val="20"/>
              </w:rPr>
              <w:t>Extends State Street's front-to-back ambitions into digital fund servicing and positions it for EU DLT Pilot Regime opportunities.</w:t>
            </w:r>
          </w:p>
        </w:tc>
      </w:tr>
      <w:tr>
        <w:tc>
          <w:tcPr>
            <w:tcW w:type="dxa" w:w="3250"/>
          </w:tcPr>
          <w:p>
            <w:pPr>
              <w:spacing w:after="40" w:before="40"/>
            </w:pPr>
            <w:r>
              <w:rPr>
                <w:rFonts w:ascii="Calibri" w:hAnsi="Calibri"/>
                <w:b w:val="0"/>
                <w:sz w:val="20"/>
              </w:rPr>
              <w:t>JPMorgan Chase &amp; Co.</w:t>
            </w:r>
          </w:p>
        </w:tc>
        <w:tc>
          <w:tcPr>
            <w:tcW w:type="dxa" w:w="3250"/>
          </w:tcPr>
          <w:p>
            <w:pPr>
              <w:spacing w:after="40" w:before="40"/>
            </w:pPr>
            <w:r>
              <w:rPr>
                <w:rFonts w:ascii="Calibri" w:hAnsi="Calibri"/>
                <w:b w:val="0"/>
                <w:sz w:val="20"/>
              </w:rPr>
              <w:t>Expanded Onyx blockchain-based intraday repo platform to include euro-denominated collateral and added three new European bank participants.</w:t>
            </w:r>
          </w:p>
        </w:tc>
        <w:tc>
          <w:tcPr>
            <w:tcW w:type="dxa" w:w="3250"/>
          </w:tcPr>
          <w:p>
            <w:pPr>
              <w:spacing w:after="40" w:before="40"/>
            </w:pPr>
            <w:r>
              <w:rPr>
                <w:rFonts w:ascii="Calibri" w:hAnsi="Calibri"/>
                <w:b w:val="0"/>
                <w:sz w:val="20"/>
              </w:rPr>
              <w:t>Deepens JPMorgan's DLT-based post-trade ecosystem and reinforces its lead in blockchain-enabled treasury and collateral services.</w:t>
            </w:r>
          </w:p>
        </w:tc>
      </w:tr>
      <w:tr>
        <w:tc>
          <w:tcPr>
            <w:tcW w:type="dxa" w:w="3250"/>
            <w:shd w:val="clear" w:color="auto" w:fill="EEF3FA"/>
          </w:tcPr>
          <w:p>
            <w:pPr>
              <w:spacing w:after="40" w:before="40"/>
            </w:pPr>
            <w:r>
              <w:rPr>
                <w:rFonts w:ascii="Calibri" w:hAnsi="Calibri"/>
                <w:b w:val="0"/>
                <w:sz w:val="20"/>
              </w:rPr>
              <w:t>Citigroup Inc. (Citi)</w:t>
            </w:r>
          </w:p>
        </w:tc>
        <w:tc>
          <w:tcPr>
            <w:tcW w:type="dxa" w:w="3250"/>
            <w:shd w:val="clear" w:color="auto" w:fill="EEF3FA"/>
          </w:tcPr>
          <w:p>
            <w:pPr>
              <w:spacing w:after="40" w:before="40"/>
            </w:pPr>
            <w:r>
              <w:rPr>
                <w:rFonts w:ascii="Calibri" w:hAnsi="Calibri"/>
                <w:b w:val="0"/>
                <w:sz w:val="20"/>
              </w:rPr>
              <w:t>Appointed a new global head of Securities Services with a mandate to accelerate technology transformation and grow the digital asset servicing business.</w:t>
            </w:r>
          </w:p>
        </w:tc>
        <w:tc>
          <w:tcPr>
            <w:tcW w:type="dxa" w:w="3250"/>
            <w:shd w:val="clear" w:color="auto" w:fill="EEF3FA"/>
          </w:tcPr>
          <w:p>
            <w:pPr>
              <w:spacing w:after="40" w:before="40"/>
            </w:pPr>
            <w:r>
              <w:rPr>
                <w:rFonts w:ascii="Calibri" w:hAnsi="Calibri"/>
                <w:b w:val="0"/>
                <w:sz w:val="20"/>
              </w:rPr>
              <w:t>Signals Citi's strategic commitment to competing aggressively in next-generation securities services and digital custody.</w:t>
            </w:r>
          </w:p>
        </w:tc>
      </w:tr>
      <w:tr>
        <w:tc>
          <w:tcPr>
            <w:tcW w:type="dxa" w:w="3250"/>
          </w:tcPr>
          <w:p>
            <w:pPr>
              <w:spacing w:after="40" w:before="40"/>
            </w:pPr>
            <w:r>
              <w:rPr>
                <w:rFonts w:ascii="Calibri" w:hAnsi="Calibri"/>
                <w:b w:val="0"/>
                <w:sz w:val="20"/>
              </w:rPr>
              <w:t>HSBC Holdings plc</w:t>
            </w:r>
          </w:p>
        </w:tc>
        <w:tc>
          <w:tcPr>
            <w:tcW w:type="dxa" w:w="3250"/>
          </w:tcPr>
          <w:p>
            <w:pPr>
              <w:spacing w:after="40" w:before="40"/>
            </w:pPr>
            <w:r>
              <w:rPr>
                <w:rFonts w:ascii="Calibri" w:hAnsi="Calibri"/>
                <w:b w:val="0"/>
                <w:sz w:val="20"/>
              </w:rPr>
              <w:t>Expanded Asia-Pacific ETF servicing capabilities with dedicated hubs in Hong Kong and Singapore to support active ETF growth.</w:t>
            </w:r>
          </w:p>
        </w:tc>
        <w:tc>
          <w:tcPr>
            <w:tcW w:type="dxa" w:w="3250"/>
          </w:tcPr>
          <w:p>
            <w:pPr>
              <w:spacing w:after="40" w:before="40"/>
            </w:pPr>
            <w:r>
              <w:rPr>
                <w:rFonts w:ascii="Calibri" w:hAnsi="Calibri"/>
                <w:b w:val="0"/>
                <w:sz w:val="20"/>
              </w:rPr>
              <w:t>Reinforces HSBC's regional strengths and targets the fastest-growing ETF market globally, increasing competition for Asia mandates.</w:t>
            </w:r>
          </w:p>
        </w:tc>
      </w:tr>
      <w:tr>
        <w:tc>
          <w:tcPr>
            <w:tcW w:type="dxa" w:w="3250"/>
            <w:shd w:val="clear" w:color="auto" w:fill="EEF3FA"/>
          </w:tcPr>
          <w:p>
            <w:pPr>
              <w:spacing w:after="40" w:before="40"/>
            </w:pPr>
            <w:r>
              <w:rPr>
                <w:rFonts w:ascii="Calibri" w:hAnsi="Calibri"/>
                <w:b w:val="0"/>
                <w:sz w:val="20"/>
              </w:rPr>
              <w:t>BNP Paribas</w:t>
            </w:r>
          </w:p>
        </w:tc>
        <w:tc>
          <w:tcPr>
            <w:tcW w:type="dxa" w:w="3250"/>
            <w:shd w:val="clear" w:color="auto" w:fill="EEF3FA"/>
          </w:tcPr>
          <w:p>
            <w:pPr>
              <w:spacing w:after="40" w:before="40"/>
            </w:pPr>
            <w:r>
              <w:rPr>
                <w:rFonts w:ascii="Calibri" w:hAnsi="Calibri"/>
                <w:b w:val="0"/>
                <w:sz w:val="20"/>
              </w:rPr>
              <w:t>Securities Services division reported record custody assets exceeding 14 trillion euros and announced a new ESG data integration layer for institutional reporting.</w:t>
            </w:r>
          </w:p>
        </w:tc>
        <w:tc>
          <w:tcPr>
            <w:tcW w:type="dxa" w:w="3250"/>
            <w:shd w:val="clear" w:color="auto" w:fill="EEF3FA"/>
          </w:tcPr>
          <w:p>
            <w:pPr>
              <w:spacing w:after="40" w:before="40"/>
            </w:pPr>
            <w:r>
              <w:rPr>
                <w:rFonts w:ascii="Calibri" w:hAnsi="Calibri"/>
                <w:b w:val="0"/>
                <w:sz w:val="20"/>
              </w:rPr>
              <w:t>Confirms BNP Paribas's position as Europe's largest custodian by assets and responds to client demand for integrated sustainability data.</w:t>
            </w:r>
          </w:p>
        </w:tc>
      </w:tr>
      <w:tr>
        <w:tc>
          <w:tcPr>
            <w:tcW w:type="dxa" w:w="3250"/>
          </w:tcPr>
          <w:p>
            <w:pPr>
              <w:spacing w:after="40" w:before="40"/>
            </w:pPr>
            <w:r>
              <w:rPr>
                <w:rFonts w:ascii="Calibri" w:hAnsi="Calibri"/>
                <w:b w:val="0"/>
                <w:sz w:val="20"/>
              </w:rPr>
              <w:t>Northern Trust Corporation</w:t>
            </w:r>
          </w:p>
        </w:tc>
        <w:tc>
          <w:tcPr>
            <w:tcW w:type="dxa" w:w="3250"/>
          </w:tcPr>
          <w:p>
            <w:pPr>
              <w:spacing w:after="40" w:before="40"/>
            </w:pPr>
            <w:r>
              <w:rPr>
                <w:rFonts w:ascii="Calibri" w:hAnsi="Calibri"/>
                <w:b w:val="0"/>
                <w:sz w:val="20"/>
              </w:rPr>
              <w:t>Completed acquisition of a mid-sized European alternative fund administration business, adding approximately 80 billion dollars in assets under administration.</w:t>
            </w:r>
          </w:p>
        </w:tc>
        <w:tc>
          <w:tcPr>
            <w:tcW w:type="dxa" w:w="3250"/>
          </w:tcPr>
          <w:p>
            <w:pPr>
              <w:spacing w:after="40" w:before="40"/>
            </w:pPr>
            <w:r>
              <w:rPr>
                <w:rFonts w:ascii="Calibri" w:hAnsi="Calibri"/>
                <w:b w:val="0"/>
                <w:sz w:val="20"/>
              </w:rPr>
              <w:t>Strengthens Northern Trust's European alternatives footprint and Luxembourg-Dublin hub, directly competing with SS&amp;C and Citco.</w:t>
            </w:r>
          </w:p>
        </w:tc>
      </w:tr>
      <w:tr>
        <w:tc>
          <w:tcPr>
            <w:tcW w:type="dxa" w:w="3250"/>
            <w:shd w:val="clear" w:color="auto" w:fill="EEF3FA"/>
          </w:tcPr>
          <w:p>
            <w:pPr>
              <w:spacing w:after="40" w:before="40"/>
            </w:pPr>
            <w:r>
              <w:rPr>
                <w:rFonts w:ascii="Calibri" w:hAnsi="Calibri"/>
                <w:b w:val="0"/>
                <w:sz w:val="20"/>
              </w:rPr>
              <w:t>Deutsche Bank AG</w:t>
            </w:r>
          </w:p>
        </w:tc>
        <w:tc>
          <w:tcPr>
            <w:tcW w:type="dxa" w:w="3250"/>
            <w:shd w:val="clear" w:color="auto" w:fill="EEF3FA"/>
          </w:tcPr>
          <w:p>
            <w:pPr>
              <w:spacing w:after="40" w:before="40"/>
            </w:pPr>
            <w:r>
              <w:rPr>
                <w:rFonts w:ascii="Calibri" w:hAnsi="Calibri"/>
                <w:b w:val="0"/>
                <w:sz w:val="20"/>
              </w:rPr>
              <w:t>Securities Services unit announced a strategic review of its sub-custody network, exploring partnerships to enhance coverage in emerging markets and reduce operational costs.</w:t>
            </w:r>
          </w:p>
        </w:tc>
        <w:tc>
          <w:tcPr>
            <w:tcW w:type="dxa" w:w="3250"/>
            <w:shd w:val="clear" w:color="auto" w:fill="EEF3FA"/>
          </w:tcPr>
          <w:p>
            <w:pPr>
              <w:spacing w:after="40" w:before="40"/>
            </w:pPr>
            <w:r>
              <w:rPr>
                <w:rFonts w:ascii="Calibri" w:hAnsi="Calibri"/>
                <w:b w:val="0"/>
                <w:sz w:val="20"/>
              </w:rPr>
              <w:t>May lead to structural changes in Deutsche Bank's correspondent banking and sub-custody relationships affecting market access for clients.</w:t>
            </w:r>
          </w:p>
        </w:tc>
      </w:tr>
      <w:tr>
        <w:tc>
          <w:tcPr>
            <w:tcW w:type="dxa" w:w="3250"/>
          </w:tcPr>
          <w:p>
            <w:pPr>
              <w:spacing w:after="40" w:before="40"/>
            </w:pPr>
            <w:r>
              <w:rPr>
                <w:rFonts w:ascii="Calibri" w:hAnsi="Calibri"/>
                <w:b w:val="0"/>
                <w:sz w:val="20"/>
              </w:rPr>
              <w:t>UBS Group AG</w:t>
            </w:r>
          </w:p>
        </w:tc>
        <w:tc>
          <w:tcPr>
            <w:tcW w:type="dxa" w:w="3250"/>
          </w:tcPr>
          <w:p>
            <w:pPr>
              <w:spacing w:after="40" w:before="40"/>
            </w:pPr>
            <w:r>
              <w:rPr>
                <w:rFonts w:ascii="Calibri" w:hAnsi="Calibri"/>
                <w:b w:val="0"/>
                <w:sz w:val="20"/>
              </w:rPr>
              <w:t>Completed the migration of legacy Credit Suisse fund administration mandates onto UBS's unified platform, finalising a key post-merger integration milestone.</w:t>
            </w:r>
          </w:p>
        </w:tc>
        <w:tc>
          <w:tcPr>
            <w:tcW w:type="dxa" w:w="3250"/>
          </w:tcPr>
          <w:p>
            <w:pPr>
              <w:spacing w:after="40" w:before="40"/>
            </w:pPr>
            <w:r>
              <w:rPr>
                <w:rFonts w:ascii="Calibri" w:hAnsi="Calibri"/>
                <w:b w:val="0"/>
                <w:sz w:val="20"/>
              </w:rPr>
              <w:t>Removes a major source of operational and client retention risk and allows UBS to focus on organic growth in fund services.</w:t>
            </w:r>
          </w:p>
        </w:tc>
      </w:tr>
      <w:tr>
        <w:tc>
          <w:tcPr>
            <w:tcW w:type="dxa" w:w="3250"/>
            <w:shd w:val="clear" w:color="auto" w:fill="EEF3FA"/>
          </w:tcPr>
          <w:p>
            <w:pPr>
              <w:spacing w:after="40" w:before="40"/>
            </w:pPr>
            <w:r>
              <w:rPr>
                <w:rFonts w:ascii="Calibri" w:hAnsi="Calibri"/>
                <w:b w:val="0"/>
                <w:sz w:val="20"/>
              </w:rPr>
              <w:t>RBC Investor &amp; Treasury Services</w:t>
            </w:r>
          </w:p>
        </w:tc>
        <w:tc>
          <w:tcPr>
            <w:tcW w:type="dxa" w:w="3250"/>
            <w:shd w:val="clear" w:color="auto" w:fill="EEF3FA"/>
          </w:tcPr>
          <w:p>
            <w:pPr>
              <w:spacing w:after="40" w:before="40"/>
            </w:pPr>
            <w:r>
              <w:rPr>
                <w:rFonts w:ascii="Calibri" w:hAnsi="Calibri"/>
                <w:b w:val="0"/>
                <w:sz w:val="20"/>
              </w:rPr>
              <w:t>Published enhanced ESG reporting capabilities for institutional clients and announced expanded data analytics offerings within its fund administration suite.</w:t>
            </w:r>
          </w:p>
        </w:tc>
        <w:tc>
          <w:tcPr>
            <w:tcW w:type="dxa" w:w="3250"/>
            <w:shd w:val="clear" w:color="auto" w:fill="EEF3FA"/>
          </w:tcPr>
          <w:p>
            <w:pPr>
              <w:spacing w:after="40" w:before="40"/>
            </w:pPr>
            <w:r>
              <w:rPr>
                <w:rFonts w:ascii="Calibri" w:hAnsi="Calibri"/>
                <w:b w:val="0"/>
                <w:sz w:val="20"/>
              </w:rPr>
              <w:t>Strengthens RBC IS competitive positioning in ESG-aware investor servicing and data-driven client engagement.</w:t>
            </w:r>
          </w:p>
        </w:tc>
      </w:tr>
      <w:tr>
        <w:tc>
          <w:tcPr>
            <w:tcW w:type="dxa" w:w="3250"/>
          </w:tcPr>
          <w:p>
            <w:pPr>
              <w:spacing w:after="40" w:before="40"/>
            </w:pPr>
            <w:r>
              <w:rPr>
                <w:rFonts w:ascii="Calibri" w:hAnsi="Calibri"/>
                <w:b w:val="0"/>
                <w:sz w:val="20"/>
              </w:rPr>
              <w:t>Societe Generale Securities Services</w:t>
            </w:r>
          </w:p>
        </w:tc>
        <w:tc>
          <w:tcPr>
            <w:tcW w:type="dxa" w:w="3250"/>
          </w:tcPr>
          <w:p>
            <w:pPr>
              <w:spacing w:after="40" w:before="40"/>
            </w:pPr>
            <w:r>
              <w:rPr>
                <w:rFonts w:ascii="Calibri" w:hAnsi="Calibri"/>
                <w:b w:val="0"/>
                <w:sz w:val="20"/>
              </w:rPr>
              <w:t>Launched a new digital onboarding platform for fund distribution clients across Europe, targeting faster time-to-market for fund registration.</w:t>
            </w:r>
          </w:p>
        </w:tc>
        <w:tc>
          <w:tcPr>
            <w:tcW w:type="dxa" w:w="3250"/>
          </w:tcPr>
          <w:p>
            <w:pPr>
              <w:spacing w:after="40" w:before="40"/>
            </w:pPr>
            <w:r>
              <w:rPr>
                <w:rFonts w:ascii="Calibri" w:hAnsi="Calibri"/>
                <w:b w:val="0"/>
                <w:sz w:val="20"/>
              </w:rPr>
              <w:t>Addresses a key operational pain point in cross-border fund distribution and enhances SocGen's competitiveness against BNP Paribas and Citi.</w:t>
            </w:r>
          </w:p>
        </w:tc>
      </w:tr>
      <w:tr>
        <w:tc>
          <w:tcPr>
            <w:tcW w:type="dxa" w:w="3250"/>
            <w:shd w:val="clear" w:color="auto" w:fill="EEF3FA"/>
          </w:tcPr>
          <w:p>
            <w:pPr>
              <w:spacing w:after="40" w:before="40"/>
            </w:pPr>
            <w:r>
              <w:rPr>
                <w:rFonts w:ascii="Calibri" w:hAnsi="Calibri"/>
                <w:b w:val="0"/>
                <w:sz w:val="20"/>
              </w:rPr>
              <w:t>Standard Chartered plc</w:t>
            </w:r>
          </w:p>
        </w:tc>
        <w:tc>
          <w:tcPr>
            <w:tcW w:type="dxa" w:w="3250"/>
            <w:shd w:val="clear" w:color="auto" w:fill="EEF3FA"/>
          </w:tcPr>
          <w:p>
            <w:pPr>
              <w:spacing w:after="40" w:before="40"/>
            </w:pPr>
            <w:r>
              <w:rPr>
                <w:rFonts w:ascii="Calibri" w:hAnsi="Calibri"/>
                <w:b w:val="0"/>
                <w:sz w:val="20"/>
              </w:rPr>
              <w:t>Expanded digital asset custody pilot to include tokenised bond safekeeping in the UAE and Singapore through its Zodia Custody joint venture.</w:t>
            </w:r>
          </w:p>
        </w:tc>
        <w:tc>
          <w:tcPr>
            <w:tcW w:type="dxa" w:w="3250"/>
            <w:shd w:val="clear" w:color="auto" w:fill="EEF3FA"/>
          </w:tcPr>
          <w:p>
            <w:pPr>
              <w:spacing w:after="40" w:before="40"/>
            </w:pPr>
            <w:r>
              <w:rPr>
                <w:rFonts w:ascii="Calibri" w:hAnsi="Calibri"/>
                <w:b w:val="0"/>
                <w:sz w:val="20"/>
              </w:rPr>
              <w:t>Extends Standard Chartered's digital asset reach in high-growth markets and leverages its Zodia partnership for regulated crypto-custody.</w:t>
            </w:r>
          </w:p>
        </w:tc>
      </w:tr>
      <w:tr>
        <w:tc>
          <w:tcPr>
            <w:tcW w:type="dxa" w:w="3250"/>
          </w:tcPr>
          <w:p>
            <w:pPr>
              <w:spacing w:after="40" w:before="40"/>
            </w:pPr>
            <w:r>
              <w:rPr>
                <w:rFonts w:ascii="Calibri" w:hAnsi="Calibri"/>
                <w:b w:val="0"/>
                <w:sz w:val="20"/>
              </w:rPr>
              <w:t>SIX Group</w:t>
            </w:r>
          </w:p>
        </w:tc>
        <w:tc>
          <w:tcPr>
            <w:tcW w:type="dxa" w:w="3250"/>
          </w:tcPr>
          <w:p>
            <w:pPr>
              <w:spacing w:after="40" w:before="40"/>
            </w:pPr>
            <w:r>
              <w:rPr>
                <w:rFonts w:ascii="Calibri" w:hAnsi="Calibri"/>
                <w:b w:val="0"/>
                <w:sz w:val="20"/>
              </w:rPr>
              <w:t>SIX Digital Exchange completed its largest tokenised bond issuance to date, a 250 million Swiss franc transaction for a Swiss cantonal issuer.</w:t>
            </w:r>
          </w:p>
        </w:tc>
        <w:tc>
          <w:tcPr>
            <w:tcW w:type="dxa" w:w="3250"/>
          </w:tcPr>
          <w:p>
            <w:pPr>
              <w:spacing w:after="40" w:before="40"/>
            </w:pPr>
            <w:r>
              <w:rPr>
                <w:rFonts w:ascii="Calibri" w:hAnsi="Calibri"/>
                <w:b w:val="0"/>
                <w:sz w:val="20"/>
              </w:rPr>
              <w:t>Demonstrates growing real-world traction for regulated DLT-based securities issuance and positions SDX as a leading digital CSD.</w:t>
            </w:r>
          </w:p>
        </w:tc>
      </w:tr>
      <w:tr>
        <w:tc>
          <w:tcPr>
            <w:tcW w:type="dxa" w:w="3250"/>
            <w:shd w:val="clear" w:color="auto" w:fill="EEF3FA"/>
          </w:tcPr>
          <w:p>
            <w:pPr>
              <w:spacing w:after="40" w:before="40"/>
            </w:pPr>
            <w:r>
              <w:rPr>
                <w:rFonts w:ascii="Calibri" w:hAnsi="Calibri"/>
                <w:b w:val="0"/>
                <w:sz w:val="20"/>
              </w:rPr>
              <w:t>Brown Brothers Harriman &amp; Co.</w:t>
            </w:r>
          </w:p>
        </w:tc>
        <w:tc>
          <w:tcPr>
            <w:tcW w:type="dxa" w:w="3250"/>
            <w:shd w:val="clear" w:color="auto" w:fill="EEF3FA"/>
          </w:tcPr>
          <w:p>
            <w:pPr>
              <w:spacing w:after="40" w:before="40"/>
            </w:pPr>
            <w:r>
              <w:rPr>
                <w:rFonts w:ascii="Calibri" w:hAnsi="Calibri"/>
                <w:b w:val="0"/>
                <w:sz w:val="20"/>
              </w:rPr>
              <w:t>Announced an expanded partnership with a data analytics firm to enhance its Infomedics fund administration reporting platform with AI-driven insights.</w:t>
            </w:r>
          </w:p>
        </w:tc>
        <w:tc>
          <w:tcPr>
            <w:tcW w:type="dxa" w:w="3250"/>
            <w:shd w:val="clear" w:color="auto" w:fill="EEF3FA"/>
          </w:tcPr>
          <w:p>
            <w:pPr>
              <w:spacing w:after="40" w:before="40"/>
            </w:pPr>
            <w:r>
              <w:rPr>
                <w:rFonts w:ascii="Calibri" w:hAnsi="Calibri"/>
                <w:b w:val="0"/>
                <w:sz w:val="20"/>
              </w:rPr>
              <w:t>Reflects BBH's continued investment in technology differentiation within its boutique custody and fund administration business.</w:t>
            </w:r>
          </w:p>
        </w:tc>
      </w:tr>
      <w:tr>
        <w:tc>
          <w:tcPr>
            <w:tcW w:type="dxa" w:w="3250"/>
          </w:tcPr>
          <w:p>
            <w:pPr>
              <w:spacing w:after="40" w:before="40"/>
            </w:pPr>
            <w:r>
              <w:rPr>
                <w:rFonts w:ascii="Calibri" w:hAnsi="Calibri"/>
                <w:b w:val="0"/>
                <w:sz w:val="20"/>
              </w:rPr>
              <w:t>Clearstream</w:t>
            </w:r>
          </w:p>
        </w:tc>
        <w:tc>
          <w:tcPr>
            <w:tcW w:type="dxa" w:w="3250"/>
          </w:tcPr>
          <w:p>
            <w:pPr>
              <w:spacing w:after="40" w:before="40"/>
            </w:pPr>
            <w:r>
              <w:rPr>
                <w:rFonts w:ascii="Calibri" w:hAnsi="Calibri"/>
                <w:b w:val="0"/>
                <w:sz w:val="20"/>
              </w:rPr>
              <w:t>Published its operational readiness framework for EU T+1 migration aligned with the proposed October 2027 timeline and invited market participants to testing.</w:t>
            </w:r>
          </w:p>
        </w:tc>
        <w:tc>
          <w:tcPr>
            <w:tcW w:type="dxa" w:w="3250"/>
          </w:tcPr>
          <w:p>
            <w:pPr>
              <w:spacing w:after="40" w:before="40"/>
            </w:pPr>
            <w:r>
              <w:rPr>
                <w:rFonts w:ascii="Calibri" w:hAnsi="Calibri"/>
                <w:b w:val="0"/>
                <w:sz w:val="20"/>
              </w:rPr>
              <w:t>Establishes Clearstream as a proactive facilitator of T+1 transition and provides clients with early planning certainty.</w:t>
            </w:r>
          </w:p>
        </w:tc>
      </w:tr>
      <w:tr>
        <w:tc>
          <w:tcPr>
            <w:tcW w:type="dxa" w:w="3250"/>
            <w:shd w:val="clear" w:color="auto" w:fill="EEF3FA"/>
          </w:tcPr>
          <w:p>
            <w:pPr>
              <w:spacing w:after="40" w:before="40"/>
            </w:pPr>
            <w:r>
              <w:rPr>
                <w:rFonts w:ascii="Calibri" w:hAnsi="Calibri"/>
                <w:b w:val="0"/>
                <w:sz w:val="20"/>
              </w:rPr>
              <w:t>Euroclear</w:t>
            </w:r>
          </w:p>
        </w:tc>
        <w:tc>
          <w:tcPr>
            <w:tcW w:type="dxa" w:w="3250"/>
            <w:shd w:val="clear" w:color="auto" w:fill="EEF3FA"/>
          </w:tcPr>
          <w:p>
            <w:pPr>
              <w:spacing w:after="40" w:before="40"/>
            </w:pPr>
            <w:r>
              <w:rPr>
                <w:rFonts w:ascii="Calibri" w:hAnsi="Calibri"/>
                <w:b w:val="0"/>
                <w:sz w:val="20"/>
              </w:rPr>
              <w:t>Reported record settlement volumes in Q1 2026 and announced expansion of its Collateral Highway to support digital asset collateral pledging in pilot mode.</w:t>
            </w:r>
          </w:p>
        </w:tc>
        <w:tc>
          <w:tcPr>
            <w:tcW w:type="dxa" w:w="3250"/>
            <w:shd w:val="clear" w:color="auto" w:fill="EEF3FA"/>
          </w:tcPr>
          <w:p>
            <w:pPr>
              <w:spacing w:after="40" w:before="40"/>
            </w:pPr>
            <w:r>
              <w:rPr>
                <w:rFonts w:ascii="Calibri" w:hAnsi="Calibri"/>
                <w:b w:val="0"/>
                <w:sz w:val="20"/>
              </w:rPr>
              <w:t>Reinforces Euroclear's central role in European post-trade infrastructure and signals movement toward digital collateral interoperability.</w:t>
            </w:r>
          </w:p>
        </w:tc>
      </w:tr>
      <w:tr>
        <w:tc>
          <w:tcPr>
            <w:tcW w:type="dxa" w:w="3250"/>
          </w:tcPr>
          <w:p>
            <w:pPr>
              <w:spacing w:after="40" w:before="40"/>
            </w:pPr>
            <w:r>
              <w:rPr>
                <w:rFonts w:ascii="Calibri" w:hAnsi="Calibri"/>
                <w:b w:val="0"/>
                <w:sz w:val="20"/>
              </w:rPr>
              <w:t>Coinbase Custody (Coinbase Prime)</w:t>
            </w:r>
          </w:p>
        </w:tc>
        <w:tc>
          <w:tcPr>
            <w:tcW w:type="dxa" w:w="3250"/>
          </w:tcPr>
          <w:p>
            <w:pPr>
              <w:spacing w:after="40" w:before="40"/>
            </w:pPr>
            <w:r>
              <w:rPr>
                <w:rFonts w:ascii="Calibri" w:hAnsi="Calibri"/>
                <w:b w:val="0"/>
                <w:sz w:val="20"/>
              </w:rPr>
              <w:t>Secured additional state-level trust licences in the US and expanded institutional staking services to include additional proof-of-stake protocols.</w:t>
            </w:r>
          </w:p>
        </w:tc>
        <w:tc>
          <w:tcPr>
            <w:tcW w:type="dxa" w:w="3250"/>
          </w:tcPr>
          <w:p>
            <w:pPr>
              <w:spacing w:after="40" w:before="40"/>
            </w:pPr>
            <w:r>
              <w:rPr>
                <w:rFonts w:ascii="Calibri" w:hAnsi="Calibri"/>
                <w:b w:val="0"/>
                <w:sz w:val="20"/>
              </w:rPr>
              <w:t>Broadens Coinbase's regulatory footprint for institutional crypto custody and enhances yield-generation offerings for asset manager clients.</w:t>
            </w:r>
          </w:p>
        </w:tc>
      </w:tr>
      <w:tr>
        <w:tc>
          <w:tcPr>
            <w:tcW w:type="dxa" w:w="3250"/>
            <w:shd w:val="clear" w:color="auto" w:fill="EEF3FA"/>
          </w:tcPr>
          <w:p>
            <w:pPr>
              <w:spacing w:after="40" w:before="40"/>
            </w:pPr>
            <w:r>
              <w:rPr>
                <w:rFonts w:ascii="Calibri" w:hAnsi="Calibri"/>
                <w:b w:val="0"/>
                <w:sz w:val="20"/>
              </w:rPr>
              <w:t>BitGo</w:t>
            </w:r>
          </w:p>
        </w:tc>
        <w:tc>
          <w:tcPr>
            <w:tcW w:type="dxa" w:w="3250"/>
            <w:shd w:val="clear" w:color="auto" w:fill="EEF3FA"/>
          </w:tcPr>
          <w:p>
            <w:pPr>
              <w:spacing w:after="40" w:before="40"/>
            </w:pPr>
            <w:r>
              <w:rPr>
                <w:rFonts w:ascii="Calibri" w:hAnsi="Calibri"/>
                <w:b w:val="0"/>
                <w:sz w:val="20"/>
              </w:rPr>
              <w:t>Announced integration with a major European bank's digital asset trading desk, providing qualified custody and settlement for institutional crypto transactions.</w:t>
            </w:r>
          </w:p>
        </w:tc>
        <w:tc>
          <w:tcPr>
            <w:tcW w:type="dxa" w:w="3250"/>
            <w:shd w:val="clear" w:color="auto" w:fill="EEF3FA"/>
          </w:tcPr>
          <w:p>
            <w:pPr>
              <w:spacing w:after="40" w:before="40"/>
            </w:pPr>
            <w:r>
              <w:rPr>
                <w:rFonts w:ascii="Calibri" w:hAnsi="Calibri"/>
                <w:b w:val="0"/>
                <w:sz w:val="20"/>
              </w:rPr>
              <w:t>Validates BitGo's positioning as a qualified custodian for traditional financial institutions entering digital assets.</w:t>
            </w:r>
          </w:p>
        </w:tc>
      </w:tr>
      <w:tr>
        <w:tc>
          <w:tcPr>
            <w:tcW w:type="dxa" w:w="3250"/>
          </w:tcPr>
          <w:p>
            <w:pPr>
              <w:spacing w:after="40" w:before="40"/>
            </w:pPr>
            <w:r>
              <w:rPr>
                <w:rFonts w:ascii="Calibri" w:hAnsi="Calibri"/>
                <w:b w:val="0"/>
                <w:sz w:val="20"/>
              </w:rPr>
              <w:t>Fidelity Digital Assets</w:t>
            </w:r>
          </w:p>
        </w:tc>
        <w:tc>
          <w:tcPr>
            <w:tcW w:type="dxa" w:w="3250"/>
          </w:tcPr>
          <w:p>
            <w:pPr>
              <w:spacing w:after="40" w:before="40"/>
            </w:pPr>
            <w:r>
              <w:rPr>
                <w:rFonts w:ascii="Calibri" w:hAnsi="Calibri"/>
                <w:b w:val="0"/>
                <w:sz w:val="20"/>
              </w:rPr>
              <w:t>Expanded its institutional digital asset custody platform to support tokenised US Treasury products, enabling custody of both native crypto and tokenised real-world assets.</w:t>
            </w:r>
          </w:p>
        </w:tc>
        <w:tc>
          <w:tcPr>
            <w:tcW w:type="dxa" w:w="3250"/>
          </w:tcPr>
          <w:p>
            <w:pPr>
              <w:spacing w:after="40" w:before="40"/>
            </w:pPr>
            <w:r>
              <w:rPr>
                <w:rFonts w:ascii="Calibri" w:hAnsi="Calibri"/>
                <w:b w:val="0"/>
                <w:sz w:val="20"/>
              </w:rPr>
              <w:t>Positions Fidelity at the intersection of traditional and digital asset custody, addressing growing institutional demand for tokenised fixed income.</w:t>
            </w:r>
          </w:p>
        </w:tc>
      </w:tr>
      <w:tr>
        <w:tc>
          <w:tcPr>
            <w:tcW w:type="dxa" w:w="3250"/>
            <w:shd w:val="clear" w:color="auto" w:fill="EEF3FA"/>
          </w:tcPr>
          <w:p>
            <w:pPr>
              <w:spacing w:after="40" w:before="40"/>
            </w:pPr>
            <w:r>
              <w:rPr>
                <w:rFonts w:ascii="Calibri" w:hAnsi="Calibri"/>
                <w:b w:val="0"/>
                <w:sz w:val="20"/>
              </w:rPr>
              <w:t>Anchorage Digital</w:t>
            </w:r>
          </w:p>
        </w:tc>
        <w:tc>
          <w:tcPr>
            <w:tcW w:type="dxa" w:w="3250"/>
            <w:shd w:val="clear" w:color="auto" w:fill="EEF3FA"/>
          </w:tcPr>
          <w:p>
            <w:pPr>
              <w:spacing w:after="40" w:before="40"/>
            </w:pPr>
            <w:r>
              <w:rPr>
                <w:rFonts w:ascii="Calibri" w:hAnsi="Calibri"/>
                <w:b w:val="0"/>
                <w:sz w:val="20"/>
              </w:rPr>
              <w:t>Received approval from the OCC to expand its digital bank charter services and launched a new institutional lending product collateralised by custodied digital assets.</w:t>
            </w:r>
          </w:p>
        </w:tc>
        <w:tc>
          <w:tcPr>
            <w:tcW w:type="dxa" w:w="3250"/>
            <w:shd w:val="clear" w:color="auto" w:fill="EEF3FA"/>
          </w:tcPr>
          <w:p>
            <w:pPr>
              <w:spacing w:after="40" w:before="40"/>
            </w:pPr>
            <w:r>
              <w:rPr>
                <w:rFonts w:ascii="Calibri" w:hAnsi="Calibri"/>
                <w:b w:val="0"/>
                <w:sz w:val="20"/>
              </w:rPr>
              <w:t>Strengthens Anchorage's unique position as a federally chartered digital asset bank with expanding financial services capabilities.</w:t>
            </w:r>
          </w:p>
        </w:tc>
      </w:tr>
      <w:tr>
        <w:tc>
          <w:tcPr>
            <w:tcW w:type="dxa" w:w="3250"/>
          </w:tcPr>
          <w:p>
            <w:pPr>
              <w:spacing w:after="40" w:before="40"/>
            </w:pPr>
            <w:r>
              <w:rPr>
                <w:rFonts w:ascii="Calibri" w:hAnsi="Calibri"/>
                <w:b w:val="0"/>
                <w:sz w:val="20"/>
              </w:rPr>
              <w:t>Fireblocks</w:t>
            </w:r>
          </w:p>
        </w:tc>
        <w:tc>
          <w:tcPr>
            <w:tcW w:type="dxa" w:w="3250"/>
          </w:tcPr>
          <w:p>
            <w:pPr>
              <w:spacing w:after="40" w:before="40"/>
            </w:pPr>
            <w:r>
              <w:rPr>
                <w:rFonts w:ascii="Calibri" w:hAnsi="Calibri"/>
                <w:b w:val="0"/>
                <w:sz w:val="20"/>
              </w:rPr>
              <w:t>Released upgraded multi-party computation wallet infrastructure with hardware security module integration, targeting bank-grade key management standards.</w:t>
            </w:r>
          </w:p>
        </w:tc>
        <w:tc>
          <w:tcPr>
            <w:tcW w:type="dxa" w:w="3250"/>
          </w:tcPr>
          <w:p>
            <w:pPr>
              <w:spacing w:after="40" w:before="40"/>
            </w:pPr>
            <w:r>
              <w:rPr>
                <w:rFonts w:ascii="Calibri" w:hAnsi="Calibri"/>
                <w:b w:val="0"/>
                <w:sz w:val="20"/>
              </w:rPr>
              <w:t>Addresses a critical institutional requirement for custodians seeking to deploy Fireblocks infrastructure under regulatory-compliant frameworks.</w:t>
            </w:r>
          </w:p>
        </w:tc>
      </w:tr>
      <w:tr>
        <w:tc>
          <w:tcPr>
            <w:tcW w:type="dxa" w:w="3250"/>
            <w:shd w:val="clear" w:color="auto" w:fill="EEF3FA"/>
          </w:tcPr>
          <w:p>
            <w:pPr>
              <w:spacing w:after="40" w:before="40"/>
            </w:pPr>
            <w:r>
              <w:rPr>
                <w:rFonts w:ascii="Calibri" w:hAnsi="Calibri"/>
                <w:b w:val="0"/>
                <w:sz w:val="20"/>
              </w:rPr>
              <w:t>Gemini Custody</w:t>
            </w:r>
          </w:p>
        </w:tc>
        <w:tc>
          <w:tcPr>
            <w:tcW w:type="dxa" w:w="3250"/>
            <w:shd w:val="clear" w:color="auto" w:fill="EEF3FA"/>
          </w:tcPr>
          <w:p>
            <w:pPr>
              <w:spacing w:after="40" w:before="40"/>
            </w:pPr>
            <w:r>
              <w:rPr>
                <w:rFonts w:ascii="Calibri" w:hAnsi="Calibri"/>
                <w:b w:val="0"/>
                <w:sz w:val="20"/>
              </w:rPr>
              <w:t>No material news this month.</w:t>
            </w:r>
          </w:p>
        </w:tc>
        <w:tc>
          <w:tcPr>
            <w:tcW w:type="dxa" w:w="3250"/>
            <w:shd w:val="clear" w:color="auto" w:fill="EEF3FA"/>
          </w:tcPr>
          <w:p>
            <w:pPr>
              <w:spacing w:after="40" w:before="40"/>
            </w:pPr>
            <w:r>
              <w:rPr>
                <w:rFonts w:ascii="Calibri" w:hAnsi="Calibri"/>
                <w:b w:val="0"/>
                <w:sz w:val="20"/>
              </w:rPr>
              <w:t>—</w:t>
            </w:r>
          </w:p>
        </w:tc>
      </w:tr>
      <w:tr>
        <w:tc>
          <w:tcPr>
            <w:tcW w:type="dxa" w:w="3250"/>
          </w:tcPr>
          <w:p>
            <w:pPr>
              <w:spacing w:after="40" w:before="40"/>
            </w:pPr>
            <w:r>
              <w:rPr>
                <w:rFonts w:ascii="Calibri" w:hAnsi="Calibri"/>
                <w:b w:val="0"/>
                <w:sz w:val="20"/>
              </w:rPr>
              <w:t>Cobo</w:t>
            </w:r>
          </w:p>
        </w:tc>
        <w:tc>
          <w:tcPr>
            <w:tcW w:type="dxa" w:w="3250"/>
          </w:tcPr>
          <w:p>
            <w:pPr>
              <w:spacing w:after="40" w:before="40"/>
            </w:pPr>
            <w:r>
              <w:rPr>
                <w:rFonts w:ascii="Calibri" w:hAnsi="Calibri"/>
                <w:b w:val="0"/>
                <w:sz w:val="20"/>
              </w:rPr>
              <w:t>Expanded MPC-based custody solutions into Southeast Asian markets with new partnerships with regional digital asset exchanges.</w:t>
            </w:r>
          </w:p>
        </w:tc>
        <w:tc>
          <w:tcPr>
            <w:tcW w:type="dxa" w:w="3250"/>
          </w:tcPr>
          <w:p>
            <w:pPr>
              <w:spacing w:after="40" w:before="40"/>
            </w:pPr>
            <w:r>
              <w:rPr>
                <w:rFonts w:ascii="Calibri" w:hAnsi="Calibri"/>
                <w:b w:val="0"/>
                <w:sz w:val="20"/>
              </w:rPr>
              <w:t>Extends Cobo's geographic reach in a fast-growing crypto market and diversifies its client base beyond Greater China.</w:t>
            </w:r>
          </w:p>
        </w:tc>
      </w:tr>
      <w:tr>
        <w:tc>
          <w:tcPr>
            <w:tcW w:type="dxa" w:w="3250"/>
            <w:shd w:val="clear" w:color="auto" w:fill="EEF3FA"/>
          </w:tcPr>
          <w:p>
            <w:pPr>
              <w:spacing w:after="40" w:before="40"/>
            </w:pPr>
            <w:r>
              <w:rPr>
                <w:rFonts w:ascii="Calibri" w:hAnsi="Calibri"/>
                <w:b w:val="0"/>
                <w:sz w:val="20"/>
              </w:rPr>
              <w:t>Hex Trust</w:t>
            </w:r>
          </w:p>
        </w:tc>
        <w:tc>
          <w:tcPr>
            <w:tcW w:type="dxa" w:w="3250"/>
            <w:shd w:val="clear" w:color="auto" w:fill="EEF3FA"/>
          </w:tcPr>
          <w:p>
            <w:pPr>
              <w:spacing w:after="40" w:before="40"/>
            </w:pPr>
            <w:r>
              <w:rPr>
                <w:rFonts w:ascii="Calibri" w:hAnsi="Calibri"/>
                <w:b w:val="0"/>
                <w:sz w:val="20"/>
              </w:rPr>
              <w:t>Announced SOC 2 Type II certification for its custody platform and expanded licenced operations to include Dubai under VARA regulation.</w:t>
            </w:r>
          </w:p>
        </w:tc>
        <w:tc>
          <w:tcPr>
            <w:tcW w:type="dxa" w:w="3250"/>
            <w:shd w:val="clear" w:color="auto" w:fill="EEF3FA"/>
          </w:tcPr>
          <w:p>
            <w:pPr>
              <w:spacing w:after="40" w:before="40"/>
            </w:pPr>
            <w:r>
              <w:rPr>
                <w:rFonts w:ascii="Calibri" w:hAnsi="Calibri"/>
                <w:b w:val="0"/>
                <w:sz w:val="20"/>
              </w:rPr>
              <w:t>Enhances institutional credibility and positions Hex Trust as a multi-jurisdictional regulated digital asset custodian in Asia and the Middle East.</w:t>
            </w:r>
          </w:p>
        </w:tc>
      </w:tr>
      <w:tr>
        <w:tc>
          <w:tcPr>
            <w:tcW w:type="dxa" w:w="3250"/>
          </w:tcPr>
          <w:p>
            <w:pPr>
              <w:spacing w:after="40" w:before="40"/>
            </w:pPr>
            <w:r>
              <w:rPr>
                <w:rFonts w:ascii="Calibri" w:hAnsi="Calibri"/>
                <w:b w:val="0"/>
                <w:sz w:val="20"/>
              </w:rPr>
              <w:t>Copper</w:t>
            </w:r>
          </w:p>
        </w:tc>
        <w:tc>
          <w:tcPr>
            <w:tcW w:type="dxa" w:w="3250"/>
          </w:tcPr>
          <w:p>
            <w:pPr>
              <w:spacing w:after="40" w:before="40"/>
            </w:pPr>
            <w:r>
              <w:rPr>
                <w:rFonts w:ascii="Calibri" w:hAnsi="Calibri"/>
                <w:b w:val="0"/>
                <w:sz w:val="20"/>
              </w:rPr>
              <w:t>Launched upgraded ClearLoop off-exchange settlement network with expanded exchange connectivity and new post-trade analytics features.</w:t>
            </w:r>
          </w:p>
        </w:tc>
        <w:tc>
          <w:tcPr>
            <w:tcW w:type="dxa" w:w="3250"/>
          </w:tcPr>
          <w:p>
            <w:pPr>
              <w:spacing w:after="40" w:before="40"/>
            </w:pPr>
            <w:r>
              <w:rPr>
                <w:rFonts w:ascii="Calibri" w:hAnsi="Calibri"/>
                <w:b w:val="0"/>
                <w:sz w:val="20"/>
              </w:rPr>
              <w:t>Reinforces Copper's differentiated proposition of enabling institutional trading without pre-funding exchange accounts, reducing counterparty risk.</w:t>
            </w:r>
          </w:p>
        </w:tc>
      </w:tr>
      <w:tr>
        <w:tc>
          <w:tcPr>
            <w:tcW w:type="dxa" w:w="3250"/>
            <w:shd w:val="clear" w:color="auto" w:fill="EEF3FA"/>
          </w:tcPr>
          <w:p>
            <w:pPr>
              <w:spacing w:after="40" w:before="40"/>
            </w:pPr>
            <w:r>
              <w:rPr>
                <w:rFonts w:ascii="Calibri" w:hAnsi="Calibri"/>
                <w:b w:val="0"/>
                <w:sz w:val="20"/>
              </w:rPr>
              <w:t>Komainu</w:t>
            </w:r>
          </w:p>
        </w:tc>
        <w:tc>
          <w:tcPr>
            <w:tcW w:type="dxa" w:w="3250"/>
            <w:shd w:val="clear" w:color="auto" w:fill="EEF3FA"/>
          </w:tcPr>
          <w:p>
            <w:pPr>
              <w:spacing w:after="40" w:before="40"/>
            </w:pPr>
            <w:r>
              <w:rPr>
                <w:rFonts w:ascii="Calibri" w:hAnsi="Calibri"/>
                <w:b w:val="0"/>
                <w:sz w:val="20"/>
              </w:rPr>
              <w:t>Secured a new strategic investment from a global asset management firm, bringing total funding to over 100 million dollars and supporting expansion into tokenised securities custody.</w:t>
            </w:r>
          </w:p>
        </w:tc>
        <w:tc>
          <w:tcPr>
            <w:tcW w:type="dxa" w:w="3250"/>
            <w:shd w:val="clear" w:color="auto" w:fill="EEF3FA"/>
          </w:tcPr>
          <w:p>
            <w:pPr>
              <w:spacing w:after="40" w:before="40"/>
            </w:pPr>
            <w:r>
              <w:rPr>
                <w:rFonts w:ascii="Calibri" w:hAnsi="Calibri"/>
                <w:b w:val="0"/>
                <w:sz w:val="20"/>
              </w:rPr>
              <w:t>Validates institutional confidence in Komainu's regulated custody model and funds its pivot toward broader tokenised asset servicing.</w:t>
            </w:r>
          </w:p>
        </w:tc>
      </w:tr>
      <w:tr>
        <w:tc>
          <w:tcPr>
            <w:tcW w:type="dxa" w:w="3250"/>
          </w:tcPr>
          <w:p>
            <w:pPr>
              <w:spacing w:after="40" w:before="40"/>
            </w:pPr>
            <w:r>
              <w:rPr>
                <w:rFonts w:ascii="Calibri" w:hAnsi="Calibri"/>
                <w:b w:val="0"/>
                <w:sz w:val="20"/>
              </w:rPr>
              <w:t>Zodia Custody</w:t>
            </w:r>
          </w:p>
        </w:tc>
        <w:tc>
          <w:tcPr>
            <w:tcW w:type="dxa" w:w="3250"/>
          </w:tcPr>
          <w:p>
            <w:pPr>
              <w:spacing w:after="40" w:before="40"/>
            </w:pPr>
            <w:r>
              <w:rPr>
                <w:rFonts w:ascii="Calibri" w:hAnsi="Calibri"/>
                <w:b w:val="0"/>
                <w:sz w:val="20"/>
              </w:rPr>
              <w:t>Expanded digital asset custody pilot in the UAE and Singapore under Standard Chartered's strategic direction, adding tokenised bond safekeeping.</w:t>
            </w:r>
          </w:p>
        </w:tc>
        <w:tc>
          <w:tcPr>
            <w:tcW w:type="dxa" w:w="3250"/>
          </w:tcPr>
          <w:p>
            <w:pPr>
              <w:spacing w:after="40" w:before="40"/>
            </w:pPr>
            <w:r>
              <w:rPr>
                <w:rFonts w:ascii="Calibri" w:hAnsi="Calibri"/>
                <w:b w:val="0"/>
                <w:sz w:val="20"/>
              </w:rPr>
              <w:t>Deepens Zodia's positioning as a bank-affiliated digital custodian in key growth markets with strong regulatory alignment.</w:t>
            </w:r>
          </w:p>
        </w:tc>
      </w:tr>
      <w:tr>
        <w:tc>
          <w:tcPr>
            <w:tcW w:type="dxa" w:w="3250"/>
            <w:shd w:val="clear" w:color="auto" w:fill="EEF3FA"/>
          </w:tcPr>
          <w:p>
            <w:pPr>
              <w:spacing w:after="40" w:before="40"/>
            </w:pPr>
            <w:r>
              <w:rPr>
                <w:rFonts w:ascii="Calibri" w:hAnsi="Calibri"/>
                <w:b w:val="0"/>
                <w:sz w:val="20"/>
              </w:rPr>
              <w:t>NYDIG</w:t>
            </w:r>
          </w:p>
        </w:tc>
        <w:tc>
          <w:tcPr>
            <w:tcW w:type="dxa" w:w="3250"/>
            <w:shd w:val="clear" w:color="auto" w:fill="EEF3FA"/>
          </w:tcPr>
          <w:p>
            <w:pPr>
              <w:spacing w:after="40" w:before="40"/>
            </w:pPr>
            <w:r>
              <w:rPr>
                <w:rFonts w:ascii="Calibri" w:hAnsi="Calibri"/>
                <w:b w:val="0"/>
                <w:sz w:val="20"/>
              </w:rPr>
              <w:t>Relaunched institutional Bitcoin custody and prime brokerage services with a streamlined technology stack following internal restructuring.</w:t>
            </w:r>
          </w:p>
        </w:tc>
        <w:tc>
          <w:tcPr>
            <w:tcW w:type="dxa" w:w="3250"/>
            <w:shd w:val="clear" w:color="auto" w:fill="EEF3FA"/>
          </w:tcPr>
          <w:p>
            <w:pPr>
              <w:spacing w:after="40" w:before="40"/>
            </w:pPr>
            <w:r>
              <w:rPr>
                <w:rFonts w:ascii="Calibri" w:hAnsi="Calibri"/>
                <w:b w:val="0"/>
                <w:sz w:val="20"/>
              </w:rPr>
              <w:t>Signals NYDIG's renewed focus on institutional Bitcoin services after a period of strategic realignment and leadership changes.</w:t>
            </w:r>
          </w:p>
        </w:tc>
      </w:tr>
      <w:tr>
        <w:tc>
          <w:tcPr>
            <w:tcW w:type="dxa" w:w="3250"/>
          </w:tcPr>
          <w:p>
            <w:pPr>
              <w:spacing w:after="40" w:before="40"/>
            </w:pPr>
            <w:r>
              <w:rPr>
                <w:rFonts w:ascii="Calibri" w:hAnsi="Calibri"/>
                <w:b w:val="0"/>
                <w:sz w:val="20"/>
              </w:rPr>
              <w:t>Bitcoin Suisse</w:t>
            </w:r>
          </w:p>
        </w:tc>
        <w:tc>
          <w:tcPr>
            <w:tcW w:type="dxa" w:w="3250"/>
          </w:tcPr>
          <w:p>
            <w:pPr>
              <w:spacing w:after="40" w:before="40"/>
            </w:pPr>
            <w:r>
              <w:rPr>
                <w:rFonts w:ascii="Calibri" w:hAnsi="Calibri"/>
                <w:b w:val="0"/>
                <w:sz w:val="20"/>
              </w:rPr>
              <w:t>Received FINMA approval to expand its regulated custody offering to include tokenised equities alongside crypto assets in Switzerland.</w:t>
            </w:r>
          </w:p>
        </w:tc>
        <w:tc>
          <w:tcPr>
            <w:tcW w:type="dxa" w:w="3250"/>
          </w:tcPr>
          <w:p>
            <w:pPr>
              <w:spacing w:after="40" w:before="40"/>
            </w:pPr>
            <w:r>
              <w:rPr>
                <w:rFonts w:ascii="Calibri" w:hAnsi="Calibri"/>
                <w:b w:val="0"/>
                <w:sz w:val="20"/>
              </w:rPr>
              <w:t>Positions Bitcoin Suisse as one of the first Swiss-regulated custodians offering combined crypto and tokenised traditional asset safekeeping.</w:t>
            </w:r>
          </w:p>
        </w:tc>
      </w:tr>
      <w:tr>
        <w:tc>
          <w:tcPr>
            <w:tcW w:type="dxa" w:w="3250"/>
            <w:shd w:val="clear" w:color="auto" w:fill="EEF3FA"/>
          </w:tcPr>
          <w:p>
            <w:pPr>
              <w:spacing w:after="40" w:before="40"/>
            </w:pPr>
            <w:r>
              <w:rPr>
                <w:rFonts w:ascii="Calibri" w:hAnsi="Calibri"/>
                <w:b w:val="0"/>
                <w:sz w:val="20"/>
              </w:rPr>
              <w:t>Taurus</w:t>
            </w:r>
          </w:p>
        </w:tc>
        <w:tc>
          <w:tcPr>
            <w:tcW w:type="dxa" w:w="3250"/>
            <w:shd w:val="clear" w:color="auto" w:fill="EEF3FA"/>
          </w:tcPr>
          <w:p>
            <w:pPr>
              <w:spacing w:after="40" w:before="40"/>
            </w:pPr>
            <w:r>
              <w:rPr>
                <w:rFonts w:ascii="Calibri" w:hAnsi="Calibri"/>
                <w:b w:val="0"/>
                <w:sz w:val="20"/>
              </w:rPr>
              <w:t>Announced a partnership with a Tier 1 European bank to provide white-label digital asset custody and tokenisation infrastructure.</w:t>
            </w:r>
          </w:p>
        </w:tc>
        <w:tc>
          <w:tcPr>
            <w:tcW w:type="dxa" w:w="3250"/>
            <w:shd w:val="clear" w:color="auto" w:fill="EEF3FA"/>
          </w:tcPr>
          <w:p>
            <w:pPr>
              <w:spacing w:after="40" w:before="40"/>
            </w:pPr>
            <w:r>
              <w:rPr>
                <w:rFonts w:ascii="Calibri" w:hAnsi="Calibri"/>
                <w:b w:val="0"/>
                <w:sz w:val="20"/>
              </w:rPr>
              <w:t>Validates Taurus's enterprise technology model and accelerates its penetration of the traditional banking sector seeking digital asset capabilities.</w:t>
            </w:r>
          </w:p>
        </w:tc>
      </w:tr>
    </w:tbl>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