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rFonts w:ascii="Calibri" w:hAnsi="Calibri"/>
                <w:b/>
                <w:sz w:val="3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21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escalation of US trade policy uncertainty following the White House's confirmation of a broadened tariff regime targeting European Union and select Asia-Pacific imports, effective 1 April, which has triggered sharp equity drawdowns, a flight to safe-haven assets, and renewed FX volatility that directly affects cross-border custody flows and NAV calculations. Global equity markets have retreated 3-5 percent month-to-date across major indices, while gold has breached USD 3,100 per ounce and the VIX has spiked above 22, placing elevated demands on collateral management and margin-call processing capabilities. On the regulatory front, the SEC has published final guidance on the expanded scope of Form PF reporting for private fund administrators, and the European Commission has advanced the Digital Operational Resilience Act (DORA) enforcement timeline, requiring investor services firms to demonstrate full ICT third-party risk management compliance by the end of Q2 2026. The competitive landscape remains dynamic, with State Street completing its acquisition of a European fund administration platform and BNY announcing a strategic partnership with a tokenisation infrastructure provider, underscoring the accelerating convergence of traditional custody and digital asset servicing. RBC Investor Services should prioritise client outreach on tariff-related FX hedging strategies, DORA readiness assurance, and capacity planning for heightened settlement volumes as portfolio rebalancing intensifies.</w:t>
      </w:r>
    </w:p>
    <w:p>
      <w:pPr>
        <w:spacing w:before="240" w:after="80"/>
        <w:pBdr>
          <w:bottom w:val="single" w:sz="6" w:space="1" w:color="00429B"/>
        </w:pBdr>
      </w:pPr>
      <w:r>
        <w:rPr>
          <w:rFonts w:ascii="Calibri" w:hAnsi="Calibri"/>
          <w:b/>
          <w:color w:val="00429B"/>
          <w:sz w:val="26"/>
        </w:rPr>
        <w:t>2. MARKET AND MACRO ENVIRONMENT</w:t>
      </w:r>
    </w:p>
    <w:p>
      <w:pPr>
        <w:spacing w:after="60"/>
      </w:pPr>
      <w:r>
        <w:rPr>
          <w:rFonts w:ascii="Calibri" w:hAnsi="Calibri"/>
          <w:sz w:val="21"/>
        </w:rPr>
        <w:t>The S and P 500 has declined approximately 4 percent month-to-date through 21 March, driven by tariff escalation fears and a rotation out of US mega-cap technology names; the EURO STOXX 50 has fallen roughly 3 percent on reciprocal trade concerns, while the Nikkei 225 is down approximately 5 percent as yen strength pressures export-oriented sectors.</w:t>
      </w:r>
    </w:p>
    <w:p>
      <w:pPr>
        <w:spacing w:after="60"/>
      </w:pPr>
      <w:r>
        <w:rPr>
          <w:rFonts w:ascii="Calibri" w:hAnsi="Calibri"/>
          <w:sz w:val="21"/>
        </w:rPr>
        <w:t>US 10-year Treasury yields have rallied (prices up) to approximately 3.85 percent from 4.05 percent at end-February, as fixed income markets price in a more cautious Federal Reserve and potential growth slowdown; German 10-year Bund yields have similarly declined to near 2.25 percent.</w:t>
      </w:r>
    </w:p>
    <w:p>
      <w:pPr>
        <w:spacing w:after="60"/>
      </w:pPr>
      <w:r>
        <w:rPr>
          <w:rFonts w:ascii="Calibri" w:hAnsi="Calibri"/>
          <w:sz w:val="21"/>
        </w:rPr>
        <w:t>The Federal Reserve held rates steady at 4.25-4.50 percent at its 18-19 March FOMC meeting, with Chair Powell emphasising data dependency and flagging tariff-related inflation uncertainty; the Bank of Canada also held at 3.00 percent, citing housing market resilience but external demand risks.</w:t>
      </w:r>
    </w:p>
    <w:p>
      <w:pPr>
        <w:spacing w:after="60"/>
      </w:pPr>
      <w:r>
        <w:rPr>
          <w:rFonts w:ascii="Calibri" w:hAnsi="Calibri"/>
          <w:sz w:val="21"/>
        </w:rPr>
        <w:t>The Canadian dollar has weakened to approximately 1.39 USD/CAD, a nearly 2 percent depreciation month-to-date, as commodity prices (ex-gold) have softened and risk sentiment has deteriorated — this directly impacts Canadian institutional clients with unhedged USD-denominated holdings.</w:t>
      </w:r>
    </w:p>
    <w:p>
      <w:pPr>
        <w:spacing w:after="60"/>
      </w:pPr>
      <w:r>
        <w:rPr>
          <w:rFonts w:ascii="Calibri" w:hAnsi="Calibri"/>
          <w:sz w:val="21"/>
        </w:rPr>
        <w:t>Gold has surged past USD 3,100 per ounce, up roughly 5 percent in March alone, reflecting haven demand and central bank purchasing; Brent crude has slipped to approximately USD 72 per barrel amid global demand concerns.</w:t>
      </w:r>
    </w:p>
    <w:p>
      <w:pPr>
        <w:spacing w:after="60"/>
      </w:pPr>
      <w:r>
        <w:rPr>
          <w:rFonts w:ascii="Calibri" w:hAnsi="Calibri"/>
          <w:sz w:val="21"/>
        </w:rPr>
        <w:t>Credit spreads have widened modestly — US investment grade CDS indices are approximately 10-15 basis points wider on the month — increasing the importance of counterparty credit monitoring for securities lending and OTC derivatives collateral programs.</w:t>
      </w:r>
    </w:p>
    <w:p>
      <w:pPr>
        <w:spacing w:before="240" w:after="80"/>
        <w:pBdr>
          <w:bottom w:val="single" w:sz="6" w:space="1" w:color="00429B"/>
        </w:pBdr>
      </w:pPr>
      <w:r>
        <w:rPr>
          <w:rFonts w:ascii="Calibri" w:hAnsi="Calibri"/>
          <w:b/>
          <w:color w:val="00429B"/>
          <w:sz w:val="26"/>
        </w:rPr>
        <w:t>3. REGULATORY AND POLICY DEVELOPMENTS</w:t>
      </w:r>
    </w:p>
    <w:p>
      <w:pPr>
        <w:spacing w:after="60"/>
      </w:pPr>
      <w:r>
        <w:rPr>
          <w:rFonts w:ascii="Calibri" w:hAnsi="Calibri"/>
          <w:sz w:val="21"/>
        </w:rPr>
        <w:t>The SEC published final amendments to Form PF on 7 March, expanding quarterly reporting obligations for private fund advisers with AUM above USD 1.5 billion and requiring more granular data on portfolio liquidity, leverage, and counterparty exposures; fund administrators servicing US-registered private funds must update data capture and reporting systems by 30 September 2026.</w:t>
      </w:r>
    </w:p>
    <w:p>
      <w:pPr>
        <w:spacing w:after="60"/>
      </w:pPr>
      <w:r>
        <w:rPr>
          <w:rFonts w:ascii="Calibri" w:hAnsi="Calibri"/>
          <w:sz w:val="21"/>
        </w:rPr>
        <w:t>ESMA released its final Technical Standards under the Digital Operational Resilience Act (DORA), confirming that all in-scope financial entities, including custodians, fund administrators, and CSDs operating in the EU, must demonstrate full compliance with ICT third-party risk management and incident reporting frameworks by 30 June 2026 — an acceleration from earlier informal guidance suggesting year-end.</w:t>
      </w:r>
    </w:p>
    <w:p>
      <w:pPr>
        <w:spacing w:after="60"/>
      </w:pPr>
      <w:r>
        <w:rPr>
          <w:rFonts w:ascii="Calibri" w:hAnsi="Calibri"/>
          <w:sz w:val="21"/>
        </w:rPr>
        <w:t>The FCA issued Consultation Paper CP26/4 on 12 March proposing enhanced operational resilience disclosure requirements for UK-based asset servicers, including mandatory annual publication of important business service recovery metrics; responses are due 30 June 2026.</w:t>
      </w:r>
    </w:p>
    <w:p>
      <w:pPr>
        <w:spacing w:after="60"/>
      </w:pPr>
      <w:r>
        <w:rPr>
          <w:rFonts w:ascii="Calibri" w:hAnsi="Calibri"/>
          <w:sz w:val="21"/>
        </w:rPr>
        <w:t>The CSSF in Luxembourg published Circular 26/894 updating its AML/KYC guidance for fund service providers, introducing stricter beneficial ownership verification requirements for non-EU investors in UCITS and AIFs, effective 1 July 2026 — this has direct implications for transfer agency operations.</w:t>
      </w:r>
    </w:p>
    <w:p>
      <w:pPr>
        <w:spacing w:after="60"/>
      </w:pPr>
      <w:r>
        <w:rPr>
          <w:rFonts w:ascii="Calibri" w:hAnsi="Calibri"/>
          <w:sz w:val="21"/>
        </w:rPr>
        <w:t>The Canadian Securities Administrators (CSA) and the Ontario Securities Commission (OSC) jointly released a staff notice on 5 March providing further guidance on crypto-asset custody standards for registered dealers and fund managers, aligning more closely with IOSCO recommendations on digital asset safekeeping and segregation.</w:t>
      </w:r>
    </w:p>
    <w:p>
      <w:pPr>
        <w:spacing w:after="60"/>
      </w:pPr>
      <w:r>
        <w:rPr>
          <w:rFonts w:ascii="Calibri" w:hAnsi="Calibri"/>
          <w:sz w:val="21"/>
        </w:rPr>
        <w:t>The Basel Committee on Banking Supervision confirmed that the revised crypto-asset prudential framework (finalised in late 2025) will take effect on 1 January 2027, giving custodian banks a narrowing window to classify digital asset exposures and calibrate capital charges accordingly.</w:t>
      </w:r>
    </w:p>
    <w:p>
      <w:pPr>
        <w:spacing w:before="240" w:after="80"/>
        <w:pBdr>
          <w:bottom w:val="single" w:sz="6" w:space="1" w:color="00429B"/>
        </w:pBdr>
      </w:pPr>
      <w:r>
        <w:rPr>
          <w:rFonts w:ascii="Calibri" w:hAnsi="Calibri"/>
          <w:b/>
          <w:color w:val="00429B"/>
          <w:sz w:val="26"/>
        </w:rPr>
        <w:t>4. INDUSTRY AND COMPETITIVE LANDSCAPE</w:t>
      </w:r>
    </w:p>
    <w:p>
      <w:pPr>
        <w:spacing w:after="60"/>
      </w:pPr>
      <w:r>
        <w:rPr>
          <w:rFonts w:ascii="Calibri" w:hAnsi="Calibri"/>
          <w:sz w:val="21"/>
        </w:rPr>
        <w:t>BNY announced on 10 March a strategic partnership with a leading tokenisation infrastructure firm to offer institutional clients end-to-end custody, settlement, and reporting for tokenised money market funds and US Treasury instruments, positioning BNY as the first global custodian to integrate native tokenisation into its core platform at scale.</w:t>
      </w:r>
    </w:p>
    <w:p>
      <w:pPr>
        <w:spacing w:after="60"/>
      </w:pPr>
      <w:r>
        <w:rPr>
          <w:rFonts w:ascii="Calibri" w:hAnsi="Calibri"/>
          <w:sz w:val="21"/>
        </w:rPr>
        <w:t>State Street completed the acquisition of Vistra Fund Management Services' European fund administration business (first announced in Q4 2025) for an estimated EUR 350 million, adding approximately EUR 60 billion in administered assets across Luxembourg, Ireland, and the Netherlands and strengthening its continental European footprint.</w:t>
      </w:r>
    </w:p>
    <w:p>
      <w:pPr>
        <w:spacing w:after="60"/>
      </w:pPr>
      <w:r>
        <w:rPr>
          <w:rFonts w:ascii="Calibri" w:hAnsi="Calibri"/>
          <w:sz w:val="21"/>
        </w:rPr>
        <w:t>Northern Trust expanded its front-to-back outsourcing proposition through a deepened alliance with Bloomberg, integrating Bloomberg AIM order management data directly into Northern Trust's middle-office processing and NAV engine, targeting asset managers seeking consolidated technology stacks.</w:t>
      </w:r>
    </w:p>
    <w:p>
      <w:pPr>
        <w:spacing w:after="60"/>
      </w:pPr>
      <w:r>
        <w:rPr>
          <w:rFonts w:ascii="Calibri" w:hAnsi="Calibri"/>
          <w:sz w:val="21"/>
        </w:rPr>
        <w:t>HSBC Securities Services launched a digital-native ESG data analytics module within its custody reporting suite, drawing on third-party climate data providers and proprietary AI models to offer institutional investors portfolio-level Scope 3 emissions attribution and SFDR reporting — a direct competitive response to BNP Paribas Securities Services' similar offering launched in Q1 2026.</w:t>
      </w:r>
    </w:p>
    <w:p>
      <w:pPr>
        <w:spacing w:after="60"/>
      </w:pPr>
      <w:r>
        <w:rPr>
          <w:rFonts w:ascii="Calibri" w:hAnsi="Calibri"/>
          <w:sz w:val="21"/>
        </w:rPr>
        <w:t>Citi Securities Services announced the expansion of its tri-party collateral management service to cover digital government bond tokens issued on permissioned DLT networks, making Citi the second major custodian after BNY to formally support tokenised collateral mobility.</w:t>
      </w:r>
    </w:p>
    <w:p>
      <w:pPr>
        <w:spacing w:after="60"/>
      </w:pPr>
      <w:r>
        <w:rPr>
          <w:rFonts w:ascii="Calibri" w:hAnsi="Calibri"/>
          <w:sz w:val="21"/>
        </w:rPr>
        <w:t>In FinTech, Taurus (Swiss-headquartered digital asset infrastructure firm) raised a USD 100 million Series C round led by a consortium including Deutsche Bank and SBI Holdings, signalling growing bank appetite for white-label tokenisation and digital custody technology.</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Trade policy escalation and tariff contagion</w:t>
            </w:r>
          </w:p>
        </w:tc>
        <w:tc>
          <w:tcPr>
            <w:tcW w:type="dxa" w:w="2437"/>
          </w:tcPr>
          <w:p>
            <w:pPr>
              <w:spacing w:after="40" w:before="40"/>
            </w:pPr>
            <w:r>
              <w:rPr>
                <w:rFonts w:ascii="Calibri" w:hAnsi="Calibri"/>
                <w:b w:val="0"/>
                <w:sz w:val="20"/>
              </w:rPr>
              <w:t>MARKET</w:t>
            </w:r>
          </w:p>
        </w:tc>
        <w:tc>
          <w:tcPr>
            <w:tcW w:type="dxa" w:w="2437"/>
          </w:tcPr>
          <w:p>
            <w:pPr>
              <w:spacing w:after="40" w:before="40"/>
            </w:pPr>
            <w:r>
              <w:rPr>
                <w:rFonts w:ascii="Calibri" w:hAnsi="Calibri"/>
                <w:b w:val="0"/>
                <w:sz w:val="20"/>
              </w:rPr>
              <w:t>Broadened US tariff regime effective 1 April risks triggering retaliatory measures from the EU and Asia-Pacific, increasing equity volatility, FX dislocation, and cross-border settlement complexity.</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DORA compliance deadline pressure</w:t>
            </w:r>
          </w:p>
        </w:tc>
        <w:tc>
          <w:tcPr>
            <w:tcW w:type="dxa" w:w="2437"/>
            <w:shd w:val="clear" w:color="auto" w:fill="EEF3FA"/>
          </w:tcPr>
          <w:p>
            <w:pPr>
              <w:spacing w:after="40" w:before="40"/>
            </w:pPr>
            <w:r>
              <w:rPr>
                <w:rFonts w:ascii="Calibri" w:hAnsi="Calibri"/>
                <w:b w:val="0"/>
                <w:sz w:val="20"/>
              </w:rPr>
              <w:t>REGULATORY</w:t>
            </w:r>
          </w:p>
        </w:tc>
        <w:tc>
          <w:tcPr>
            <w:tcW w:type="dxa" w:w="2437"/>
            <w:shd w:val="clear" w:color="auto" w:fill="EEF3FA"/>
          </w:tcPr>
          <w:p>
            <w:pPr>
              <w:spacing w:after="40" w:before="40"/>
            </w:pPr>
            <w:r>
              <w:rPr>
                <w:rFonts w:ascii="Calibri" w:hAnsi="Calibri"/>
                <w:b w:val="0"/>
                <w:sz w:val="20"/>
              </w:rPr>
              <w:t>Accelerated ESMA enforcement timeline for ICT risk management and incident reporting by 30 June 2026 compresses implementation windows for EU-operating custodians and fund administrators.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Counterparty credit spread widening</w:t>
            </w:r>
          </w:p>
        </w:tc>
        <w:tc>
          <w:tcPr>
            <w:tcW w:type="dxa" w:w="2437"/>
          </w:tcPr>
          <w:p>
            <w:pPr>
              <w:spacing w:after="40" w:before="40"/>
            </w:pPr>
            <w:r>
              <w:rPr>
                <w:rFonts w:ascii="Calibri" w:hAnsi="Calibri"/>
                <w:b w:val="0"/>
                <w:sz w:val="20"/>
              </w:rPr>
              <w:t>CREDIT</w:t>
            </w:r>
          </w:p>
        </w:tc>
        <w:tc>
          <w:tcPr>
            <w:tcW w:type="dxa" w:w="2437"/>
          </w:tcPr>
          <w:p>
            <w:pPr>
              <w:spacing w:after="40" w:before="40"/>
            </w:pPr>
            <w:r>
              <w:rPr>
                <w:rFonts w:ascii="Calibri" w:hAnsi="Calibri"/>
                <w:b w:val="0"/>
                <w:sz w:val="20"/>
              </w:rPr>
              <w:t>Modest but persistent widening in IG and HY credit spreads raises collateral call frequency in securities lending and derivatives programs, straining operational capacity.</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Ransomware and supply-chain cyber threats</w:t>
            </w:r>
          </w:p>
        </w:tc>
        <w:tc>
          <w:tcPr>
            <w:tcW w:type="dxa" w:w="2437"/>
            <w:shd w:val="clear" w:color="auto" w:fill="EEF3FA"/>
          </w:tcPr>
          <w:p>
            <w:pPr>
              <w:spacing w:after="40" w:before="40"/>
            </w:pPr>
            <w:r>
              <w:rPr>
                <w:rFonts w:ascii="Calibri" w:hAnsi="Calibri"/>
                <w:b w:val="0"/>
                <w:sz w:val="20"/>
              </w:rPr>
              <w:t>CYBER</w:t>
            </w:r>
          </w:p>
        </w:tc>
        <w:tc>
          <w:tcPr>
            <w:tcW w:type="dxa" w:w="2437"/>
            <w:shd w:val="clear" w:color="auto" w:fill="EEF3FA"/>
          </w:tcPr>
          <w:p>
            <w:pPr>
              <w:spacing w:after="40" w:before="40"/>
            </w:pPr>
            <w:r>
              <w:rPr>
                <w:rFonts w:ascii="Calibri" w:hAnsi="Calibri"/>
                <w:b w:val="0"/>
                <w:sz w:val="20"/>
              </w:rPr>
              <w:t>Coordinated ransomware campaigns targeting financial infrastructure vendors have intensified in Q1 2026, with multiple third-party data providers reporting attempted breaches.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Canadian dollar depreciation and hedging costs</w:t>
            </w:r>
          </w:p>
        </w:tc>
        <w:tc>
          <w:tcPr>
            <w:tcW w:type="dxa" w:w="2437"/>
          </w:tcPr>
          <w:p>
            <w:pPr>
              <w:spacing w:after="40" w:before="40"/>
            </w:pPr>
            <w:r>
              <w:rPr>
                <w:rFonts w:ascii="Calibri" w:hAnsi="Calibri"/>
                <w:b w:val="0"/>
                <w:sz w:val="20"/>
              </w:rPr>
              <w:t>LIQUIDITY</w:t>
            </w:r>
          </w:p>
        </w:tc>
        <w:tc>
          <w:tcPr>
            <w:tcW w:type="dxa" w:w="2437"/>
          </w:tcPr>
          <w:p>
            <w:pPr>
              <w:spacing w:after="40" w:before="40"/>
            </w:pPr>
            <w:r>
              <w:rPr>
                <w:rFonts w:ascii="Calibri" w:hAnsi="Calibri"/>
                <w:b w:val="0"/>
                <w:sz w:val="20"/>
              </w:rPr>
              <w:t>Weakening CAD increases the cost and margin requirements for FX hedging programs used by Canadian pension funds and asset managers with global portfolios, pressuring liquidity buffers.</w:t>
            </w:r>
          </w:p>
        </w:tc>
        <w:tc>
          <w:tcPr>
            <w:tcW w:type="dxa" w:w="2437"/>
          </w:tcPr>
          <w:p>
            <w:pPr>
              <w:spacing w:after="40" w:before="40"/>
            </w:pPr>
            <w:r>
              <w:rPr>
                <w:rFonts w:ascii="Calibri" w:hAnsi="Calibri"/>
                <w:b/>
                <w:color w:val="CC0000"/>
                <w:sz w:val="20"/>
              </w:rPr>
              <w:t>↑ INCREASING</w:t>
            </w:r>
          </w:p>
        </w:tc>
      </w:tr>
    </w:tbl>
    <w:p>
      <w:pPr>
        <w:spacing w:before="240" w:after="80"/>
        <w:pBdr>
          <w:bottom w:val="single" w:sz="6" w:space="1" w:color="00429B"/>
        </w:pBdr>
      </w:pPr>
      <w:r>
        <w:rPr>
          <w:rFonts w:ascii="Calibri" w:hAnsi="Calibri"/>
          <w:b/>
          <w:color w:val="00429B"/>
          <w:sz w:val="26"/>
        </w:rPr>
        <w:t>6. TECHNOLOGY AND DIGITAL ASSETS</w:t>
      </w:r>
    </w:p>
    <w:p>
      <w:pPr>
        <w:spacing w:after="60"/>
      </w:pPr>
      <w:r>
        <w:rPr>
          <w:rFonts w:ascii="Calibri" w:hAnsi="Calibri"/>
          <w:sz w:val="21"/>
        </w:rPr>
        <w:t>AI adoption in fund administration continues to accelerate: multiple Tier 1 administrators have moved large language model-driven NAV exception management from pilot to production environments, with reported reductions of 30-40 percent in manual reconciliation interventions; RBC IS peers are investing heavily in AI-augmented transfer agency query handling and regulatory document extraction.</w:t>
      </w:r>
    </w:p>
    <w:p>
      <w:pPr>
        <w:spacing w:after="60"/>
      </w:pPr>
      <w:r>
        <w:rPr>
          <w:rFonts w:ascii="Calibri" w:hAnsi="Calibri"/>
          <w:sz w:val="21"/>
        </w:rPr>
        <w:t>The tokenisation of money market funds and government bonds has moved from proof-of-concept to live issuance, with Franklin Templeton, BlackRock, and now BNY-facilitated products collectively surpassing USD 5 billion in tokenised fund AUM globally — raising urgent questions about custodians' readiness to support hybrid traditional and on-chain asset servicing.</w:t>
      </w:r>
    </w:p>
    <w:p>
      <w:pPr>
        <w:spacing w:after="60"/>
      </w:pPr>
      <w:r>
        <w:rPr>
          <w:rFonts w:ascii="Calibri" w:hAnsi="Calibri"/>
          <w:sz w:val="21"/>
        </w:rPr>
        <w:t>SWIFT's multi-phase interlinking experiment connecting private DLT networks and legacy payment rails has entered Phase 3 testing with over 15 global banks participating, targeting interoperability for cross-border tokenised asset transfers; results are expected to inform SWIFT's product roadmap announcement at Sibos 2026 in October.</w:t>
      </w:r>
    </w:p>
    <w:p>
      <w:pPr>
        <w:spacing w:after="60"/>
      </w:pPr>
      <w:r>
        <w:rPr>
          <w:rFonts w:ascii="Calibri" w:hAnsi="Calibri"/>
          <w:sz w:val="21"/>
        </w:rPr>
        <w:t>T plus 1 settlement in the US (effective since May 2024) has now generated 10 months of operational data, with DTCC reporting a sustained settlement efficiency rate above 96 percent; European policymakers continue to debate an EU T plus 1 migration target, with the latest ESMA discussion paper suggesting a phased implementation beginning Q4 2027.</w:t>
      </w:r>
    </w:p>
    <w:p>
      <w:pPr>
        <w:spacing w:after="60"/>
      </w:pPr>
      <w:r>
        <w:rPr>
          <w:rFonts w:ascii="Calibri" w:hAnsi="Calibri"/>
          <w:sz w:val="21"/>
        </w:rPr>
        <w:t>Cyber threats to securities services infrastructure remain elevated: the Financial Services Information Sharing and Analysis Center (FS-ISAC) issued a flash alert on 14 March warning of a sophisticated phishing campaign impersonating fund accounting platform login portals, targeting operational staff at custodian banks and administrators across North America and Europe.</w:t>
      </w:r>
    </w:p>
    <w:p>
      <w:pPr>
        <w:spacing w:after="60"/>
      </w:pPr>
      <w:r>
        <w:rPr>
          <w:rFonts w:ascii="Calibri" w:hAnsi="Calibri"/>
          <w:sz w:val="21"/>
        </w:rPr>
        <w:t>The Monetary Authority of Singapore (MAS) announced on 18 March that its Project Guardian initiative will extend to institutional-grade custody standards for tokenised equities and fixed income, with regulatory sandbox applications open through May 2026 — presenting potential opportunities for custodians seeking first-mover advantage in the APAC digital asset servicing market.</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Effective date of expanded US tariff regime on EU and Asia-Pacific imports; potential for retaliatory measures and immediate market volatility.</w:t>
      </w:r>
    </w:p>
    <w:p>
      <w:pPr>
        <w:spacing w:after="60"/>
      </w:pPr>
      <w:r>
        <w:rPr>
          <w:rFonts w:ascii="Calibri" w:hAnsi="Calibri"/>
          <w:sz w:val="21"/>
        </w:rPr>
        <w:t>02 Apr — ECB Governing Council interest rate decision; markets currently pricing a 25 basis point cut to 2.25 percent.</w:t>
      </w:r>
    </w:p>
    <w:p>
      <w:pPr>
        <w:spacing w:after="60"/>
      </w:pPr>
      <w:r>
        <w:rPr>
          <w:rFonts w:ascii="Calibri" w:hAnsi="Calibri"/>
          <w:sz w:val="21"/>
        </w:rPr>
        <w:t>04 Apr — US non-farm payrolls report for March; key input for Federal Reserve rate path expectations.</w:t>
      </w:r>
    </w:p>
    <w:p>
      <w:pPr>
        <w:spacing w:after="60"/>
      </w:pPr>
      <w:r>
        <w:rPr>
          <w:rFonts w:ascii="Calibri" w:hAnsi="Calibri"/>
          <w:sz w:val="21"/>
        </w:rPr>
        <w:t>07-09 Apr — FundForum International (Luxembourg); major conference for fund administration, distribution, and regulatory topics with significant custodian and asset servicer attendance.</w:t>
      </w:r>
    </w:p>
    <w:p>
      <w:pPr>
        <w:spacing w:after="60"/>
      </w:pPr>
      <w:r>
        <w:rPr>
          <w:rFonts w:ascii="Calibri" w:hAnsi="Calibri"/>
          <w:sz w:val="21"/>
        </w:rPr>
        <w:t>15 Apr — US corporate tax filing deadline; elevated cash and treasury management activity across institutional client base.</w:t>
      </w:r>
    </w:p>
    <w:p>
      <w:pPr>
        <w:spacing w:after="60"/>
      </w:pPr>
      <w:r>
        <w:rPr>
          <w:rFonts w:ascii="Calibri" w:hAnsi="Calibri"/>
          <w:sz w:val="21"/>
        </w:rPr>
        <w:t>22-23 Apr — Bank of Canada interest rate decision and Monetary Policy Report; critical for CAD-denominated asset servicing clients.</w:t>
      </w:r>
    </w:p>
    <w:p>
      <w:pPr>
        <w:spacing w:after="60"/>
      </w:pPr>
      <w:r>
        <w:rPr>
          <w:rFonts w:ascii="Calibri" w:hAnsi="Calibri"/>
          <w:sz w:val="21"/>
        </w:rPr>
        <w:t>28-29 Apr — ISDA Annual General Meeting (Madrid); expected focus on collateral automation, digital asset derivatives, and post-trade reform.</w:t>
      </w:r>
    </w:p>
    <w:p>
      <w:pPr>
        <w:spacing w:after="60"/>
      </w:pPr>
      <w:r>
        <w:rPr>
          <w:rFonts w:ascii="Calibri" w:hAnsi="Calibri"/>
          <w:sz w:val="21"/>
        </w:rPr>
        <w:t>30 Apr — EU DORA compliance interim milestone: national competent authorities expected to publish final supervisory expectations for ICT third-party risk registers.</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US Tariff Escalation and Impact on Canadian Institutional Portfolios</w:t>
      </w:r>
    </w:p>
    <w:p>
      <w:pPr>
        <w:spacing w:after="60"/>
      </w:pPr>
      <w:r>
        <w:rPr>
          <w:rFonts w:ascii="Calibri" w:hAnsi="Calibri"/>
          <w:sz w:val="21"/>
        </w:rPr>
        <w:t>The broadened US tariff regime taking effect 1 April, targeting EU and Asia-Pacific goods with duties of 10-25 percent, is expected to disrupt global supply chains, depress earnings forecasts for internationally exposed equities, and increase import cost inflation. Canadian pension funds and asset managers with significant allocations to US-listed multinationals, European industrials, and Asian exporters face potential mark-to-market losses of 3-7 percent in affected sectors, increased tracking error against benchmarks, and elevated FX hedging costs as CAD volatility rises. RBC IS senior management should initiate proactive client outreach to review FX hedging overlay programs, stress-test currency exposure under adverse tariff scenarios, and ensure that trade settlement desks are staffed for potential surge volumes associated with portfolio rebalancing activity in the first two weeks of April.</w:t>
      </w:r>
    </w:p>
    <w:p>
      <w:pPr>
        <w:spacing w:after="60"/>
      </w:pPr>
      <w:r>
        <w:rPr>
          <w:rFonts w:ascii="Calibri" w:hAnsi="Calibri"/>
          <w:sz w:val="21"/>
        </w:rPr>
        <w:t>Theme 2: DORA Compliance and Operational Resilience for European-Domiciled Assets</w:t>
      </w:r>
    </w:p>
    <w:p>
      <w:pPr>
        <w:spacing w:after="60"/>
      </w:pPr>
      <w:r>
        <w:rPr>
          <w:rFonts w:ascii="Calibri" w:hAnsi="Calibri"/>
          <w:sz w:val="21"/>
        </w:rPr>
        <w:t>ESMA's acceleration of the DORA enforcement timeline to 30 June 2026 directly affects any Canadian institutional client with European-domiciled fund holdings serviced through Luxembourg, Ireland, or other EU jurisdictions, requiring their service providers — including RBC IS — to demonstrate full compliance with ICT risk management, incident reporting, and third-party vendor oversight frameworks. Large Canadian pension plans and insurers with UCITS, AIFs, or segregated mandates administered in the EU could face service disruptions or regulatory scrutiny if their custodian or administrator cannot evidence compliance. RBC IS senior management should convene an internal DORA readiness review within the next two weeks, confirm the status of all ICT third-party risk registers and contractual provisions, and prepare a client-facing attestation letter template confirming RBC IS compliance posture ahead of the 30 June deadline.</w:t>
      </w:r>
    </w:p>
    <w:p>
      <w:pPr>
        <w:spacing w:after="60"/>
      </w:pPr>
      <w:r>
        <w:rPr>
          <w:rFonts w:ascii="Calibri" w:hAnsi="Calibri"/>
          <w:sz w:val="21"/>
        </w:rPr>
        <w:t>Theme 3: Canadian Dollar Weakness and Rising FX Hedging Costs</w:t>
      </w:r>
    </w:p>
    <w:p>
      <w:pPr>
        <w:spacing w:after="60"/>
      </w:pPr>
      <w:r>
        <w:rPr>
          <w:rFonts w:ascii="Calibri" w:hAnsi="Calibri"/>
          <w:sz w:val="21"/>
        </w:rPr>
        <w:t>The Canadian dollar has depreciated approximately 2 percent against the US dollar in March and nearly 5 percent year-to-date, reflecting softening commodity prices (ex-gold), widening US-Canada rate differentials, and deteriorating risk sentiment, while forward points and option premiums for CAD hedging have increased materially. Canadian institutional clients with significant unhedged foreign currency exposure — particularly US dollar and euro-denominated fixed income and equity holdings — face an erosion of domestic-currency returns and potential breaches of policy hedge ratios, while those with active hedging programs are absorbing higher roll costs that compress net investment returns. RBC IS senior management should task the FX execution and reporting teams to prepare a comprehensive CAD exposure and hedge cost analysis for the top 25 clients by AUM, flag any clients approaching hedge ratio policy limits, and schedule advisory calls to discuss potential adjustments to hedging strategies including tenor extension, option collar structures, or partial de-hedging to manage cost-return trade-offs.</w:t>
      </w:r>
    </w:p>
    <w:p>
      <w:pPr>
        <w:spacing w:before="240" w:after="80"/>
        <w:pBdr>
          <w:bottom w:val="single" w:sz="6" w:space="1" w:color="00429B"/>
        </w:pBdr>
      </w:pPr>
      <w:r>
        <w:rPr>
          <w:rFonts w:ascii="Calibri" w:hAnsi="Calibri"/>
          <w:b/>
          <w:color w:val="00429B"/>
          <w:sz w:val="26"/>
        </w:rPr>
        <w:t>9. TECHNOLOGY VENDOR LANDSCAPE</w:t>
      </w:r>
    </w:p>
    <w:p>
      <w:pPr>
        <w:spacing w:after="60"/>
      </w:pPr>
      <w:r>
        <w:rPr>
          <w:rFonts w:ascii="Calibri" w:hAnsi="Calibri"/>
          <w:sz w:val="21"/>
        </w:rPr>
        <w:t>SimCorp (now a Deutsche Boerse subsidiary) released SimCorp Dimension version 7.2 in early March, featuring enhanced support for tokenised asset classes in the investment book of record (IBOR) and expanded ESG data integration with third-party providers; the upgrade is positioned to help buy-side clients meet SFDR and SEC climate disclosure requirements while managing hybrid traditional and digital portfolios.</w:t>
      </w:r>
    </w:p>
    <w:p>
      <w:pPr>
        <w:spacing w:after="60"/>
      </w:pPr>
      <w:r>
        <w:rPr>
          <w:rFonts w:ascii="Calibri" w:hAnsi="Calibri"/>
          <w:sz w:val="21"/>
        </w:rPr>
        <w:t>SS&amp;C Technologies announced a strategic partnership with Microsoft Azure to accelerate AI-powered fund accounting automation, embedding Azure OpenAI Service capabilities into SS&amp;C's GlobeOp and Advent platforms for intelligent NAV exception handling, document extraction, and investor query routing; the initiative targets a 25 percent reduction in manual fund administration processing by year-end.</w:t>
      </w:r>
    </w:p>
    <w:p>
      <w:pPr>
        <w:spacing w:after="60"/>
      </w:pPr>
      <w:r>
        <w:rPr>
          <w:rFonts w:ascii="Calibri" w:hAnsi="Calibri"/>
          <w:sz w:val="21"/>
        </w:rPr>
        <w:t>Broadridge expanded its distributed ledger-based repo platform (initially launched in 2024) to support tri-party tokenised collateral workflows, processing an estimated USD 1 trillion in monthly repo volumes on DLT rails; the firm also announced an upgraded data and analytics module within its post-trade suite to assist custodians with T plus 1 exception management.</w:t>
      </w:r>
    </w:p>
    <w:p>
      <w:pPr>
        <w:spacing w:after="60"/>
      </w:pPr>
      <w:r>
        <w:rPr>
          <w:rFonts w:ascii="Calibri" w:hAnsi="Calibri"/>
          <w:sz w:val="21"/>
        </w:rPr>
        <w:t>FIS Global completed the divestiture of its Worldpay merchant services unit (announced in late 2025), allowing the firm to refocus capital and R&amp;D on its capital markets and banking solutions businesses; in March, FIS launched an AI-driven reconciliation engine for its securities processing platform targeting mid-tier custodian banks and fund administrators.</w:t>
      </w:r>
    </w:p>
    <w:p>
      <w:pPr>
        <w:spacing w:after="60"/>
      </w:pPr>
      <w:r>
        <w:rPr>
          <w:rFonts w:ascii="Calibri" w:hAnsi="Calibri"/>
          <w:sz w:val="21"/>
        </w:rPr>
        <w:t>Charles River Development (an MSCI business) integrated its investment management solution (CRIMS) with Clearstream's collateral management platform, enabling automated margin call processing and collateral optimisation for asset managers using Charles River as their order and portfolio management system.</w:t>
      </w:r>
    </w:p>
    <w:p>
      <w:pPr>
        <w:spacing w:after="60"/>
      </w:pPr>
      <w:r>
        <w:rPr>
          <w:rFonts w:ascii="Calibri" w:hAnsi="Calibri"/>
          <w:sz w:val="21"/>
        </w:rPr>
        <w:t>SWIFT reported that its Transaction Manager service, central to the new ISO 20022 messaging standard, has achieved 85 percent adoption among major correspondent banks globally as of March 2026; SWIFT also advanced APIs for real-time securities settlement status tracking, directly relevant to custodian banks managing cross-border settlement workflows.</w:t>
      </w:r>
    </w:p>
    <w:p>
      <w:pPr>
        <w:spacing w:after="60"/>
      </w:pPr>
      <w:r>
        <w:rPr>
          <w:rFonts w:ascii="Calibri" w:hAnsi="Calibri"/>
          <w:sz w:val="21"/>
        </w:rPr>
        <w:t>Nasdaq Financial Technology (formerly Nasdaq Market Technology) launched a cloud-native post-trade surveillance module aimed at CSDs and custodians, leveraging machine learning to detect anomalous settlement patterns and potential market abuse in near real-time, responding to growing regulatory expectations under CSDR and DORA.</w:t>
      </w:r>
    </w:p>
    <w:p>
      <w:pPr>
        <w:spacing w:after="60"/>
      </w:pPr>
      <w:r>
        <w:rPr>
          <w:rFonts w:ascii="Calibri" w:hAnsi="Calibri"/>
          <w:sz w:val="21"/>
        </w:rPr>
        <w:t>Taskize, the inter-company workflow platform, announced a partnership with Euroclear to streamline cross-border settlement exception resolution, reducing average break resolution time from 48 hours to under 12 hours in pilot testing; the initiative is expected to be available to all Euroclear participants by Q3 2026.</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5,550</w:t>
            </w:r>
          </w:p>
        </w:tc>
        <w:tc>
          <w:tcPr>
            <w:tcW w:type="dxa" w:w="2437"/>
          </w:tcPr>
          <w:p>
            <w:pPr>
              <w:spacing w:after="40" w:before="40"/>
            </w:pPr>
            <w:r>
              <w:rPr>
                <w:rFonts w:ascii="Calibri" w:hAnsi="Calibri"/>
                <w:b w:val="0"/>
                <w:color w:val="CC0000"/>
                <w:sz w:val="20"/>
              </w:rPr>
              <w:t>-4.0%</w:t>
            </w:r>
          </w:p>
        </w:tc>
        <w:tc>
          <w:tcPr>
            <w:tcW w:type="dxa" w:w="2437"/>
          </w:tcPr>
          <w:p>
            <w:pPr>
              <w:spacing w:after="40" w:before="40"/>
            </w:pPr>
            <w:r>
              <w:rPr>
                <w:rFonts w:ascii="Calibri" w:hAnsi="Calibri"/>
                <w:b w:val="0"/>
                <w:color w:val="CC0000"/>
                <w:sz w:val="20"/>
              </w:rPr>
              <w:t>-3.5%</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8,300</w:t>
            </w:r>
          </w:p>
        </w:tc>
        <w:tc>
          <w:tcPr>
            <w:tcW w:type="dxa" w:w="2437"/>
            <w:shd w:val="clear" w:color="auto" w:fill="EEF3FA"/>
          </w:tcPr>
          <w:p>
            <w:pPr>
              <w:spacing w:after="40" w:before="40"/>
            </w:pPr>
            <w:r>
              <w:rPr>
                <w:rFonts w:ascii="Calibri" w:hAnsi="Calibri"/>
                <w:b w:val="0"/>
                <w:color w:val="CC0000"/>
                <w:sz w:val="20"/>
              </w:rPr>
              <w:t>-2.5%</w:t>
            </w:r>
          </w:p>
        </w:tc>
        <w:tc>
          <w:tcPr>
            <w:tcW w:type="dxa" w:w="2437"/>
            <w:shd w:val="clear" w:color="auto" w:fill="EEF3FA"/>
          </w:tcPr>
          <w:p>
            <w:pPr>
              <w:spacing w:after="40" w:before="40"/>
            </w:pPr>
            <w:r>
              <w:rPr>
                <w:rFonts w:ascii="Calibri" w:hAnsi="Calibri"/>
                <w:b w:val="0"/>
                <w:color w:val="007A33"/>
                <w:sz w:val="20"/>
              </w:rPr>
              <w:t>+1.0%</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4,850</w:t>
            </w:r>
          </w:p>
        </w:tc>
        <w:tc>
          <w:tcPr>
            <w:tcW w:type="dxa" w:w="2437"/>
          </w:tcPr>
          <w:p>
            <w:pPr>
              <w:spacing w:after="40" w:before="40"/>
            </w:pPr>
            <w:r>
              <w:rPr>
                <w:rFonts w:ascii="Calibri" w:hAnsi="Calibri"/>
                <w:b w:val="0"/>
                <w:color w:val="CC0000"/>
                <w:sz w:val="20"/>
              </w:rPr>
              <w:t>-3.0%</w:t>
            </w:r>
          </w:p>
        </w:tc>
        <w:tc>
          <w:tcPr>
            <w:tcW w:type="dxa" w:w="2437"/>
          </w:tcPr>
          <w:p>
            <w:pPr>
              <w:spacing w:after="40" w:before="40"/>
            </w:pPr>
            <w:r>
              <w:rPr>
                <w:rFonts w:ascii="Calibri" w:hAnsi="Calibri"/>
                <w:b w:val="0"/>
                <w:color w:val="007A33"/>
                <w:sz w:val="20"/>
              </w:rPr>
              <w:t>+2.0%</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37,000</w:t>
            </w:r>
          </w:p>
        </w:tc>
        <w:tc>
          <w:tcPr>
            <w:tcW w:type="dxa" w:w="2437"/>
            <w:shd w:val="clear" w:color="auto" w:fill="EEF3FA"/>
          </w:tcPr>
          <w:p>
            <w:pPr>
              <w:spacing w:after="40" w:before="40"/>
            </w:pPr>
            <w:r>
              <w:rPr>
                <w:rFonts w:ascii="Calibri" w:hAnsi="Calibri"/>
                <w:b w:val="0"/>
                <w:color w:val="CC0000"/>
                <w:sz w:val="20"/>
              </w:rPr>
              <w:t>-5.0%</w:t>
            </w:r>
          </w:p>
        </w:tc>
        <w:tc>
          <w:tcPr>
            <w:tcW w:type="dxa" w:w="2437"/>
            <w:shd w:val="clear" w:color="auto" w:fill="EEF3FA"/>
          </w:tcPr>
          <w:p>
            <w:pPr>
              <w:spacing w:after="40" w:before="40"/>
            </w:pPr>
            <w:r>
              <w:rPr>
                <w:rFonts w:ascii="Calibri" w:hAnsi="Calibri"/>
                <w:b w:val="0"/>
                <w:color w:val="CC0000"/>
                <w:sz w:val="20"/>
              </w:rPr>
              <w:t>-6.0%</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1.10</w:t>
            </w:r>
          </w:p>
        </w:tc>
        <w:tc>
          <w:tcPr>
            <w:tcW w:type="dxa" w:w="2437"/>
          </w:tcPr>
          <w:p>
            <w:pPr>
              <w:spacing w:after="40" w:before="40"/>
            </w:pPr>
            <w:r>
              <w:rPr>
                <w:rFonts w:ascii="Calibri" w:hAnsi="Calibri"/>
                <w:b w:val="0"/>
                <w:color w:val="007A33"/>
                <w:sz w:val="20"/>
              </w:rPr>
              <w:t>+1.5%</w:t>
            </w:r>
          </w:p>
        </w:tc>
        <w:tc>
          <w:tcPr>
            <w:tcW w:type="dxa" w:w="2437"/>
          </w:tcPr>
          <w:p>
            <w:pPr>
              <w:spacing w:after="40" w:before="40"/>
            </w:pPr>
            <w:r>
              <w:rPr>
                <w:rFonts w:ascii="Calibri" w:hAnsi="Calibri"/>
                <w:b w:val="0"/>
                <w:color w:val="007A33"/>
                <w:sz w:val="20"/>
              </w:rPr>
              <w:t>+3.0%</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1.30</w:t>
            </w:r>
          </w:p>
        </w:tc>
        <w:tc>
          <w:tcPr>
            <w:tcW w:type="dxa" w:w="2437"/>
            <w:shd w:val="clear" w:color="auto" w:fill="EEF3FA"/>
          </w:tcPr>
          <w:p>
            <w:pPr>
              <w:spacing w:after="40" w:before="40"/>
            </w:pPr>
            <w:r>
              <w:rPr>
                <w:rFonts w:ascii="Calibri" w:hAnsi="Calibri"/>
                <w:b w:val="0"/>
                <w:color w:val="007A33"/>
                <w:sz w:val="20"/>
              </w:rPr>
              <w:t>+1.0%</w:t>
            </w:r>
          </w:p>
        </w:tc>
        <w:tc>
          <w:tcPr>
            <w:tcW w:type="dxa" w:w="2437"/>
            <w:shd w:val="clear" w:color="auto" w:fill="EEF3FA"/>
          </w:tcPr>
          <w:p>
            <w:pPr>
              <w:spacing w:after="40" w:before="40"/>
            </w:pPr>
            <w:r>
              <w:rPr>
                <w:rFonts w:ascii="Calibri" w:hAnsi="Calibri"/>
                <w:b w:val="0"/>
                <w:color w:val="007A33"/>
                <w:sz w:val="20"/>
              </w:rPr>
              <w:t>+2.5%</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147</w:t>
            </w:r>
          </w:p>
        </w:tc>
        <w:tc>
          <w:tcPr>
            <w:tcW w:type="dxa" w:w="2437"/>
          </w:tcPr>
          <w:p>
            <w:pPr>
              <w:spacing w:after="40" w:before="40"/>
            </w:pPr>
            <w:r>
              <w:rPr>
                <w:rFonts w:ascii="Calibri" w:hAnsi="Calibri"/>
                <w:b w:val="0"/>
                <w:color w:val="CC0000"/>
                <w:sz w:val="20"/>
              </w:rPr>
              <w:t>-2.0%</w:t>
            </w:r>
          </w:p>
        </w:tc>
        <w:tc>
          <w:tcPr>
            <w:tcW w:type="dxa" w:w="2437"/>
          </w:tcPr>
          <w:p>
            <w:pPr>
              <w:spacing w:after="40" w:before="40"/>
            </w:pPr>
            <w:r>
              <w:rPr>
                <w:rFonts w:ascii="Calibri" w:hAnsi="Calibri"/>
                <w:b w:val="0"/>
                <w:color w:val="CC0000"/>
                <w:sz w:val="20"/>
              </w:rPr>
              <w:t>-3.5%</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3.85%</w:t>
            </w:r>
          </w:p>
        </w:tc>
        <w:tc>
          <w:tcPr>
            <w:tcW w:type="dxa" w:w="2437"/>
            <w:shd w:val="clear" w:color="auto" w:fill="EEF3FA"/>
          </w:tcPr>
          <w:p>
            <w:pPr>
              <w:spacing w:after="40" w:before="40"/>
            </w:pPr>
            <w:r>
              <w:rPr>
                <w:rFonts w:ascii="Calibri" w:hAnsi="Calibri"/>
                <w:b w:val="0"/>
                <w:color w:val="CC0000"/>
                <w:sz w:val="20"/>
              </w:rPr>
              <w:t>-20 bps</w:t>
            </w:r>
          </w:p>
        </w:tc>
        <w:tc>
          <w:tcPr>
            <w:tcW w:type="dxa" w:w="2437"/>
            <w:shd w:val="clear" w:color="auto" w:fill="EEF3FA"/>
          </w:tcPr>
          <w:p>
            <w:pPr>
              <w:spacing w:after="40" w:before="40"/>
            </w:pPr>
            <w:r>
              <w:rPr>
                <w:rFonts w:ascii="Calibri" w:hAnsi="Calibri"/>
                <w:b w:val="0"/>
                <w:color w:val="CC0000"/>
                <w:sz w:val="20"/>
              </w:rPr>
              <w:t>-40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2.25%</w:t>
            </w:r>
          </w:p>
        </w:tc>
        <w:tc>
          <w:tcPr>
            <w:tcW w:type="dxa" w:w="2437"/>
          </w:tcPr>
          <w:p>
            <w:pPr>
              <w:spacing w:after="40" w:before="40"/>
            </w:pPr>
            <w:r>
              <w:rPr>
                <w:rFonts w:ascii="Calibri" w:hAnsi="Calibri"/>
                <w:b w:val="0"/>
                <w:color w:val="CC0000"/>
                <w:sz w:val="20"/>
              </w:rPr>
              <w:t>-15 bps</w:t>
            </w:r>
          </w:p>
        </w:tc>
        <w:tc>
          <w:tcPr>
            <w:tcW w:type="dxa" w:w="2437"/>
          </w:tcPr>
          <w:p>
            <w:pPr>
              <w:spacing w:after="40" w:before="40"/>
            </w:pPr>
            <w:r>
              <w:rPr>
                <w:rFonts w:ascii="Calibri" w:hAnsi="Calibri"/>
                <w:b w:val="0"/>
                <w:color w:val="CC0000"/>
                <w:sz w:val="20"/>
              </w:rPr>
              <w:t>-10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72</w:t>
            </w:r>
          </w:p>
        </w:tc>
        <w:tc>
          <w:tcPr>
            <w:tcW w:type="dxa" w:w="2437"/>
            <w:shd w:val="clear" w:color="auto" w:fill="EEF3FA"/>
          </w:tcPr>
          <w:p>
            <w:pPr>
              <w:spacing w:after="40" w:before="40"/>
            </w:pPr>
            <w:r>
              <w:rPr>
                <w:rFonts w:ascii="Calibri" w:hAnsi="Calibri"/>
                <w:b w:val="0"/>
                <w:color w:val="CC0000"/>
                <w:sz w:val="20"/>
              </w:rPr>
              <w:t>-5.0%</w:t>
            </w:r>
          </w:p>
        </w:tc>
        <w:tc>
          <w:tcPr>
            <w:tcW w:type="dxa" w:w="2437"/>
            <w:shd w:val="clear" w:color="auto" w:fill="EEF3FA"/>
          </w:tcPr>
          <w:p>
            <w:pPr>
              <w:spacing w:after="40" w:before="40"/>
            </w:pPr>
            <w:r>
              <w:rPr>
                <w:rFonts w:ascii="Calibri" w:hAnsi="Calibri"/>
                <w:b w:val="0"/>
                <w:color w:val="CC0000"/>
                <w:sz w:val="20"/>
              </w:rPr>
              <w:t>-6.0%</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3,110</w:t>
            </w:r>
          </w:p>
        </w:tc>
        <w:tc>
          <w:tcPr>
            <w:tcW w:type="dxa" w:w="2437"/>
          </w:tcPr>
          <w:p>
            <w:pPr>
              <w:spacing w:after="40" w:before="40"/>
            </w:pPr>
            <w:r>
              <w:rPr>
                <w:rFonts w:ascii="Calibri" w:hAnsi="Calibri"/>
                <w:b w:val="0"/>
                <w:color w:val="007A33"/>
                <w:sz w:val="20"/>
              </w:rPr>
              <w:t>+5.0%</w:t>
            </w:r>
          </w:p>
        </w:tc>
        <w:tc>
          <w:tcPr>
            <w:tcW w:type="dxa" w:w="2437"/>
          </w:tcPr>
          <w:p>
            <w:pPr>
              <w:spacing w:after="40" w:before="40"/>
            </w:pPr>
            <w:r>
              <w:rPr>
                <w:rFonts w:ascii="Calibri" w:hAnsi="Calibri"/>
                <w:b w:val="0"/>
                <w:color w:val="007A33"/>
                <w:sz w:val="20"/>
              </w:rPr>
              <w:t>+18.0%</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22</w:t>
            </w:r>
          </w:p>
        </w:tc>
        <w:tc>
          <w:tcPr>
            <w:tcW w:type="dxa" w:w="2437"/>
            <w:shd w:val="clear" w:color="auto" w:fill="EEF3FA"/>
          </w:tcPr>
          <w:p>
            <w:pPr>
              <w:spacing w:after="40" w:before="40"/>
            </w:pPr>
            <w:r>
              <w:rPr>
                <w:rFonts w:ascii="Calibri" w:hAnsi="Calibri"/>
                <w:b w:val="0"/>
                <w:color w:val="007A33"/>
                <w:sz w:val="20"/>
              </w:rPr>
              <w:t>+6 pts</w:t>
            </w:r>
          </w:p>
        </w:tc>
        <w:tc>
          <w:tcPr>
            <w:tcW w:type="dxa" w:w="2437"/>
            <w:shd w:val="clear" w:color="auto" w:fill="EEF3FA"/>
          </w:tcPr>
          <w:p>
            <w:pPr>
              <w:spacing w:after="40" w:before="40"/>
            </w:pPr>
            <w:r>
              <w:rPr>
                <w:rFonts w:ascii="Calibri" w:hAnsi="Calibri"/>
                <w:b w:val="0"/>
                <w:color w:val="007A33"/>
                <w:sz w:val="20"/>
              </w:rPr>
              <w:t>+5 pts</w:t>
            </w:r>
          </w:p>
        </w:tc>
      </w:tr>
    </w:tbl>
    <w:p>
      <w:pPr>
        <w:spacing w:before="240" w:after="80"/>
        <w:pBdr>
          <w:bottom w:val="single" w:sz="6" w:space="1" w:color="00429B"/>
        </w:pBdr>
      </w:pPr>
      <w:r>
        <w:rPr>
          <w:rFonts w:ascii="Calibri" w:hAnsi="Calibri"/>
          <w:b/>
          <w:color w:val="00429B"/>
          <w:sz w:val="26"/>
        </w:rPr>
        <w:t>11. CUSTODIAN AND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 (Bank of New York Mellon)</w:t>
            </w:r>
          </w:p>
        </w:tc>
        <w:tc>
          <w:tcPr>
            <w:tcW w:type="dxa" w:w="3250"/>
          </w:tcPr>
          <w:p>
            <w:pPr>
              <w:spacing w:after="40" w:before="40"/>
            </w:pPr>
            <w:r>
              <w:rPr>
                <w:rFonts w:ascii="Calibri" w:hAnsi="Calibri"/>
                <w:b w:val="0"/>
                <w:sz w:val="20"/>
              </w:rPr>
              <w:t>Announced strategic partnership with a tokenisation infrastructure provider to offer end-to-end custody and settlement for tokenised money market funds and US Treasuries.</w:t>
            </w:r>
          </w:p>
        </w:tc>
        <w:tc>
          <w:tcPr>
            <w:tcW w:type="dxa" w:w="3250"/>
          </w:tcPr>
          <w:p>
            <w:pPr>
              <w:spacing w:after="40" w:before="40"/>
            </w:pPr>
            <w:r>
              <w:rPr>
                <w:rFonts w:ascii="Calibri" w:hAnsi="Calibri"/>
                <w:b w:val="0"/>
                <w:sz w:val="20"/>
              </w:rPr>
              <w:t>Positions BNY as the first global custodian to embed native tokenisation into its core platform, setting a competitive benchmark for digital asset servicing.</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Completed acquisition of Vistra Fund Management Services' European fund administration business for approximately EUR 350 million.</w:t>
            </w:r>
          </w:p>
        </w:tc>
        <w:tc>
          <w:tcPr>
            <w:tcW w:type="dxa" w:w="3250"/>
            <w:shd w:val="clear" w:color="auto" w:fill="EEF3FA"/>
          </w:tcPr>
          <w:p>
            <w:pPr>
              <w:spacing w:after="40" w:before="40"/>
            </w:pPr>
            <w:r>
              <w:rPr>
                <w:rFonts w:ascii="Calibri" w:hAnsi="Calibri"/>
                <w:b w:val="0"/>
                <w:sz w:val="20"/>
              </w:rPr>
              <w:t>Adds roughly EUR 60 billion in administered assets across Luxembourg, Ireland, and the Netherlands, materially strengthening State Street's European fund servicing footprint.</w:t>
            </w:r>
          </w:p>
        </w:tc>
      </w:tr>
      <w:tr>
        <w:tc>
          <w:tcPr>
            <w:tcW w:type="dxa" w:w="3250"/>
          </w:tcPr>
          <w:p>
            <w:pPr>
              <w:spacing w:after="40" w:before="40"/>
            </w:pPr>
            <w:r>
              <w:rPr>
                <w:rFonts w:ascii="Calibri" w:hAnsi="Calibri"/>
                <w:b w:val="0"/>
                <w:sz w:val="20"/>
              </w:rPr>
              <w:t>JPMorgan Chase &amp; Co.</w:t>
            </w:r>
          </w:p>
        </w:tc>
        <w:tc>
          <w:tcPr>
            <w:tcW w:type="dxa" w:w="3250"/>
          </w:tcPr>
          <w:p>
            <w:pPr>
              <w:spacing w:after="40" w:before="40"/>
            </w:pPr>
            <w:r>
              <w:rPr>
                <w:rFonts w:ascii="Calibri" w:hAnsi="Calibri"/>
                <w:b w:val="0"/>
                <w:sz w:val="20"/>
              </w:rPr>
              <w:t>Expanded Onyx digital payments and tokenised deposit platform to support intraday repo settlement for institutional clients across US and UK markets.</w:t>
            </w:r>
          </w:p>
        </w:tc>
        <w:tc>
          <w:tcPr>
            <w:tcW w:type="dxa" w:w="3250"/>
          </w:tcPr>
          <w:p>
            <w:pPr>
              <w:spacing w:after="40" w:before="40"/>
            </w:pPr>
            <w:r>
              <w:rPr>
                <w:rFonts w:ascii="Calibri" w:hAnsi="Calibri"/>
                <w:b w:val="0"/>
                <w:sz w:val="20"/>
              </w:rPr>
              <w:t>Reinforces JPMorgan's lead in DLT-enabled treasury and collateral services, raising the bar for competing custodian banks.</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Announced expansion of tri-party collateral management service to cover digital government bond tokens on permissioned DLT networks.</w:t>
            </w:r>
          </w:p>
        </w:tc>
        <w:tc>
          <w:tcPr>
            <w:tcW w:type="dxa" w:w="3250"/>
            <w:shd w:val="clear" w:color="auto" w:fill="EEF3FA"/>
          </w:tcPr>
          <w:p>
            <w:pPr>
              <w:spacing w:after="40" w:before="40"/>
            </w:pPr>
            <w:r>
              <w:rPr>
                <w:rFonts w:ascii="Calibri" w:hAnsi="Calibri"/>
                <w:b w:val="0"/>
                <w:sz w:val="20"/>
              </w:rPr>
              <w:t>Makes Citi the second major custodian to formally support tokenised collateral mobility, signalling mainstream institutional adoption.</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Launched a digital-native ESG data analytics module within its custody reporting suite, incorporating AI-driven Scope 3 emissions attribution.</w:t>
            </w:r>
          </w:p>
        </w:tc>
        <w:tc>
          <w:tcPr>
            <w:tcW w:type="dxa" w:w="3250"/>
          </w:tcPr>
          <w:p>
            <w:pPr>
              <w:spacing w:after="40" w:before="40"/>
            </w:pPr>
            <w:r>
              <w:rPr>
                <w:rFonts w:ascii="Calibri" w:hAnsi="Calibri"/>
                <w:b w:val="0"/>
                <w:sz w:val="20"/>
              </w:rPr>
              <w:t>Direct competitive response to BNP Paribas and Northern Trust ESG offerings, targeting SFDR and climate disclosure compliance for institutional investors.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Expanded its Securities Services ESG reporting platform to cover APAC-domiciled funds, partnering with regional data providers for local regulatory alignment.</w:t>
            </w:r>
          </w:p>
        </w:tc>
        <w:tc>
          <w:tcPr>
            <w:tcW w:type="dxa" w:w="3250"/>
            <w:shd w:val="clear" w:color="auto" w:fill="EEF3FA"/>
          </w:tcPr>
          <w:p>
            <w:pPr>
              <w:spacing w:after="40" w:before="40"/>
            </w:pPr>
            <w:r>
              <w:rPr>
                <w:rFonts w:ascii="Calibri" w:hAnsi="Calibri"/>
                <w:b w:val="0"/>
                <w:sz w:val="20"/>
              </w:rPr>
              <w:t>Extends BNP Paribas' position as a leading ESG-enabled fund servicer into a high-growth market.</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Deepened alliance with Bloomberg to integrate Bloomberg AIM order management data directly into Northern Trust's middle-office processing and NAV engine.</w:t>
            </w:r>
          </w:p>
        </w:tc>
        <w:tc>
          <w:tcPr>
            <w:tcW w:type="dxa" w:w="3250"/>
          </w:tcPr>
          <w:p>
            <w:pPr>
              <w:spacing w:after="40" w:before="40"/>
            </w:pPr>
            <w:r>
              <w:rPr>
                <w:rFonts w:ascii="Calibri" w:hAnsi="Calibri"/>
                <w:b w:val="0"/>
                <w:sz w:val="20"/>
              </w:rPr>
              <w:t>Strengthens Northern Trust's front-to-back outsourcing proposition for asset managers seeking consolidated technology stacks.</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Participated as lead investor in Taurus' USD 100 million Series C funding round for digital asset infrastructure.</w:t>
            </w:r>
          </w:p>
        </w:tc>
        <w:tc>
          <w:tcPr>
            <w:tcW w:type="dxa" w:w="3250"/>
            <w:shd w:val="clear" w:color="auto" w:fill="EEF3FA"/>
          </w:tcPr>
          <w:p>
            <w:pPr>
              <w:spacing w:after="40" w:before="40"/>
            </w:pPr>
            <w:r>
              <w:rPr>
                <w:rFonts w:ascii="Calibri" w:hAnsi="Calibri"/>
                <w:b w:val="0"/>
                <w:sz w:val="20"/>
              </w:rPr>
              <w:t>Signals Deutsche Bank's commitment to white-label tokenisation and digital custody technology as a strategic growth area.</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Announced consolidation of Credit Suisse legacy fund administration operations onto the UBS Fondcenter platform, expected to complete by Q3 2026.</w:t>
            </w:r>
          </w:p>
        </w:tc>
        <w:tc>
          <w:tcPr>
            <w:tcW w:type="dxa" w:w="3250"/>
          </w:tcPr>
          <w:p>
            <w:pPr>
              <w:spacing w:after="40" w:before="40"/>
            </w:pPr>
            <w:r>
              <w:rPr>
                <w:rFonts w:ascii="Calibri" w:hAnsi="Calibri"/>
                <w:b w:val="0"/>
                <w:sz w:val="20"/>
              </w:rPr>
              <w:t>Reduces operational complexity from the Credit Suisse integration and positions UBS as a streamlined fund distribution and servicing partner.</w:t>
            </w:r>
          </w:p>
        </w:tc>
      </w:tr>
      <w:tr>
        <w:tc>
          <w:tcPr>
            <w:tcW w:type="dxa" w:w="3250"/>
            <w:shd w:val="clear" w:color="auto" w:fill="EEF3FA"/>
          </w:tcPr>
          <w:p>
            <w:pPr>
              <w:spacing w:after="40" w:before="40"/>
            </w:pPr>
            <w:r>
              <w:rPr>
                <w:rFonts w:ascii="Calibri" w:hAnsi="Calibri"/>
                <w:b w:val="0"/>
                <w:sz w:val="20"/>
              </w:rPr>
              <w:t>RBC Investor and Treasury Services</w:t>
            </w:r>
          </w:p>
        </w:tc>
        <w:tc>
          <w:tcPr>
            <w:tcW w:type="dxa" w:w="3250"/>
            <w:shd w:val="clear" w:color="auto" w:fill="EEF3FA"/>
          </w:tcPr>
          <w:p>
            <w:pPr>
              <w:spacing w:after="40" w:before="40"/>
            </w:pPr>
            <w:r>
              <w:rPr>
                <w:rFonts w:ascii="Calibri" w:hAnsi="Calibri"/>
                <w:b w:val="0"/>
                <w:sz w:val="20"/>
              </w:rPr>
              <w:t>No material public announcement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Launched a new digital asset sub-custody offering through its Forge subsidiary, covering tokenised bonds and structured products for institutional clients in France and Luxembourg.</w:t>
            </w:r>
          </w:p>
        </w:tc>
        <w:tc>
          <w:tcPr>
            <w:tcW w:type="dxa" w:w="3250"/>
          </w:tcPr>
          <w:p>
            <w:pPr>
              <w:spacing w:after="40" w:before="40"/>
            </w:pPr>
            <w:r>
              <w:rPr>
                <w:rFonts w:ascii="Calibri" w:hAnsi="Calibri"/>
                <w:b w:val="0"/>
                <w:sz w:val="20"/>
              </w:rPr>
              <w:t>Positions SocGen as a European leader in regulated digital asset servicing, leveraging Forge's existing tokenisation capabilities.</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Expanded Zodia Custody (its digital asset custody joint venture) into the UAE market, securing a Virtual Asset Service Provider licence from Dubai's VARA.</w:t>
            </w:r>
          </w:p>
        </w:tc>
        <w:tc>
          <w:tcPr>
            <w:tcW w:type="dxa" w:w="3250"/>
            <w:shd w:val="clear" w:color="auto" w:fill="EEF3FA"/>
          </w:tcPr>
          <w:p>
            <w:pPr>
              <w:spacing w:after="40" w:before="40"/>
            </w:pPr>
            <w:r>
              <w:rPr>
                <w:rFonts w:ascii="Calibri" w:hAnsi="Calibri"/>
                <w:b w:val="0"/>
                <w:sz w:val="20"/>
              </w:rPr>
              <w:t>Strengthens Standard Chartered's digital custody footprint in a rapidly growing Middle Eastern digital asset hub.</w:t>
            </w:r>
          </w:p>
        </w:tc>
      </w:tr>
      <w:tr>
        <w:tc>
          <w:tcPr>
            <w:tcW w:type="dxa" w:w="3250"/>
          </w:tcPr>
          <w:p>
            <w:pPr>
              <w:spacing w:after="40" w:before="40"/>
            </w:pPr>
            <w:r>
              <w:rPr>
                <w:rFonts w:ascii="Calibri" w:hAnsi="Calibri"/>
                <w:b w:val="0"/>
                <w:sz w:val="20"/>
              </w:rPr>
              <w:t>SIX Group</w:t>
            </w:r>
          </w:p>
        </w:tc>
        <w:tc>
          <w:tcPr>
            <w:tcW w:type="dxa" w:w="3250"/>
          </w:tcPr>
          <w:p>
            <w:pPr>
              <w:spacing w:after="40" w:before="40"/>
            </w:pPr>
            <w:r>
              <w:rPr>
                <w:rFonts w:ascii="Calibri" w:hAnsi="Calibri"/>
                <w:b w:val="0"/>
                <w:sz w:val="20"/>
              </w:rPr>
              <w:t>Announced that SIX Digital Exchange (SDX) has surpassed CHF 2 billion in cumulative tokenised bond issuance since launch.</w:t>
            </w:r>
          </w:p>
        </w:tc>
        <w:tc>
          <w:tcPr>
            <w:tcW w:type="dxa" w:w="3250"/>
          </w:tcPr>
          <w:p>
            <w:pPr>
              <w:spacing w:after="40" w:before="40"/>
            </w:pPr>
            <w:r>
              <w:rPr>
                <w:rFonts w:ascii="Calibri" w:hAnsi="Calibri"/>
                <w:b w:val="0"/>
                <w:sz w:val="20"/>
              </w:rPr>
              <w:t>Validates the SDX model as a regulated venue for institutional-grade digital securities issuance and custody in Europe.</w:t>
            </w:r>
          </w:p>
        </w:tc>
      </w:tr>
      <w:tr>
        <w:tc>
          <w:tcPr>
            <w:tcW w:type="dxa" w:w="3250"/>
            <w:shd w:val="clear" w:color="auto" w:fill="EEF3FA"/>
          </w:tcPr>
          <w:p>
            <w:pPr>
              <w:spacing w:after="40" w:before="40"/>
            </w:pPr>
            <w:r>
              <w:rPr>
                <w:rFonts w:ascii="Calibri" w:hAnsi="Calibri"/>
                <w:b w:val="0"/>
                <w:sz w:val="20"/>
              </w:rPr>
              <w:t>Brown Brothers Harriman &amp; Co.</w:t>
            </w:r>
          </w:p>
        </w:tc>
        <w:tc>
          <w:tcPr>
            <w:tcW w:type="dxa" w:w="3250"/>
            <w:shd w:val="clear" w:color="auto" w:fill="EEF3FA"/>
          </w:tcPr>
          <w:p>
            <w:pPr>
              <w:spacing w:after="40" w:before="40"/>
            </w:pPr>
            <w:r>
              <w:rPr>
                <w:rFonts w:ascii="Calibri" w:hAnsi="Calibri"/>
                <w:b w:val="0"/>
                <w:sz w:val="20"/>
              </w:rPr>
              <w:t>Announced migration of its Infomediary investor services platform to a cloud-native architecture on AWS, targeting full transition by year-end 2026.</w:t>
            </w:r>
          </w:p>
        </w:tc>
        <w:tc>
          <w:tcPr>
            <w:tcW w:type="dxa" w:w="3250"/>
            <w:shd w:val="clear" w:color="auto" w:fill="EEF3FA"/>
          </w:tcPr>
          <w:p>
            <w:pPr>
              <w:spacing w:after="40" w:before="40"/>
            </w:pPr>
            <w:r>
              <w:rPr>
                <w:rFonts w:ascii="Calibri" w:hAnsi="Calibri"/>
                <w:b w:val="0"/>
                <w:sz w:val="20"/>
              </w:rPr>
              <w:t>Modernises BBH's technology infrastructure and enhances scalability for ETF servicing and custody clients.</w:t>
            </w:r>
          </w:p>
        </w:tc>
      </w:tr>
      <w:tr>
        <w:tc>
          <w:tcPr>
            <w:tcW w:type="dxa" w:w="3250"/>
          </w:tcPr>
          <w:p>
            <w:pPr>
              <w:spacing w:after="40" w:before="40"/>
            </w:pPr>
            <w:r>
              <w:rPr>
                <w:rFonts w:ascii="Calibri" w:hAnsi="Calibri"/>
                <w:b w:val="0"/>
                <w:sz w:val="20"/>
              </w:rPr>
              <w:t>Clearstream</w:t>
            </w:r>
          </w:p>
        </w:tc>
        <w:tc>
          <w:tcPr>
            <w:tcW w:type="dxa" w:w="3250"/>
          </w:tcPr>
          <w:p>
            <w:pPr>
              <w:spacing w:after="40" w:before="40"/>
            </w:pPr>
            <w:r>
              <w:rPr>
                <w:rFonts w:ascii="Calibri" w:hAnsi="Calibri"/>
                <w:b w:val="0"/>
                <w:sz w:val="20"/>
              </w:rPr>
              <w:t>Partnered with Taskize to streamline cross-border settlement exception resolution, targeting sub-12-hour break resolution for participants.</w:t>
            </w:r>
          </w:p>
        </w:tc>
        <w:tc>
          <w:tcPr>
            <w:tcW w:type="dxa" w:w="3250"/>
          </w:tcPr>
          <w:p>
            <w:pPr>
              <w:spacing w:after="40" w:before="40"/>
            </w:pPr>
            <w:r>
              <w:rPr>
                <w:rFonts w:ascii="Calibri" w:hAnsi="Calibri"/>
                <w:b w:val="0"/>
                <w:sz w:val="20"/>
              </w:rPr>
              <w:t>Directly addresses T plus 1 readiness and settlement efficiency improvements ahead of potential EU migration.</w:t>
            </w:r>
          </w:p>
        </w:tc>
      </w:tr>
      <w:tr>
        <w:tc>
          <w:tcPr>
            <w:tcW w:type="dxa" w:w="3250"/>
            <w:shd w:val="clear" w:color="auto" w:fill="EEF3FA"/>
          </w:tcPr>
          <w:p>
            <w:pPr>
              <w:spacing w:after="40" w:before="40"/>
            </w:pPr>
            <w:r>
              <w:rPr>
                <w:rFonts w:ascii="Calibri" w:hAnsi="Calibri"/>
                <w:b w:val="0"/>
                <w:sz w:val="20"/>
              </w:rPr>
              <w:t>Euroclear</w:t>
            </w:r>
          </w:p>
        </w:tc>
        <w:tc>
          <w:tcPr>
            <w:tcW w:type="dxa" w:w="3250"/>
            <w:shd w:val="clear" w:color="auto" w:fill="EEF3FA"/>
          </w:tcPr>
          <w:p>
            <w:pPr>
              <w:spacing w:after="40" w:before="40"/>
            </w:pPr>
            <w:r>
              <w:rPr>
                <w:rFonts w:ascii="Calibri" w:hAnsi="Calibri"/>
                <w:b w:val="0"/>
                <w:sz w:val="20"/>
              </w:rPr>
              <w:t>Published a discussion paper on its roadmap for supporting tokenised securities settlement interoperability with private DLT networks, inviting industry feedback through May 2026.</w:t>
            </w:r>
          </w:p>
        </w:tc>
        <w:tc>
          <w:tcPr>
            <w:tcW w:type="dxa" w:w="3250"/>
            <w:shd w:val="clear" w:color="auto" w:fill="EEF3FA"/>
          </w:tcPr>
          <w:p>
            <w:pPr>
              <w:spacing w:after="40" w:before="40"/>
            </w:pPr>
            <w:r>
              <w:rPr>
                <w:rFonts w:ascii="Calibri" w:hAnsi="Calibri"/>
                <w:b w:val="0"/>
                <w:sz w:val="20"/>
              </w:rPr>
              <w:t>Positions Euroclear at the centre of the emerging interoperability debate between traditional CSDs and digital asset infrastructures.</w:t>
            </w:r>
          </w:p>
        </w:tc>
      </w:tr>
      <w:tr>
        <w:tc>
          <w:tcPr>
            <w:tcW w:type="dxa" w:w="3250"/>
          </w:tcPr>
          <w:p>
            <w:pPr>
              <w:spacing w:after="40" w:before="40"/>
            </w:pPr>
            <w:r>
              <w:rPr>
                <w:rFonts w:ascii="Calibri" w:hAnsi="Calibri"/>
                <w:b w:val="0"/>
                <w:sz w:val="20"/>
              </w:rPr>
              <w:t>CIBC Mellon</w:t>
            </w:r>
          </w:p>
        </w:tc>
        <w:tc>
          <w:tcPr>
            <w:tcW w:type="dxa" w:w="3250"/>
          </w:tcPr>
          <w:p>
            <w:pPr>
              <w:spacing w:after="40" w:before="40"/>
            </w:pPr>
            <w:r>
              <w:rPr>
                <w:rFonts w:ascii="Calibri" w:hAnsi="Calibri"/>
                <w:b w:val="0"/>
                <w:sz w:val="20"/>
              </w:rPr>
              <w:t>No material news this month.</w:t>
            </w:r>
          </w:p>
        </w:tc>
        <w:tc>
          <w:tcPr>
            <w:tcW w:type="dxa" w:w="3250"/>
          </w:tcPr>
          <w:p>
            <w:pPr>
              <w:spacing w:after="40" w:before="40"/>
            </w:pPr>
            <w:r>
              <w:rPr>
                <w:rFonts w:ascii="Calibri" w:hAnsi="Calibri"/>
                <w:b w:val="0"/>
                <w:sz w:val="20"/>
              </w:rPr>
              <w:t>—</w:t>
            </w:r>
          </w:p>
        </w:tc>
      </w:tr>
      <w:tr>
        <w:tc>
          <w:tcPr>
            <w:tcW w:type="dxa" w:w="3250"/>
            <w:shd w:val="clear" w:color="auto" w:fill="EEF3FA"/>
          </w:tcPr>
          <w:p>
            <w:pPr>
              <w:spacing w:after="40" w:before="40"/>
            </w:pPr>
            <w:r>
              <w:rPr>
                <w:rFonts w:ascii="Calibri" w:hAnsi="Calibri"/>
                <w:b w:val="0"/>
                <w:sz w:val="20"/>
              </w:rPr>
              <w:t>Coinbase Custody (Coinbase Prime)</w:t>
            </w:r>
          </w:p>
        </w:tc>
        <w:tc>
          <w:tcPr>
            <w:tcW w:type="dxa" w:w="3250"/>
            <w:shd w:val="clear" w:color="auto" w:fill="EEF3FA"/>
          </w:tcPr>
          <w:p>
            <w:pPr>
              <w:spacing w:after="40" w:before="40"/>
            </w:pPr>
            <w:r>
              <w:rPr>
                <w:rFonts w:ascii="Calibri" w:hAnsi="Calibri"/>
                <w:b w:val="0"/>
                <w:sz w:val="20"/>
              </w:rPr>
              <w:t>Expanded institutional custody offering to support staking services for Ethereum and Solana assets held in qualified custody, following SEC staff no-action relief issued in February 2026.</w:t>
            </w:r>
          </w:p>
        </w:tc>
        <w:tc>
          <w:tcPr>
            <w:tcW w:type="dxa" w:w="3250"/>
            <w:shd w:val="clear" w:color="auto" w:fill="EEF3FA"/>
          </w:tcPr>
          <w:p>
            <w:pPr>
              <w:spacing w:after="40" w:before="40"/>
            </w:pPr>
            <w:r>
              <w:rPr>
                <w:rFonts w:ascii="Calibri" w:hAnsi="Calibri"/>
                <w:b w:val="0"/>
                <w:sz w:val="20"/>
              </w:rPr>
              <w:t>Addresses institutional demand for yield generation on custodied digital assets within a regulated US framework.</w:t>
            </w:r>
          </w:p>
        </w:tc>
      </w:tr>
      <w:tr>
        <w:tc>
          <w:tcPr>
            <w:tcW w:type="dxa" w:w="3250"/>
          </w:tcPr>
          <w:p>
            <w:pPr>
              <w:spacing w:after="40" w:before="40"/>
            </w:pPr>
            <w:r>
              <w:rPr>
                <w:rFonts w:ascii="Calibri" w:hAnsi="Calibri"/>
                <w:b w:val="0"/>
                <w:sz w:val="20"/>
              </w:rPr>
              <w:t>BitGo</w:t>
            </w:r>
          </w:p>
        </w:tc>
        <w:tc>
          <w:tcPr>
            <w:tcW w:type="dxa" w:w="3250"/>
          </w:tcPr>
          <w:p>
            <w:pPr>
              <w:spacing w:after="40" w:before="40"/>
            </w:pPr>
            <w:r>
              <w:rPr>
                <w:rFonts w:ascii="Calibri" w:hAnsi="Calibri"/>
                <w:b w:val="0"/>
                <w:sz w:val="20"/>
              </w:rPr>
              <w:t>Announced completion of SOC 2 Type II audit and launch of an institutional prime brokerage service integrating custody, lending, and settlement.</w:t>
            </w:r>
          </w:p>
        </w:tc>
        <w:tc>
          <w:tcPr>
            <w:tcW w:type="dxa" w:w="3250"/>
          </w:tcPr>
          <w:p>
            <w:pPr>
              <w:spacing w:after="40" w:before="40"/>
            </w:pPr>
            <w:r>
              <w:rPr>
                <w:rFonts w:ascii="Calibri" w:hAnsi="Calibri"/>
                <w:b w:val="0"/>
                <w:sz w:val="20"/>
              </w:rPr>
              <w:t>Strengthens BitGo's competitive position against Coinbase and Fidelity in the institutional digital asset servicing space.</w:t>
            </w:r>
          </w:p>
        </w:tc>
      </w:tr>
      <w:tr>
        <w:tc>
          <w:tcPr>
            <w:tcW w:type="dxa" w:w="3250"/>
            <w:shd w:val="clear" w:color="auto" w:fill="EEF3FA"/>
          </w:tcPr>
          <w:p>
            <w:pPr>
              <w:spacing w:after="40" w:before="40"/>
            </w:pPr>
            <w:r>
              <w:rPr>
                <w:rFonts w:ascii="Calibri" w:hAnsi="Calibri"/>
                <w:b w:val="0"/>
                <w:sz w:val="20"/>
              </w:rPr>
              <w:t>Fidelity Digital Assets</w:t>
            </w:r>
          </w:p>
        </w:tc>
        <w:tc>
          <w:tcPr>
            <w:tcW w:type="dxa" w:w="3250"/>
            <w:shd w:val="clear" w:color="auto" w:fill="EEF3FA"/>
          </w:tcPr>
          <w:p>
            <w:pPr>
              <w:spacing w:after="40" w:before="40"/>
            </w:pPr>
            <w:r>
              <w:rPr>
                <w:rFonts w:ascii="Calibri" w:hAnsi="Calibri"/>
                <w:b w:val="0"/>
                <w:sz w:val="20"/>
              </w:rPr>
              <w:t>Expanded digital asset custody services to cover tokenised money market fund shares, partnering with a major tokenisation platform for end-to-end processing.</w:t>
            </w:r>
          </w:p>
        </w:tc>
        <w:tc>
          <w:tcPr>
            <w:tcW w:type="dxa" w:w="3250"/>
            <w:shd w:val="clear" w:color="auto" w:fill="EEF3FA"/>
          </w:tcPr>
          <w:p>
            <w:pPr>
              <w:spacing w:after="40" w:before="40"/>
            </w:pPr>
            <w:r>
              <w:rPr>
                <w:rFonts w:ascii="Calibri" w:hAnsi="Calibri"/>
                <w:b w:val="0"/>
                <w:sz w:val="20"/>
              </w:rPr>
              <w:t>Bridges traditional fund servicing and digital custody, reflecting Fidelity's broader strategy to serve institutional crossover demand.</w:t>
            </w:r>
          </w:p>
        </w:tc>
      </w:tr>
      <w:tr>
        <w:tc>
          <w:tcPr>
            <w:tcW w:type="dxa" w:w="3250"/>
          </w:tcPr>
          <w:p>
            <w:pPr>
              <w:spacing w:after="40" w:before="40"/>
            </w:pPr>
            <w:r>
              <w:rPr>
                <w:rFonts w:ascii="Calibri" w:hAnsi="Calibri"/>
                <w:b w:val="0"/>
                <w:sz w:val="20"/>
              </w:rPr>
              <w:t>Anchorage Digital</w:t>
            </w:r>
          </w:p>
        </w:tc>
        <w:tc>
          <w:tcPr>
            <w:tcW w:type="dxa" w:w="3250"/>
          </w:tcPr>
          <w:p>
            <w:pPr>
              <w:spacing w:after="40" w:before="40"/>
            </w:pPr>
            <w:r>
              <w:rPr>
                <w:rFonts w:ascii="Calibri" w:hAnsi="Calibri"/>
                <w:b w:val="0"/>
                <w:sz w:val="20"/>
              </w:rPr>
              <w:t>Secured a new partnership with a Top 10 US asset manager for Bitcoin and Ethereum custody, leveraging its federal bank charter for regulatory comfort.</w:t>
            </w:r>
          </w:p>
        </w:tc>
        <w:tc>
          <w:tcPr>
            <w:tcW w:type="dxa" w:w="3250"/>
          </w:tcPr>
          <w:p>
            <w:pPr>
              <w:spacing w:after="40" w:before="40"/>
            </w:pPr>
            <w:r>
              <w:rPr>
                <w:rFonts w:ascii="Calibri" w:hAnsi="Calibri"/>
                <w:b w:val="0"/>
                <w:sz w:val="20"/>
              </w:rPr>
              <w:t>Validates the federally chartered digital bank model for institutional custody mandates.</w:t>
            </w:r>
          </w:p>
        </w:tc>
      </w:tr>
      <w:tr>
        <w:tc>
          <w:tcPr>
            <w:tcW w:type="dxa" w:w="3250"/>
            <w:shd w:val="clear" w:color="auto" w:fill="EEF3FA"/>
          </w:tcPr>
          <w:p>
            <w:pPr>
              <w:spacing w:after="40" w:before="40"/>
            </w:pPr>
            <w:r>
              <w:rPr>
                <w:rFonts w:ascii="Calibri" w:hAnsi="Calibri"/>
                <w:b w:val="0"/>
                <w:sz w:val="20"/>
              </w:rPr>
              <w:t>Fireblocks</w:t>
            </w:r>
          </w:p>
        </w:tc>
        <w:tc>
          <w:tcPr>
            <w:tcW w:type="dxa" w:w="3250"/>
            <w:shd w:val="clear" w:color="auto" w:fill="EEF3FA"/>
          </w:tcPr>
          <w:p>
            <w:pPr>
              <w:spacing w:after="40" w:before="40"/>
            </w:pPr>
            <w:r>
              <w:rPr>
                <w:rFonts w:ascii="Calibri" w:hAnsi="Calibri"/>
                <w:b w:val="0"/>
                <w:sz w:val="20"/>
              </w:rPr>
              <w:t>Launched Fireblocks Network 3.0, an upgraded institutional transfer network supporting atomic settlement of tokenised securities across multiple DLT protocols.</w:t>
            </w:r>
          </w:p>
        </w:tc>
        <w:tc>
          <w:tcPr>
            <w:tcW w:type="dxa" w:w="3250"/>
            <w:shd w:val="clear" w:color="auto" w:fill="EEF3FA"/>
          </w:tcPr>
          <w:p>
            <w:pPr>
              <w:spacing w:after="40" w:before="40"/>
            </w:pPr>
            <w:r>
              <w:rPr>
                <w:rFonts w:ascii="Calibri" w:hAnsi="Calibri"/>
                <w:b w:val="0"/>
                <w:sz w:val="20"/>
              </w:rPr>
              <w:t>Enhances interoperability for institutional clients transacting across fragmented tokenisation platforms.</w:t>
            </w:r>
          </w:p>
        </w:tc>
      </w:tr>
      <w:tr>
        <w:tc>
          <w:tcPr>
            <w:tcW w:type="dxa" w:w="3250"/>
          </w:tcPr>
          <w:p>
            <w:pPr>
              <w:spacing w:after="40" w:before="40"/>
            </w:pPr>
            <w:r>
              <w:rPr>
                <w:rFonts w:ascii="Calibri" w:hAnsi="Calibri"/>
                <w:b w:val="0"/>
                <w:sz w:val="20"/>
              </w:rPr>
              <w:t>Gemini Custody</w:t>
            </w:r>
          </w:p>
        </w:tc>
        <w:tc>
          <w:tcPr>
            <w:tcW w:type="dxa" w:w="3250"/>
          </w:tcPr>
          <w:p>
            <w:pPr>
              <w:spacing w:after="40" w:before="40"/>
            </w:pPr>
            <w:r>
              <w:rPr>
                <w:rFonts w:ascii="Calibri" w:hAnsi="Calibri"/>
                <w:b w:val="0"/>
                <w:sz w:val="20"/>
              </w:rPr>
              <w:t>No material news this month.</w:t>
            </w:r>
          </w:p>
        </w:tc>
        <w:tc>
          <w:tcPr>
            <w:tcW w:type="dxa" w:w="3250"/>
          </w:tcPr>
          <w:p>
            <w:pPr>
              <w:spacing w:after="40" w:before="40"/>
            </w:pPr>
            <w:r>
              <w:rPr>
                <w:rFonts w:ascii="Calibri" w:hAnsi="Calibri"/>
                <w:b w:val="0"/>
                <w:sz w:val="20"/>
              </w:rPr>
              <w:t>—</w:t>
            </w:r>
          </w:p>
        </w:tc>
      </w:tr>
      <w:tr>
        <w:tc>
          <w:tcPr>
            <w:tcW w:type="dxa" w:w="3250"/>
            <w:shd w:val="clear" w:color="auto" w:fill="EEF3FA"/>
          </w:tcPr>
          <w:p>
            <w:pPr>
              <w:spacing w:after="40" w:before="40"/>
            </w:pPr>
            <w:r>
              <w:rPr>
                <w:rFonts w:ascii="Calibri" w:hAnsi="Calibri"/>
                <w:b w:val="0"/>
                <w:sz w:val="20"/>
              </w:rPr>
              <w:t>Cobo</w:t>
            </w:r>
          </w:p>
        </w:tc>
        <w:tc>
          <w:tcPr>
            <w:tcW w:type="dxa" w:w="3250"/>
            <w:shd w:val="clear" w:color="auto" w:fill="EEF3FA"/>
          </w:tcPr>
          <w:p>
            <w:pPr>
              <w:spacing w:after="40" w:before="40"/>
            </w:pPr>
            <w:r>
              <w:rPr>
                <w:rFonts w:ascii="Calibri" w:hAnsi="Calibri"/>
                <w:b w:val="0"/>
                <w:sz w:val="20"/>
              </w:rPr>
              <w:t>Expanded MPC wallet-as-a-service offering to European institutional clients, securing regulatory registration in Germany.</w:t>
            </w:r>
          </w:p>
        </w:tc>
        <w:tc>
          <w:tcPr>
            <w:tcW w:type="dxa" w:w="3250"/>
            <w:shd w:val="clear" w:color="auto" w:fill="EEF3FA"/>
          </w:tcPr>
          <w:p>
            <w:pPr>
              <w:spacing w:after="40" w:before="40"/>
            </w:pPr>
            <w:r>
              <w:rPr>
                <w:rFonts w:ascii="Calibri" w:hAnsi="Calibri"/>
                <w:b w:val="0"/>
                <w:sz w:val="20"/>
              </w:rPr>
              <w:t>Extends Cobo's reach into the regulated European digital asset custody market.</w:t>
            </w:r>
          </w:p>
        </w:tc>
      </w:tr>
      <w:tr>
        <w:tc>
          <w:tcPr>
            <w:tcW w:type="dxa" w:w="3250"/>
          </w:tcPr>
          <w:p>
            <w:pPr>
              <w:spacing w:after="40" w:before="40"/>
            </w:pPr>
            <w:r>
              <w:rPr>
                <w:rFonts w:ascii="Calibri" w:hAnsi="Calibri"/>
                <w:b w:val="0"/>
                <w:sz w:val="20"/>
              </w:rPr>
              <w:t>Hex Trust</w:t>
            </w:r>
          </w:p>
        </w:tc>
        <w:tc>
          <w:tcPr>
            <w:tcW w:type="dxa" w:w="3250"/>
          </w:tcPr>
          <w:p>
            <w:pPr>
              <w:spacing w:after="40" w:before="40"/>
            </w:pPr>
            <w:r>
              <w:rPr>
                <w:rFonts w:ascii="Calibri" w:hAnsi="Calibri"/>
                <w:b w:val="0"/>
                <w:sz w:val="20"/>
              </w:rPr>
              <w:t>Received a Major Payment Institution licence from the Monetary Authority of Singapore, expanding its regulated digital custody services in Asia.</w:t>
            </w:r>
          </w:p>
        </w:tc>
        <w:tc>
          <w:tcPr>
            <w:tcW w:type="dxa" w:w="3250"/>
          </w:tcPr>
          <w:p>
            <w:pPr>
              <w:spacing w:after="40" w:before="40"/>
            </w:pPr>
            <w:r>
              <w:rPr>
                <w:rFonts w:ascii="Calibri" w:hAnsi="Calibri"/>
                <w:b w:val="0"/>
                <w:sz w:val="20"/>
              </w:rPr>
              <w:t>Strengthens Hex Trust's position as a leading APAC-focused institutional digital asset custodian.</w:t>
            </w:r>
          </w:p>
        </w:tc>
      </w:tr>
      <w:tr>
        <w:tc>
          <w:tcPr>
            <w:tcW w:type="dxa" w:w="3250"/>
            <w:shd w:val="clear" w:color="auto" w:fill="EEF3FA"/>
          </w:tcPr>
          <w:p>
            <w:pPr>
              <w:spacing w:after="40" w:before="40"/>
            </w:pPr>
            <w:r>
              <w:rPr>
                <w:rFonts w:ascii="Calibri" w:hAnsi="Calibri"/>
                <w:b w:val="0"/>
                <w:sz w:val="20"/>
              </w:rPr>
              <w:t>Copper</w:t>
            </w:r>
          </w:p>
        </w:tc>
        <w:tc>
          <w:tcPr>
            <w:tcW w:type="dxa" w:w="3250"/>
            <w:shd w:val="clear" w:color="auto" w:fill="EEF3FA"/>
          </w:tcPr>
          <w:p>
            <w:pPr>
              <w:spacing w:after="40" w:before="40"/>
            </w:pPr>
            <w:r>
              <w:rPr>
                <w:rFonts w:ascii="Calibri" w:hAnsi="Calibri"/>
                <w:b w:val="0"/>
                <w:sz w:val="20"/>
              </w:rPr>
              <w:t>Announced integration of its ClearLoop off-exchange settlement network with two additional major crypto exchanges, bringing total connected venues to seven.</w:t>
            </w:r>
          </w:p>
        </w:tc>
        <w:tc>
          <w:tcPr>
            <w:tcW w:type="dxa" w:w="3250"/>
            <w:shd w:val="clear" w:color="auto" w:fill="EEF3FA"/>
          </w:tcPr>
          <w:p>
            <w:pPr>
              <w:spacing w:after="40" w:before="40"/>
            </w:pPr>
            <w:r>
              <w:rPr>
                <w:rFonts w:ascii="Calibri" w:hAnsi="Calibri"/>
                <w:b w:val="0"/>
                <w:sz w:val="20"/>
              </w:rPr>
              <w:t>Reduces counterparty risk for institutional traders by enabling exchange-level trading without on-exchange asset exposure.</w:t>
            </w:r>
          </w:p>
        </w:tc>
      </w:tr>
      <w:tr>
        <w:tc>
          <w:tcPr>
            <w:tcW w:type="dxa" w:w="3250"/>
          </w:tcPr>
          <w:p>
            <w:pPr>
              <w:spacing w:after="40" w:before="40"/>
            </w:pPr>
            <w:r>
              <w:rPr>
                <w:rFonts w:ascii="Calibri" w:hAnsi="Calibri"/>
                <w:b w:val="0"/>
                <w:sz w:val="20"/>
              </w:rPr>
              <w:t>Komainu</w:t>
            </w:r>
          </w:p>
        </w:tc>
        <w:tc>
          <w:tcPr>
            <w:tcW w:type="dxa" w:w="3250"/>
          </w:tcPr>
          <w:p>
            <w:pPr>
              <w:spacing w:after="40" w:before="40"/>
            </w:pPr>
            <w:r>
              <w:rPr>
                <w:rFonts w:ascii="Calibri" w:hAnsi="Calibri"/>
                <w:b w:val="0"/>
                <w:sz w:val="20"/>
              </w:rPr>
              <w:t>Expanded custody services to cover tokenised real-world assets in partnership with a European investment bank, building on its Nomura and Ledger heritage.</w:t>
            </w:r>
          </w:p>
        </w:tc>
        <w:tc>
          <w:tcPr>
            <w:tcW w:type="dxa" w:w="3250"/>
          </w:tcPr>
          <w:p>
            <w:pPr>
              <w:spacing w:after="40" w:before="40"/>
            </w:pPr>
            <w:r>
              <w:rPr>
                <w:rFonts w:ascii="Calibri" w:hAnsi="Calibri"/>
                <w:b w:val="0"/>
                <w:sz w:val="20"/>
              </w:rPr>
              <w:t>Positions Komainu at the intersection of traditional finance and digital asset custody for institutional RWA products.</w:t>
            </w:r>
          </w:p>
        </w:tc>
      </w:tr>
      <w:tr>
        <w:tc>
          <w:tcPr>
            <w:tcW w:type="dxa" w:w="3250"/>
            <w:shd w:val="clear" w:color="auto" w:fill="EEF3FA"/>
          </w:tcPr>
          <w:p>
            <w:pPr>
              <w:spacing w:after="40" w:before="40"/>
            </w:pPr>
            <w:r>
              <w:rPr>
                <w:rFonts w:ascii="Calibri" w:hAnsi="Calibri"/>
                <w:b w:val="0"/>
                <w:sz w:val="20"/>
              </w:rPr>
              <w:t>Zodia Custody</w:t>
            </w:r>
          </w:p>
        </w:tc>
        <w:tc>
          <w:tcPr>
            <w:tcW w:type="dxa" w:w="3250"/>
            <w:shd w:val="clear" w:color="auto" w:fill="EEF3FA"/>
          </w:tcPr>
          <w:p>
            <w:pPr>
              <w:spacing w:after="40" w:before="40"/>
            </w:pPr>
            <w:r>
              <w:rPr>
                <w:rFonts w:ascii="Calibri" w:hAnsi="Calibri"/>
                <w:b w:val="0"/>
                <w:sz w:val="20"/>
              </w:rPr>
              <w:t>Secured Virtual Asset Service Provider licence from Dubai's VARA, expanding operations to the UAE market through Standard Chartered support.</w:t>
            </w:r>
          </w:p>
        </w:tc>
        <w:tc>
          <w:tcPr>
            <w:tcW w:type="dxa" w:w="3250"/>
            <w:shd w:val="clear" w:color="auto" w:fill="EEF3FA"/>
          </w:tcPr>
          <w:p>
            <w:pPr>
              <w:spacing w:after="40" w:before="40"/>
            </w:pPr>
            <w:r>
              <w:rPr>
                <w:rFonts w:ascii="Calibri" w:hAnsi="Calibri"/>
                <w:b w:val="0"/>
                <w:sz w:val="20"/>
              </w:rPr>
              <w:t>Gains access to the rapidly growing Gulf institutional digital asset market.</w:t>
            </w:r>
          </w:p>
        </w:tc>
      </w:tr>
      <w:tr>
        <w:tc>
          <w:tcPr>
            <w:tcW w:type="dxa" w:w="3250"/>
          </w:tcPr>
          <w:p>
            <w:pPr>
              <w:spacing w:after="40" w:before="40"/>
            </w:pPr>
            <w:r>
              <w:rPr>
                <w:rFonts w:ascii="Calibri" w:hAnsi="Calibri"/>
                <w:b w:val="0"/>
                <w:sz w:val="20"/>
              </w:rPr>
              <w:t>NYDIG</w:t>
            </w:r>
          </w:p>
        </w:tc>
        <w:tc>
          <w:tcPr>
            <w:tcW w:type="dxa" w:w="3250"/>
          </w:tcPr>
          <w:p>
            <w:pPr>
              <w:spacing w:after="40" w:before="40"/>
            </w:pPr>
            <w:r>
              <w:rPr>
                <w:rFonts w:ascii="Calibri" w:hAnsi="Calibri"/>
                <w:b w:val="0"/>
                <w:sz w:val="20"/>
              </w:rPr>
              <w:t>No material news this month.</w:t>
            </w:r>
          </w:p>
        </w:tc>
        <w:tc>
          <w:tcPr>
            <w:tcW w:type="dxa" w:w="3250"/>
          </w:tcPr>
          <w:p>
            <w:pPr>
              <w:spacing w:after="40" w:before="40"/>
            </w:pPr>
            <w:r>
              <w:rPr>
                <w:rFonts w:ascii="Calibri" w:hAnsi="Calibri"/>
                <w:b w:val="0"/>
                <w:sz w:val="20"/>
              </w:rPr>
              <w:t>—</w:t>
            </w:r>
          </w:p>
        </w:tc>
      </w:tr>
      <w:tr>
        <w:tc>
          <w:tcPr>
            <w:tcW w:type="dxa" w:w="3250"/>
            <w:shd w:val="clear" w:color="auto" w:fill="EEF3FA"/>
          </w:tcPr>
          <w:p>
            <w:pPr>
              <w:spacing w:after="40" w:before="40"/>
            </w:pPr>
            <w:r>
              <w:rPr>
                <w:rFonts w:ascii="Calibri" w:hAnsi="Calibri"/>
                <w:b w:val="0"/>
                <w:sz w:val="20"/>
              </w:rPr>
              <w:t>Bitcoin Suisse</w:t>
            </w:r>
          </w:p>
        </w:tc>
        <w:tc>
          <w:tcPr>
            <w:tcW w:type="dxa" w:w="3250"/>
            <w:shd w:val="clear" w:color="auto" w:fill="EEF3FA"/>
          </w:tcPr>
          <w:p>
            <w:pPr>
              <w:spacing w:after="40" w:before="40"/>
            </w:pPr>
            <w:r>
              <w:rPr>
                <w:rFonts w:ascii="Calibri" w:hAnsi="Calibri"/>
                <w:b w:val="0"/>
                <w:sz w:val="20"/>
              </w:rPr>
              <w:t>Launched a new institutional staking-as-a-service platform covering Ethereum, Solana, and Polkadot, with integrated custody and reporting.</w:t>
            </w:r>
          </w:p>
        </w:tc>
        <w:tc>
          <w:tcPr>
            <w:tcW w:type="dxa" w:w="3250"/>
            <w:shd w:val="clear" w:color="auto" w:fill="EEF3FA"/>
          </w:tcPr>
          <w:p>
            <w:pPr>
              <w:spacing w:after="40" w:before="40"/>
            </w:pPr>
            <w:r>
              <w:rPr>
                <w:rFonts w:ascii="Calibri" w:hAnsi="Calibri"/>
                <w:b w:val="0"/>
                <w:sz w:val="20"/>
              </w:rPr>
              <w:t>Addresses Swiss and European institutional demand for compliant yield-bearing digital asset services.</w:t>
            </w:r>
          </w:p>
        </w:tc>
      </w:tr>
      <w:tr>
        <w:tc>
          <w:tcPr>
            <w:tcW w:type="dxa" w:w="3250"/>
          </w:tcPr>
          <w:p>
            <w:pPr>
              <w:spacing w:after="40" w:before="40"/>
            </w:pPr>
            <w:r>
              <w:rPr>
                <w:rFonts w:ascii="Calibri" w:hAnsi="Calibri"/>
                <w:b w:val="0"/>
                <w:sz w:val="20"/>
              </w:rPr>
              <w:t>Taurus</w:t>
            </w:r>
          </w:p>
        </w:tc>
        <w:tc>
          <w:tcPr>
            <w:tcW w:type="dxa" w:w="3250"/>
          </w:tcPr>
          <w:p>
            <w:pPr>
              <w:spacing w:after="40" w:before="40"/>
            </w:pPr>
            <w:r>
              <w:rPr>
                <w:rFonts w:ascii="Calibri" w:hAnsi="Calibri"/>
                <w:b w:val="0"/>
                <w:sz w:val="20"/>
              </w:rPr>
              <w:t>Raised USD 100 million in Series C funding led by Deutsche Bank and SBI Holdings, valuing the firm at approximately USD 600 million.</w:t>
            </w:r>
          </w:p>
        </w:tc>
        <w:tc>
          <w:tcPr>
            <w:tcW w:type="dxa" w:w="3250"/>
          </w:tcPr>
          <w:p>
            <w:pPr>
              <w:spacing w:after="40" w:before="40"/>
            </w:pPr>
            <w:r>
              <w:rPr>
                <w:rFonts w:ascii="Calibri" w:hAnsi="Calibri"/>
                <w:b w:val="0"/>
                <w:sz w:val="20"/>
              </w:rPr>
              <w:t>Validates the white-label tokenisation infrastructure model and deepens bank partnerships for regulated digital securities issuance.</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