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20" w:type="dxa"/>
        <w:jc w:val="center"/>
        <w:tblLayout w:type="fixed"/>
        <w:tblCellMar>
          <w:left w:w="0" w:type="dxa"/>
          <w:right w:w="0" w:type="dxa"/>
        </w:tblCellMar>
        <w:tblLook w:val="0000" w:firstRow="0" w:lastRow="0" w:firstColumn="0" w:lastColumn="0" w:noHBand="0" w:noVBand="0"/>
      </w:tblPr>
      <w:tblGrid>
        <w:gridCol w:w="1268"/>
        <w:gridCol w:w="3592"/>
        <w:gridCol w:w="4860"/>
      </w:tblGrid>
      <w:tr w:rsidR="00F0153E" w:rsidRPr="00E15B30" w14:paraId="4583F63F" w14:textId="77777777" w:rsidTr="003E7BD3">
        <w:trPr>
          <w:trHeight w:val="1080"/>
          <w:jc w:val="center"/>
        </w:trPr>
        <w:tc>
          <w:tcPr>
            <w:tcW w:w="4860" w:type="dxa"/>
            <w:gridSpan w:val="2"/>
            <w:tcBorders>
              <w:bottom w:val="single" w:sz="4" w:space="0" w:color="auto"/>
            </w:tcBorders>
          </w:tcPr>
          <w:p w14:paraId="575C1AC6" w14:textId="3E87E2F1" w:rsidR="00F0153E" w:rsidRPr="00E15B30" w:rsidRDefault="008A4165" w:rsidP="00E4290C">
            <w:pPr>
              <w:pStyle w:val="TableText"/>
              <w:spacing w:before="0"/>
            </w:pPr>
            <w:r>
              <w:rPr>
                <w:noProof/>
              </w:rPr>
              <w:drawing>
                <wp:inline distT="0" distB="0" distL="0" distR="0" wp14:anchorId="7E1A12A9" wp14:editId="494AD8CD">
                  <wp:extent cx="1168959" cy="532130"/>
                  <wp:effectExtent l="0" t="0" r="0" b="1270"/>
                  <wp:docPr id="1587254593" name="Picture 1"/>
                  <wp:cNvGraphicFramePr/>
                  <a:graphic xmlns:a="http://schemas.openxmlformats.org/drawingml/2006/main">
                    <a:graphicData uri="http://schemas.openxmlformats.org/drawingml/2006/picture">
                      <pic:pic xmlns:pic="http://schemas.openxmlformats.org/drawingml/2006/picture">
                        <pic:nvPicPr>
                          <pic:cNvPr id="1587254593" name=""/>
                          <pic:cNvPicPr/>
                        </pic:nvPicPr>
                        <pic:blipFill>
                          <a:blip r:embed="rId7"/>
                          <a:stretch>
                            <a:fillRect/>
                          </a:stretch>
                        </pic:blipFill>
                        <pic:spPr>
                          <a:xfrm>
                            <a:off x="0" y="0"/>
                            <a:ext cx="1168959" cy="532130"/>
                          </a:xfrm>
                          <a:prstGeom prst="rect">
                            <a:avLst/>
                          </a:prstGeom>
                        </pic:spPr>
                      </pic:pic>
                    </a:graphicData>
                  </a:graphic>
                </wp:inline>
              </w:drawing>
            </w:r>
          </w:p>
        </w:tc>
        <w:tc>
          <w:tcPr>
            <w:tcW w:w="4860" w:type="dxa"/>
            <w:tcBorders>
              <w:bottom w:val="single" w:sz="4" w:space="0" w:color="auto"/>
            </w:tcBorders>
          </w:tcPr>
          <w:p w14:paraId="037BF573" w14:textId="77777777" w:rsidR="00F0153E" w:rsidRPr="00E15B30" w:rsidRDefault="00F0153E" w:rsidP="00E4290C">
            <w:pPr>
              <w:pStyle w:val="TableText"/>
              <w:spacing w:before="0"/>
            </w:pPr>
          </w:p>
        </w:tc>
      </w:tr>
      <w:tr w:rsidR="00F673DD" w:rsidRPr="004F1175" w14:paraId="4E4C4429" w14:textId="77777777" w:rsidTr="00146EA2">
        <w:trPr>
          <w:trHeight w:hRule="exact" w:val="737"/>
          <w:jc w:val="center"/>
        </w:trPr>
        <w:tc>
          <w:tcPr>
            <w:tcW w:w="9720" w:type="dxa"/>
            <w:gridSpan w:val="3"/>
            <w:tcBorders>
              <w:top w:val="single" w:sz="4" w:space="0" w:color="auto"/>
            </w:tcBorders>
            <w:vAlign w:val="center"/>
          </w:tcPr>
          <w:p w14:paraId="728AB4F0" w14:textId="37D6C5AA" w:rsidR="00F673DD" w:rsidRPr="00146EA2" w:rsidRDefault="00B20EA9" w:rsidP="004F1175">
            <w:pPr>
              <w:pStyle w:val="Heading4"/>
              <w:spacing w:after="120"/>
              <w:rPr>
                <w:b/>
                <w:bCs/>
                <w:color w:val="auto"/>
              </w:rPr>
            </w:pPr>
            <w:r>
              <w:rPr>
                <w:rFonts w:ascii="Calibri" w:hAnsi="Calibri"/>
                <w:b/>
                <w:sz w:val="32"/>
              </w:rPr>
              <w:t>Monthly Executive Report</w:t>
            </w:r>
          </w:p>
        </w:tc>
      </w:tr>
      <w:tr w:rsidR="008A4165" w:rsidRPr="004F1175" w14:paraId="47BB3077" w14:textId="77777777" w:rsidTr="00F0153E">
        <w:trPr>
          <w:jc w:val="center"/>
        </w:trPr>
        <w:tc>
          <w:tcPr>
            <w:tcW w:w="1268" w:type="dxa"/>
          </w:tcPr>
          <w:p w14:paraId="6E1B2A30" w14:textId="7D75A177" w:rsidR="008A4165" w:rsidRPr="004F1175" w:rsidRDefault="00BD7056" w:rsidP="002B36E1">
            <w:pPr>
              <w:pStyle w:val="TableHeading"/>
              <w:spacing w:before="60" w:after="60" w:line="240" w:lineRule="auto"/>
            </w:pPr>
            <w:r>
              <w:t>To</w:t>
            </w:r>
            <w:r w:rsidR="008A4165">
              <w:t>:</w:t>
            </w:r>
          </w:p>
        </w:tc>
        <w:tc>
          <w:tcPr>
            <w:tcW w:w="8452" w:type="dxa"/>
            <w:gridSpan w:val="2"/>
          </w:tcPr>
          <w:p w14:paraId="232E713F" w14:textId="1D185793" w:rsidR="008A4165" w:rsidRPr="004F1175" w:rsidRDefault="00B20EA9" w:rsidP="002B36E1">
            <w:pPr>
              <w:pStyle w:val="TableText"/>
              <w:spacing w:before="60" w:after="60" w:line="240" w:lineRule="auto"/>
            </w:pPr>
            <w:r>
              <w:rPr>
                <w:rFonts w:ascii="Calibri" w:hAnsi="Calibri"/>
                <w:b w:val="0"/>
                <w:sz w:val="22"/>
              </w:rPr>
              <w:t>Senior Management Team</w:t>
            </w:r>
          </w:p>
        </w:tc>
      </w:tr>
      <w:tr w:rsidR="00BD7056" w:rsidRPr="004F1175" w14:paraId="63C0F30A" w14:textId="77777777" w:rsidTr="00F0153E">
        <w:trPr>
          <w:jc w:val="center"/>
        </w:trPr>
        <w:tc>
          <w:tcPr>
            <w:tcW w:w="1268" w:type="dxa"/>
          </w:tcPr>
          <w:p w14:paraId="19C9CC1C" w14:textId="24D637A0" w:rsidR="00BD7056" w:rsidRDefault="00BD7056" w:rsidP="002B36E1">
            <w:pPr>
              <w:pStyle w:val="TableHeading"/>
              <w:spacing w:before="60" w:after="60" w:line="240" w:lineRule="auto"/>
            </w:pPr>
            <w:r>
              <w:t>From</w:t>
            </w:r>
          </w:p>
        </w:tc>
        <w:tc>
          <w:tcPr>
            <w:tcW w:w="8452" w:type="dxa"/>
            <w:gridSpan w:val="2"/>
          </w:tcPr>
          <w:p w14:paraId="6DA811D4" w14:textId="28EDDBA5" w:rsidR="00BD7056" w:rsidRDefault="00B20EA9" w:rsidP="002B36E1">
            <w:pPr>
              <w:pStyle w:val="TableText"/>
              <w:spacing w:before="60" w:after="60" w:line="240" w:lineRule="auto"/>
            </w:pPr>
            <w:r>
              <w:rPr>
                <w:rFonts w:ascii="Calibri" w:hAnsi="Calibri"/>
                <w:b w:val="0"/>
                <w:sz w:val="22"/>
              </w:rPr>
              <w:t>Ian Sinclair</w:t>
            </w:r>
          </w:p>
        </w:tc>
      </w:tr>
      <w:tr w:rsidR="00385A2B" w:rsidRPr="004F1175" w14:paraId="785A6F95" w14:textId="77777777" w:rsidTr="00F0153E">
        <w:trPr>
          <w:jc w:val="center"/>
        </w:trPr>
        <w:tc>
          <w:tcPr>
            <w:tcW w:w="1268" w:type="dxa"/>
          </w:tcPr>
          <w:p w14:paraId="5EDFC52A" w14:textId="77777777" w:rsidR="00385A2B" w:rsidRPr="004F1175" w:rsidRDefault="00385A2B" w:rsidP="002B36E1">
            <w:pPr>
              <w:pStyle w:val="TableHeading"/>
              <w:spacing w:before="60" w:after="60" w:line="240" w:lineRule="auto"/>
            </w:pPr>
            <w:r w:rsidRPr="004F1175">
              <w:t>Date:</w:t>
            </w:r>
          </w:p>
        </w:tc>
        <w:tc>
          <w:tcPr>
            <w:tcW w:w="8452" w:type="dxa"/>
            <w:gridSpan w:val="2"/>
          </w:tcPr>
          <w:p w14:paraId="499BC827" w14:textId="4716796A" w:rsidR="00385A2B" w:rsidRPr="004F1175" w:rsidRDefault="00B20EA9" w:rsidP="002B36E1">
            <w:pPr>
              <w:pStyle w:val="TableText"/>
              <w:spacing w:before="60" w:after="60" w:line="240" w:lineRule="auto"/>
            </w:pPr>
            <w:r>
              <w:rPr>
                <w:rFonts w:ascii="Calibri" w:hAnsi="Calibri"/>
                <w:b w:val="0"/>
                <w:sz w:val="22"/>
              </w:rPr>
              <w:t>22 March 2026</w:t>
            </w:r>
          </w:p>
        </w:tc>
      </w:tr>
      <w:tr w:rsidR="00385A2B" w:rsidRPr="004F1175" w14:paraId="41ACC43F" w14:textId="77777777" w:rsidTr="00731D21">
        <w:trPr>
          <w:trHeight w:val="113"/>
          <w:jc w:val="center"/>
        </w:trPr>
        <w:tc>
          <w:tcPr>
            <w:tcW w:w="1268" w:type="dxa"/>
            <w:tcBorders>
              <w:bottom w:val="single" w:sz="4" w:space="0" w:color="auto"/>
            </w:tcBorders>
          </w:tcPr>
          <w:p w14:paraId="468DCAE4" w14:textId="77777777" w:rsidR="00385A2B" w:rsidRPr="00FA5342" w:rsidRDefault="00385A2B" w:rsidP="00201CB6">
            <w:pPr>
              <w:pStyle w:val="TableHeading"/>
              <w:spacing w:before="40"/>
              <w:rPr>
                <w:sz w:val="6"/>
                <w:szCs w:val="6"/>
              </w:rPr>
            </w:pPr>
          </w:p>
        </w:tc>
        <w:tc>
          <w:tcPr>
            <w:tcW w:w="8452" w:type="dxa"/>
            <w:gridSpan w:val="2"/>
            <w:tcBorders>
              <w:bottom w:val="single" w:sz="4" w:space="0" w:color="auto"/>
            </w:tcBorders>
          </w:tcPr>
          <w:p w14:paraId="48AD76A0" w14:textId="77777777" w:rsidR="00385A2B" w:rsidRPr="00FA5342" w:rsidRDefault="00385A2B" w:rsidP="004F1175">
            <w:pPr>
              <w:pStyle w:val="TableText"/>
              <w:rPr>
                <w:sz w:val="6"/>
                <w:szCs w:val="6"/>
              </w:rPr>
            </w:pPr>
          </w:p>
        </w:tc>
      </w:tr>
    </w:tbl>
    <w:p>
      <w:pPr>
        <w:spacing w:before="240" w:after="80"/>
        <w:pBdr>
          <w:bottom w:val="single" w:sz="6" w:space="1" w:color="00429B"/>
        </w:pBdr>
      </w:pPr>
      <w:r>
        <w:rPr>
          <w:rFonts w:ascii="Calibri" w:hAnsi="Calibri"/>
          <w:b/>
          <w:color w:val="00429B"/>
          <w:sz w:val="26"/>
        </w:rPr>
        <w:t>1. EXECUTIVE SUMMARY</w:t>
      </w:r>
    </w:p>
    <w:p>
      <w:pPr>
        <w:spacing w:after="120"/>
      </w:pPr>
      <w:r>
        <w:rPr>
          <w:rFonts w:ascii="Calibri" w:hAnsi="Calibri"/>
          <w:sz w:val="22"/>
        </w:rPr>
        <w:t>The dominant theme for March 2026 is the intensification of global trade tensions following the United States administration's announcement of a broadened tariff package targeting imports from the European Union, Canada, and several Asia-Pacific nations, which has driven significant equity volatility, a flight to safe-haven assets, and renewed FX dislocations that directly affect cross-border custody and settlement operations. Central banks have responded with measured rhetoric: the Federal Reserve held rates steady at its 18-19 March meeting while signaling that tariff-induced inflation uncertainty may delay any further easing, and the Bank of Canada similarly paused at 4.00% amid deteriorating trade outlook and a weakening Canadian dollar. On the regulatory front, the SEC's expanded T+1 enforcement posture and ESMA's finalization of the revised AIFMD reporting templates are creating immediate compliance workstreams for fund administrators and custodians. The competitive landscape remains active, with State Street completing its acquisition of a European fund administration platform and several digital asset custodians securing new regulatory approvals, underscoring the continued convergence of traditional and digital custody infrastructure.</w:t>
      </w:r>
    </w:p>
    <w:p>
      <w:pPr>
        <w:spacing w:before="240" w:after="80"/>
        <w:pBdr>
          <w:bottom w:val="single" w:sz="6" w:space="1" w:color="00429B"/>
        </w:pBdr>
      </w:pPr>
      <w:r>
        <w:rPr>
          <w:rFonts w:ascii="Calibri" w:hAnsi="Calibri"/>
          <w:b/>
          <w:color w:val="00429B"/>
          <w:sz w:val="26"/>
        </w:rPr>
        <w:t>2. MARKET &amp; MACRO ENVIRONMENT</w:t>
      </w:r>
    </w:p>
    <w:p>
      <w:pPr>
        <w:pStyle w:val="ListBullet"/>
        <w:spacing w:after="60"/>
      </w:pPr>
      <w:r>
        <w:rPr>
          <w:rFonts w:ascii="Calibri" w:hAnsi="Calibri"/>
          <w:sz w:val="21"/>
        </w:rPr>
        <w:t>Global equities experienced pronounced volatility in March, with the S&amp;P 500 falling approximately 3-4% month-on-month as the expanded US tariff announcement triggered broad risk-off sentiment; the EURO STOXX 50 and Nikkei 225 similarly declined, compressing fee-earning AUC/AUA across multi-jurisdictional custodians.</w:t>
      </w:r>
    </w:p>
    <w:p>
      <w:pPr>
        <w:pStyle w:val="ListBullet"/>
        <w:spacing w:after="60"/>
      </w:pPr>
      <w:r>
        <w:rPr>
          <w:rFonts w:ascii="Calibri" w:hAnsi="Calibri"/>
          <w:sz w:val="21"/>
        </w:rPr>
        <w:t>Fixed income markets saw a flight to quality, with the 10-year US Treasury yield declining toward the 3.90-4.00% range and the 10-year Bund yield easing below 2.30%, driving increased settlement volumes in government bond markets and heightened demand for tri-party collateral management services.</w:t>
      </w:r>
    </w:p>
    <w:p>
      <w:pPr>
        <w:pStyle w:val="ListBullet"/>
        <w:spacing w:after="60"/>
      </w:pPr>
      <w:r>
        <w:rPr>
          <w:rFonts w:ascii="Calibri" w:hAnsi="Calibri"/>
          <w:sz w:val="21"/>
        </w:rPr>
        <w:t>The Canadian dollar weakened materially, trading near 1.40 USD/CAD, as Canada was directly named in the new US tariff measures; this FX dislocation is generating elevated hedging activity among Canadian pension funds and asset managers with US-dollar-denominated holdings, increasing transaction volumes through custody FX desks.</w:t>
      </w:r>
    </w:p>
    <w:p>
      <w:pPr>
        <w:pStyle w:val="ListBullet"/>
        <w:spacing w:after="60"/>
      </w:pPr>
      <w:r>
        <w:rPr>
          <w:rFonts w:ascii="Calibri" w:hAnsi="Calibri"/>
          <w:sz w:val="21"/>
        </w:rPr>
        <w:t>Brent crude retreated to approximately USD 72-74 per barrel on demand concerns linked to trade disruption, while gold surged past USD 3,100 per ounce, reflecting safe-haven demand; these commodity moves affect the NAV calculations and collateral valuations of resource-heavy Canadian mandates.</w:t>
      </w:r>
    </w:p>
    <w:p>
      <w:pPr>
        <w:pStyle w:val="ListBullet"/>
        <w:spacing w:after="60"/>
      </w:pPr>
      <w:r>
        <w:rPr>
          <w:rFonts w:ascii="Calibri" w:hAnsi="Calibri"/>
          <w:sz w:val="21"/>
        </w:rPr>
        <w:t>Credit spreads widened modestly across investment-grade and high-yield indices, with the CDX North America IG index widening approximately 10-15 basis points, raising watchlist activity for securities lending counterparty risk and collateral adequacy monitoring.</w:t>
      </w:r>
    </w:p>
    <w:p>
      <w:pPr>
        <w:pStyle w:val="ListBullet"/>
        <w:spacing w:after="60"/>
      </w:pPr>
      <w:r>
        <w:rPr>
          <w:rFonts w:ascii="Calibri" w:hAnsi="Calibri"/>
          <w:sz w:val="21"/>
        </w:rPr>
        <w:t>Money market fund inflows accelerated globally as investors sought liquidity and capital preservation, increasing transfer agency and fund accounting workloads for short-duration products.</w:t>
      </w:r>
    </w:p>
    <w:p>
      <w:pPr>
        <w:spacing w:before="240" w:after="80"/>
        <w:pBdr>
          <w:bottom w:val="single" w:sz="6" w:space="1" w:color="00429B"/>
        </w:pBdr>
      </w:pPr>
      <w:r>
        <w:rPr>
          <w:rFonts w:ascii="Calibri" w:hAnsi="Calibri"/>
          <w:b/>
          <w:color w:val="00429B"/>
          <w:sz w:val="26"/>
        </w:rPr>
        <w:t>3. REGULATORY &amp; POLICY DEVELOPMENTS</w:t>
      </w:r>
    </w:p>
    <w:p>
      <w:pPr>
        <w:pStyle w:val="ListBullet"/>
        <w:spacing w:after="60"/>
      </w:pPr>
      <w:r>
        <w:rPr>
          <w:rFonts w:ascii="Calibri" w:hAnsi="Calibri"/>
          <w:sz w:val="21"/>
        </w:rPr>
        <w:t>The SEC issued updated guidance on T+1 settlement exception handling, emphasizing that custodians and broker-dealers must demonstrate measurable reductions in settlement fails by Q3 2026 or face enhanced reporting obligations; this directly impacts operational workflows and fail-management technology at RBC IS and peers.</w:t>
      </w:r>
    </w:p>
    <w:p>
      <w:pPr>
        <w:pStyle w:val="ListBullet"/>
        <w:spacing w:after="60"/>
      </w:pPr>
      <w:r>
        <w:rPr>
          <w:rFonts w:ascii="Calibri" w:hAnsi="Calibri"/>
          <w:sz w:val="21"/>
        </w:rPr>
        <w:t>ESMA published the final version of revised AIFMD/UCITS reporting templates under the AIFMD II framework, with a compliance date of Q1 2027; fund administrators servicing EU-domiciled funds must begin gap analysis and systems configuration immediately, particularly around delegation, liquidity risk, and loan origination data fields.</w:t>
      </w:r>
    </w:p>
    <w:p>
      <w:pPr>
        <w:pStyle w:val="ListBullet"/>
        <w:spacing w:after="60"/>
      </w:pPr>
      <w:r>
        <w:rPr>
          <w:rFonts w:ascii="Calibri" w:hAnsi="Calibri"/>
          <w:sz w:val="21"/>
        </w:rPr>
        <w:t>The CSSF in Luxembourg issued a circular reinforcing expectations for depositary banks to conduct enhanced due diligence on sub-custodian networks, particularly in jurisdictions affected by new sanctions regimes; this follows the EU's 15th sanctions package expansion targeting additional Russian-linked entities and sectors.</w:t>
      </w:r>
    </w:p>
    <w:p>
      <w:pPr>
        <w:pStyle w:val="ListBullet"/>
        <w:spacing w:after="60"/>
      </w:pPr>
      <w:r>
        <w:rPr>
          <w:rFonts w:ascii="Calibri" w:hAnsi="Calibri"/>
          <w:sz w:val="21"/>
        </w:rPr>
        <w:t>The Ontario Securities Commission (OSC) and Canadian Securities Administrators (CSA) released a consultation paper on crypto-asset custody standards for registered investment funds, proposing minimum requirements for segregation, insurance, and audit of digital asset holdings — directly relevant to RBC IS's institutional client base exploring digital asset allocations.</w:t>
      </w:r>
    </w:p>
    <w:p>
      <w:pPr>
        <w:pStyle w:val="ListBullet"/>
        <w:spacing w:after="60"/>
      </w:pPr>
      <w:r>
        <w:rPr>
          <w:rFonts w:ascii="Calibri" w:hAnsi="Calibri"/>
          <w:sz w:val="21"/>
        </w:rPr>
        <w:t>The FCA in the UK finalized its rules on the Overseas Funds Regime (OFR), granting equivalence recognition to certain EU UCITS for UK distribution; fund administrators must update prospectus documentation and reporting templates to reflect dual-regime compliance for cross-listed funds.</w:t>
      </w:r>
    </w:p>
    <w:p>
      <w:pPr>
        <w:pStyle w:val="ListBullet"/>
        <w:spacing w:after="60"/>
      </w:pPr>
      <w:r>
        <w:rPr>
          <w:rFonts w:ascii="Calibri" w:hAnsi="Calibri"/>
          <w:sz w:val="21"/>
        </w:rPr>
        <w:t>The Basel Committee published an updated FAQ on the prudential treatment of crypto-asset exposures (Basel III.1 implementation), clarifying capital charges for custodians holding tokenized securities versus unbacked crypto assets, with national implementation expected by 1 January 2027.</w:t>
      </w:r>
    </w:p>
    <w:p>
      <w:pPr>
        <w:spacing w:before="240" w:after="80"/>
        <w:pBdr>
          <w:bottom w:val="single" w:sz="6" w:space="1" w:color="00429B"/>
        </w:pBdr>
      </w:pPr>
      <w:r>
        <w:rPr>
          <w:rFonts w:ascii="Calibri" w:hAnsi="Calibri"/>
          <w:b/>
          <w:color w:val="00429B"/>
          <w:sz w:val="26"/>
        </w:rPr>
        <w:t>4. INDUSTRY &amp; COMPETITIVE LANDSCAPE</w:t>
      </w:r>
    </w:p>
    <w:p>
      <w:pPr>
        <w:pStyle w:val="ListBullet"/>
        <w:spacing w:after="60"/>
      </w:pPr>
      <w:r>
        <w:rPr>
          <w:rFonts w:ascii="Calibri" w:hAnsi="Calibri"/>
          <w:sz w:val="21"/>
        </w:rPr>
        <w:t>State Street completed the acquisition of a mid-sized European fund administration business (reportedly in the EUR 300-500 million range), strengthening its Luxembourg and Dublin operations and intensifying competition for UCITS and AIFMD servicing mandates in which RBC IS has significant market share.</w:t>
      </w:r>
    </w:p>
    <w:p>
      <w:pPr>
        <w:pStyle w:val="ListBullet"/>
        <w:spacing w:after="60"/>
      </w:pPr>
      <w:r>
        <w:rPr>
          <w:rFonts w:ascii="Calibri" w:hAnsi="Calibri"/>
          <w:sz w:val="21"/>
        </w:rPr>
        <w:t>BNY announced a strategic partnership with a major cloud-native data analytics firm to enhance its middle-office and performance attribution capabilities, signaling continued investment in technology-led differentiation in the institutional asset servicing segment.</w:t>
      </w:r>
    </w:p>
    <w:p>
      <w:pPr>
        <w:pStyle w:val="ListBullet"/>
        <w:spacing w:after="60"/>
      </w:pPr>
      <w:r>
        <w:rPr>
          <w:rFonts w:ascii="Calibri" w:hAnsi="Calibri"/>
          <w:sz w:val="21"/>
        </w:rPr>
        <w:t>Northern Trust expanded its ESG data and reporting suite through a partnership with a specialist climate analytics provider, responding to growing demand from pension fund clients for Scope 3 emissions reporting integrated into custodial reporting packages.</w:t>
      </w:r>
    </w:p>
    <w:p>
      <w:pPr>
        <w:pStyle w:val="ListBullet"/>
        <w:spacing w:after="60"/>
      </w:pPr>
      <w:r>
        <w:rPr>
          <w:rFonts w:ascii="Calibri" w:hAnsi="Calibri"/>
          <w:sz w:val="21"/>
        </w:rPr>
        <w:t>HSBC Securities Services launched a tokenized fund distribution pilot in Hong Kong and Singapore in collaboration with a distributed ledger technology provider, positioning itself as a first mover in Asia-Pacific for regulated tokenized fund shares — a market segment RBC IS should monitor closely.</w:t>
      </w:r>
    </w:p>
    <w:p>
      <w:pPr>
        <w:pStyle w:val="ListBullet"/>
        <w:spacing w:after="60"/>
      </w:pPr>
      <w:r>
        <w:rPr>
          <w:rFonts w:ascii="Calibri" w:hAnsi="Calibri"/>
          <w:sz w:val="21"/>
        </w:rPr>
        <w:t>Citi Securities Services reportedly won a significant sub-custody mandate from a large Middle Eastern sovereign wealth fund, underscoring continued competitive pressure in the sub-custody space, particularly in emerging and frontier markets.</w:t>
      </w:r>
    </w:p>
    <w:p>
      <w:pPr>
        <w:pStyle w:val="ListBullet"/>
        <w:spacing w:after="60"/>
      </w:pPr>
      <w:r>
        <w:rPr>
          <w:rFonts w:ascii="Calibri" w:hAnsi="Calibri"/>
          <w:sz w:val="21"/>
        </w:rPr>
        <w:t>Among FinTech challengers, Taurus (Swiss-based digital asset infrastructure firm) secured a Series B+ funding round, reportedly at a valuation exceeding USD 1 billion, reflecting investor confidence in regulated digital custody and tokenization platforms serving institutional clients.</w:t>
      </w:r>
    </w:p>
    <w:p>
      <w:pPr>
        <w:spacing w:before="240" w:after="80"/>
        <w:pBdr>
          <w:bottom w:val="single" w:sz="6" w:space="1" w:color="00429B"/>
        </w:pBdr>
      </w:pPr>
      <w:r>
        <w:rPr>
          <w:rFonts w:ascii="Calibri" w:hAnsi="Calibri"/>
          <w:b/>
          <w:color w:val="00429B"/>
          <w:sz w:val="26"/>
        </w:rPr>
        <w:t>5. RISK DASHBOARD</w:t>
      </w:r>
    </w:p>
    <w:tbl>
      <w:tblPr>
        <w:tblStyle w:val="TableGrid"/>
        <w:tblW w:type="auto" w:w="0"/>
        <w:tblLook w:firstColumn="1" w:firstRow="1" w:lastColumn="0" w:lastRow="0" w:noHBand="0" w:noVBand="1" w:val="04A0"/>
      </w:tblPr>
      <w:tblGrid>
        <w:gridCol w:w="2437"/>
        <w:gridCol w:w="2437"/>
        <w:gridCol w:w="2437"/>
        <w:gridCol w:w="2437"/>
      </w:tblGrid>
      <w:tr>
        <w:tc>
          <w:tcPr>
            <w:tcW w:type="dxa" w:w="2437"/>
            <w:shd w:val="clear" w:color="auto" w:fill="00429B"/>
          </w:tcPr>
          <w:p>
            <w:pPr>
              <w:spacing w:after="40" w:before="40"/>
            </w:pPr>
            <w:r>
              <w:rPr>
                <w:rFonts w:ascii="Calibri" w:hAnsi="Calibri"/>
                <w:b/>
                <w:color w:val="FFFFFF"/>
                <w:sz w:val="20"/>
              </w:rPr>
              <w:t>Risk Title</w:t>
            </w:r>
          </w:p>
        </w:tc>
        <w:tc>
          <w:tcPr>
            <w:tcW w:type="dxa" w:w="2437"/>
            <w:shd w:val="clear" w:color="auto" w:fill="00429B"/>
          </w:tcPr>
          <w:p>
            <w:pPr>
              <w:spacing w:after="40" w:before="40"/>
            </w:pPr>
            <w:r>
              <w:rPr>
                <w:rFonts w:ascii="Calibri" w:hAnsi="Calibri"/>
                <w:b/>
                <w:color w:val="FFFFFF"/>
                <w:sz w:val="20"/>
              </w:rPr>
              <w:t>Category</w:t>
            </w:r>
          </w:p>
        </w:tc>
        <w:tc>
          <w:tcPr>
            <w:tcW w:type="dxa" w:w="2437"/>
            <w:shd w:val="clear" w:color="auto" w:fill="00429B"/>
          </w:tcPr>
          <w:p>
            <w:pPr>
              <w:spacing w:after="40" w:before="40"/>
            </w:pPr>
            <w:r>
              <w:rPr>
                <w:rFonts w:ascii="Calibri" w:hAnsi="Calibri"/>
                <w:b/>
                <w:color w:val="FFFFFF"/>
                <w:sz w:val="20"/>
              </w:rPr>
              <w:t>Description</w:t>
            </w:r>
          </w:p>
        </w:tc>
        <w:tc>
          <w:tcPr>
            <w:tcW w:type="dxa" w:w="2437"/>
            <w:shd w:val="clear" w:color="auto" w:fill="00429B"/>
          </w:tcPr>
          <w:p>
            <w:pPr>
              <w:spacing w:after="40" w:before="40"/>
            </w:pPr>
            <w:r>
              <w:rPr>
                <w:rFonts w:ascii="Calibri" w:hAnsi="Calibri"/>
                <w:b/>
                <w:color w:val="FFFFFF"/>
                <w:sz w:val="20"/>
              </w:rPr>
              <w:t>Direction</w:t>
            </w:r>
          </w:p>
        </w:tc>
      </w:tr>
      <w:tr>
        <w:tc>
          <w:tcPr>
            <w:tcW w:type="dxa" w:w="2437"/>
          </w:tcPr>
          <w:p>
            <w:pPr>
              <w:spacing w:after="40" w:before="40"/>
            </w:pPr>
            <w:r>
              <w:rPr>
                <w:rFonts w:ascii="Calibri" w:hAnsi="Calibri"/>
                <w:b w:val="0"/>
                <w:sz w:val="20"/>
              </w:rPr>
              <w:t>Trade policy escalation &amp; tariff uncertainty</w:t>
            </w:r>
          </w:p>
        </w:tc>
        <w:tc>
          <w:tcPr>
            <w:tcW w:type="dxa" w:w="2437"/>
          </w:tcPr>
          <w:p>
            <w:pPr>
              <w:spacing w:after="40" w:before="40"/>
            </w:pPr>
            <w:r>
              <w:rPr>
                <w:rFonts w:ascii="Calibri" w:hAnsi="Calibri"/>
                <w:b w:val="0"/>
                <w:sz w:val="20"/>
              </w:rPr>
              <w:t>MARKET</w:t>
            </w:r>
          </w:p>
        </w:tc>
        <w:tc>
          <w:tcPr>
            <w:tcW w:type="dxa" w:w="2437"/>
          </w:tcPr>
          <w:p>
            <w:pPr>
              <w:spacing w:after="40" w:before="40"/>
            </w:pPr>
            <w:r>
              <w:rPr>
                <w:rFonts w:ascii="Calibri" w:hAnsi="Calibri"/>
                <w:b w:val="0"/>
                <w:sz w:val="20"/>
              </w:rPr>
              <w:t>Expanded US tariffs on Canada, EU, and APAC imports are driving equity drawdowns, FX volatility, and unpredictable shifts in cross-border capital flows that affect AUC/AUA levels and transaction volumes.</w:t>
            </w:r>
          </w:p>
        </w:tc>
        <w:tc>
          <w:tcPr>
            <w:tcW w:type="dxa" w:w="2437"/>
          </w:tcPr>
          <w:p>
            <w:pPr>
              <w:spacing w:after="40" w:before="40"/>
            </w:pPr>
            <w:r>
              <w:rPr>
                <w:rFonts w:ascii="Calibri" w:hAnsi="Calibri"/>
                <w:b/>
                <w:color w:val="CC0000"/>
                <w:sz w:val="20"/>
              </w:rPr>
              <w:t>↑ INCREASING</w:t>
            </w:r>
          </w:p>
        </w:tc>
      </w:tr>
      <w:tr>
        <w:tc>
          <w:tcPr>
            <w:tcW w:type="dxa" w:w="2437"/>
            <w:shd w:val="clear" w:color="auto" w:fill="EEF3FA"/>
          </w:tcPr>
          <w:p>
            <w:pPr>
              <w:spacing w:after="40" w:before="40"/>
            </w:pPr>
            <w:r>
              <w:rPr>
                <w:rFonts w:ascii="Calibri" w:hAnsi="Calibri"/>
                <w:b w:val="0"/>
                <w:sz w:val="20"/>
              </w:rPr>
              <w:t>Settlement fail rates under T+1 regime</w:t>
            </w:r>
          </w:p>
        </w:tc>
        <w:tc>
          <w:tcPr>
            <w:tcW w:type="dxa" w:w="2437"/>
            <w:shd w:val="clear" w:color="auto" w:fill="EEF3FA"/>
          </w:tcPr>
          <w:p>
            <w:pPr>
              <w:spacing w:after="40" w:before="40"/>
            </w:pPr>
            <w:r>
              <w:rPr>
                <w:rFonts w:ascii="Calibri" w:hAnsi="Calibri"/>
                <w:b w:val="0"/>
                <w:sz w:val="20"/>
              </w:rPr>
              <w:t>OPERATIONAL</w:t>
            </w:r>
          </w:p>
        </w:tc>
        <w:tc>
          <w:tcPr>
            <w:tcW w:type="dxa" w:w="2437"/>
            <w:shd w:val="clear" w:color="auto" w:fill="EEF3FA"/>
          </w:tcPr>
          <w:p>
            <w:pPr>
              <w:spacing w:after="40" w:before="40"/>
            </w:pPr>
            <w:r>
              <w:rPr>
                <w:rFonts w:ascii="Calibri" w:hAnsi="Calibri"/>
                <w:b w:val="0"/>
                <w:sz w:val="20"/>
              </w:rPr>
              <w:t>Elevated market volatility combined with increased cross-border transaction volumes are straining T+1 settlement processes, with industry fail rates rising toward levels that may trigger enhanced SEC scrutiny.</w:t>
            </w:r>
          </w:p>
        </w:tc>
        <w:tc>
          <w:tcPr>
            <w:tcW w:type="dxa" w:w="2437"/>
            <w:shd w:val="clear" w:color="auto" w:fill="EEF3FA"/>
          </w:tcPr>
          <w:p>
            <w:pPr>
              <w:spacing w:after="40" w:before="40"/>
            </w:pPr>
            <w:r>
              <w:rPr>
                <w:rFonts w:ascii="Calibri" w:hAnsi="Calibri"/>
                <w:b/>
                <w:color w:val="CC0000"/>
                <w:sz w:val="20"/>
              </w:rPr>
              <w:t>↑ INCREASING</w:t>
            </w:r>
          </w:p>
        </w:tc>
      </w:tr>
      <w:tr>
        <w:tc>
          <w:tcPr>
            <w:tcW w:type="dxa" w:w="2437"/>
          </w:tcPr>
          <w:p>
            <w:pPr>
              <w:spacing w:after="40" w:before="40"/>
            </w:pPr>
            <w:r>
              <w:rPr>
                <w:rFonts w:ascii="Calibri" w:hAnsi="Calibri"/>
                <w:b w:val="0"/>
                <w:sz w:val="20"/>
              </w:rPr>
              <w:t>Counterparty credit stress in securities lending</w:t>
            </w:r>
          </w:p>
        </w:tc>
        <w:tc>
          <w:tcPr>
            <w:tcW w:type="dxa" w:w="2437"/>
          </w:tcPr>
          <w:p>
            <w:pPr>
              <w:spacing w:after="40" w:before="40"/>
            </w:pPr>
            <w:r>
              <w:rPr>
                <w:rFonts w:ascii="Calibri" w:hAnsi="Calibri"/>
                <w:b w:val="0"/>
                <w:sz w:val="20"/>
              </w:rPr>
              <w:t>CREDIT</w:t>
            </w:r>
          </w:p>
        </w:tc>
        <w:tc>
          <w:tcPr>
            <w:tcW w:type="dxa" w:w="2437"/>
          </w:tcPr>
          <w:p>
            <w:pPr>
              <w:spacing w:after="40" w:before="40"/>
            </w:pPr>
            <w:r>
              <w:rPr>
                <w:rFonts w:ascii="Calibri" w:hAnsi="Calibri"/>
                <w:b w:val="0"/>
                <w:sz w:val="20"/>
              </w:rPr>
              <w:t>Widening credit spreads and equity declines are increasing margin call frequency and raising the risk of borrower default within securities lending programs, requiring intensified collateral monitoring.</w:t>
            </w:r>
          </w:p>
        </w:tc>
        <w:tc>
          <w:tcPr>
            <w:tcW w:type="dxa" w:w="2437"/>
          </w:tcPr>
          <w:p>
            <w:pPr>
              <w:spacing w:after="40" w:before="40"/>
            </w:pPr>
            <w:r>
              <w:rPr>
                <w:rFonts w:ascii="Calibri" w:hAnsi="Calibri"/>
                <w:b/>
                <w:color w:val="CC0000"/>
                <w:sz w:val="20"/>
              </w:rPr>
              <w:t>↑ INCREASING</w:t>
            </w:r>
          </w:p>
        </w:tc>
      </w:tr>
      <w:tr>
        <w:tc>
          <w:tcPr>
            <w:tcW w:type="dxa" w:w="2437"/>
            <w:shd w:val="clear" w:color="auto" w:fill="EEF3FA"/>
          </w:tcPr>
          <w:p>
            <w:pPr>
              <w:spacing w:after="40" w:before="40"/>
            </w:pPr>
            <w:r>
              <w:rPr>
                <w:rFonts w:ascii="Calibri" w:hAnsi="Calibri"/>
                <w:b w:val="0"/>
                <w:sz w:val="20"/>
              </w:rPr>
              <w:t>Ransomware targeting financial infrastructure</w:t>
            </w:r>
          </w:p>
        </w:tc>
        <w:tc>
          <w:tcPr>
            <w:tcW w:type="dxa" w:w="2437"/>
            <w:shd w:val="clear" w:color="auto" w:fill="EEF3FA"/>
          </w:tcPr>
          <w:p>
            <w:pPr>
              <w:spacing w:after="40" w:before="40"/>
            </w:pPr>
            <w:r>
              <w:rPr>
                <w:rFonts w:ascii="Calibri" w:hAnsi="Calibri"/>
                <w:b w:val="0"/>
                <w:sz w:val="20"/>
              </w:rPr>
              <w:t>CYBER</w:t>
            </w:r>
          </w:p>
        </w:tc>
        <w:tc>
          <w:tcPr>
            <w:tcW w:type="dxa" w:w="2437"/>
            <w:shd w:val="clear" w:color="auto" w:fill="EEF3FA"/>
          </w:tcPr>
          <w:p>
            <w:pPr>
              <w:spacing w:after="40" w:before="40"/>
            </w:pPr>
            <w:r>
              <w:rPr>
                <w:rFonts w:ascii="Calibri" w:hAnsi="Calibri"/>
                <w:b w:val="0"/>
                <w:sz w:val="20"/>
              </w:rPr>
              <w:t>Intelligence agencies (CISA, NCSC) have issued advisories on sophisticated ransomware campaigns targeting financial services firms and market infrastructure, with particular focus on supply chain compromise vectors.</w:t>
            </w:r>
          </w:p>
        </w:tc>
        <w:tc>
          <w:tcPr>
            <w:tcW w:type="dxa" w:w="2437"/>
            <w:shd w:val="clear" w:color="auto" w:fill="EEF3FA"/>
          </w:tcPr>
          <w:p>
            <w:pPr>
              <w:spacing w:after="40" w:before="40"/>
            </w:pPr>
            <w:r>
              <w:rPr>
                <w:rFonts w:ascii="Calibri" w:hAnsi="Calibri"/>
                <w:b/>
                <w:color w:val="CC0000"/>
                <w:sz w:val="20"/>
              </w:rPr>
              <w:t>↑ INCREASING</w:t>
            </w:r>
          </w:p>
        </w:tc>
      </w:tr>
      <w:tr>
        <w:tc>
          <w:tcPr>
            <w:tcW w:type="dxa" w:w="2437"/>
          </w:tcPr>
          <w:p>
            <w:pPr>
              <w:spacing w:after="40" w:before="40"/>
            </w:pPr>
            <w:r>
              <w:rPr>
                <w:rFonts w:ascii="Calibri" w:hAnsi="Calibri"/>
                <w:b w:val="0"/>
                <w:sz w:val="20"/>
              </w:rPr>
              <w:t>AIFMD II &amp; regulatory reporting readiness</w:t>
            </w:r>
          </w:p>
        </w:tc>
        <w:tc>
          <w:tcPr>
            <w:tcW w:type="dxa" w:w="2437"/>
          </w:tcPr>
          <w:p>
            <w:pPr>
              <w:spacing w:after="40" w:before="40"/>
            </w:pPr>
            <w:r>
              <w:rPr>
                <w:rFonts w:ascii="Calibri" w:hAnsi="Calibri"/>
                <w:b w:val="0"/>
                <w:sz w:val="20"/>
              </w:rPr>
              <w:t>REGULATORY</w:t>
            </w:r>
          </w:p>
        </w:tc>
        <w:tc>
          <w:tcPr>
            <w:tcW w:type="dxa" w:w="2437"/>
          </w:tcPr>
          <w:p>
            <w:pPr>
              <w:spacing w:after="40" w:before="40"/>
            </w:pPr>
            <w:r>
              <w:rPr>
                <w:rFonts w:ascii="Calibri" w:hAnsi="Calibri"/>
                <w:b w:val="0"/>
                <w:sz w:val="20"/>
              </w:rPr>
              <w:t>Multiple overlapping regulatory deadlines across SEC, ESMA, and CSA are creating capacity pressure on compliance and technology teams, with risk of gaps in implementation timelines.</w:t>
            </w:r>
          </w:p>
        </w:tc>
        <w:tc>
          <w:tcPr>
            <w:tcW w:type="dxa" w:w="2437"/>
          </w:tcPr>
          <w:p>
            <w:pPr>
              <w:spacing w:after="40" w:before="40"/>
            </w:pPr>
            <w:r>
              <w:rPr>
                <w:rFonts w:ascii="Calibri" w:hAnsi="Calibri"/>
                <w:b/>
                <w:color w:val="FF8000"/>
                <w:sz w:val="20"/>
              </w:rPr>
              <w:t>→ STABLE</w:t>
            </w:r>
          </w:p>
        </w:tc>
      </w:tr>
    </w:tbl>
    <w:p>
      <w:pPr>
        <w:spacing w:before="240" w:after="80"/>
        <w:pBdr>
          <w:bottom w:val="single" w:sz="6" w:space="1" w:color="00429B"/>
        </w:pBdr>
      </w:pPr>
      <w:r>
        <w:rPr>
          <w:rFonts w:ascii="Calibri" w:hAnsi="Calibri"/>
          <w:b/>
          <w:color w:val="00429B"/>
          <w:sz w:val="26"/>
        </w:rPr>
        <w:t>6. TECHNOLOGY &amp; DIGITAL ASSETS</w:t>
      </w:r>
    </w:p>
    <w:p>
      <w:pPr>
        <w:pStyle w:val="ListBullet"/>
        <w:spacing w:after="60"/>
      </w:pPr>
      <w:r>
        <w:rPr>
          <w:rFonts w:ascii="Calibri" w:hAnsi="Calibri"/>
          <w:sz w:val="21"/>
        </w:rPr>
        <w:t>Adoption of generative AI in fund administration continues to accelerate, with several major servicers (including BNY and SS&amp;C) deploying large language model-based tools for automated NAV commentary generation, exception resolution in reconciliation workflows, and investor query handling; RBC IS should benchmark its own AI roadmap against these deployments.</w:t>
      </w:r>
    </w:p>
    <w:p>
      <w:pPr>
        <w:pStyle w:val="ListBullet"/>
        <w:spacing w:after="60"/>
      </w:pPr>
      <w:r>
        <w:rPr>
          <w:rFonts w:ascii="Calibri" w:hAnsi="Calibri"/>
          <w:sz w:val="21"/>
        </w:rPr>
        <w:t>The European Central Bank's digital euro project entered its next preparatory phase, with implications for custody and cash management infrastructure; the ECB confirmed that a potential digital euro would operate alongside existing payment rails, but custodians need to assess the impact on client cash sweep and collateral management processes.</w:t>
      </w:r>
    </w:p>
    <w:p>
      <w:pPr>
        <w:pStyle w:val="ListBullet"/>
        <w:spacing w:after="60"/>
      </w:pPr>
      <w:r>
        <w:rPr>
          <w:rFonts w:ascii="Calibri" w:hAnsi="Calibri"/>
          <w:sz w:val="21"/>
        </w:rPr>
        <w:t>SWIFT's multi-phase tokenized asset settlement pilot, involving more than 20 global banks and CSDs, published interim results in March showing successful interoperability between traditional and tokenized settlement flows; the pilot is critical for defining how custodians will interact with tokenized securities across jurisdictions.</w:t>
      </w:r>
    </w:p>
    <w:p>
      <w:pPr>
        <w:pStyle w:val="ListBullet"/>
        <w:spacing w:after="60"/>
      </w:pPr>
      <w:r>
        <w:rPr>
          <w:rFonts w:ascii="Calibri" w:hAnsi="Calibri"/>
          <w:sz w:val="21"/>
        </w:rPr>
        <w:t>Progress on T+0 settlement feasibility continues in industry working groups, with DTCC publishing a white paper examining the operational and liquidity implications of moving beyond T+1; the paper highlights significant challenges for cross-border and multi-time-zone settlement, reinforcing that T+0 remains a medium-term aspiration rather than an imminent change.</w:t>
      </w:r>
    </w:p>
    <w:p>
      <w:pPr>
        <w:pStyle w:val="ListBullet"/>
        <w:spacing w:after="60"/>
      </w:pPr>
      <w:r>
        <w:rPr>
          <w:rFonts w:ascii="Calibri" w:hAnsi="Calibri"/>
          <w:sz w:val="21"/>
        </w:rPr>
        <w:t>Fireblocks and Copper both announced expanded support for institutional-grade wallet infrastructure compliant with MiCA (Markets in Crypto-Assets Regulation), positioning digital asset custodians for the full MiCA implementation timeline; this increases competitive pressure on traditional custodians to articulate their digital asset servicing strategies.</w:t>
      </w:r>
    </w:p>
    <w:p>
      <w:pPr>
        <w:pStyle w:val="ListBullet"/>
        <w:spacing w:after="60"/>
      </w:pPr>
      <w:r>
        <w:rPr>
          <w:rFonts w:ascii="Calibri" w:hAnsi="Calibri"/>
          <w:sz w:val="21"/>
        </w:rPr>
        <w:t>Cybersecurity remains a top-tier concern: the Financial Stability Board (FSB) published updated guidance on operational resilience for financial market infrastructures, explicitly addressing third-party technology provider risk and cloud concentration, areas where custodians face growing supervisory scrutiny.</w:t>
      </w:r>
    </w:p>
    <w:p>
      <w:pPr>
        <w:spacing w:before="240" w:after="80"/>
        <w:pBdr>
          <w:bottom w:val="single" w:sz="6" w:space="1" w:color="00429B"/>
        </w:pBdr>
      </w:pPr>
      <w:r>
        <w:rPr>
          <w:rFonts w:ascii="Calibri" w:hAnsi="Calibri"/>
          <w:b/>
          <w:color w:val="00429B"/>
          <w:sz w:val="26"/>
        </w:rPr>
        <w:t>7. KEY UPCOMING EVENTS — APRIL 2026</w:t>
      </w:r>
    </w:p>
    <w:p>
      <w:pPr>
        <w:spacing w:after="60"/>
      </w:pPr>
      <w:r>
        <w:rPr>
          <w:rFonts w:ascii="Calibri" w:hAnsi="Calibri"/>
          <w:sz w:val="21"/>
        </w:rPr>
        <w:t>01 Apr — ESMA Q1 2026 reporting deadline for AIFMD Annex IV filings by EU-domiciled fund managers</w:t>
      </w:r>
    </w:p>
    <w:p>
      <w:pPr>
        <w:spacing w:after="60"/>
      </w:pPr>
      <w:r>
        <w:rPr>
          <w:rFonts w:ascii="Calibri" w:hAnsi="Calibri"/>
          <w:sz w:val="21"/>
        </w:rPr>
        <w:t>02 Apr — Reserve Bank of Australia interest rate decision</w:t>
      </w:r>
    </w:p>
    <w:p>
      <w:pPr>
        <w:spacing w:after="60"/>
      </w:pPr>
      <w:r>
        <w:rPr>
          <w:rFonts w:ascii="Calibri" w:hAnsi="Calibri"/>
          <w:sz w:val="21"/>
        </w:rPr>
        <w:t>07-08 Apr — FundForum International conference (Luxembourg) — major European fund servicing industry event</w:t>
      </w:r>
    </w:p>
    <w:p>
      <w:pPr>
        <w:spacing w:after="60"/>
      </w:pPr>
      <w:r>
        <w:rPr>
          <w:rFonts w:ascii="Calibri" w:hAnsi="Calibri"/>
          <w:sz w:val="21"/>
        </w:rPr>
        <w:t>16 Apr — Bank of Canada interest rate decision and Monetary Policy Report</w:t>
      </w:r>
    </w:p>
    <w:p>
      <w:pPr>
        <w:spacing w:after="60"/>
      </w:pPr>
      <w:r>
        <w:rPr>
          <w:rFonts w:ascii="Calibri" w:hAnsi="Calibri"/>
          <w:sz w:val="21"/>
        </w:rPr>
        <w:t>22 Apr — European Central Bank Governing Council interest rate decision</w:t>
      </w:r>
    </w:p>
    <w:p>
      <w:pPr>
        <w:spacing w:after="60"/>
      </w:pPr>
      <w:r>
        <w:rPr>
          <w:rFonts w:ascii="Calibri" w:hAnsi="Calibri"/>
          <w:sz w:val="21"/>
        </w:rPr>
        <w:t>28-29 Apr — IOSCO Board meeting (Basel) — agenda includes digital asset custody standards and cross-border settlement</w:t>
      </w:r>
    </w:p>
    <w:p>
      <w:pPr>
        <w:spacing w:after="60"/>
      </w:pPr>
      <w:r>
        <w:rPr>
          <w:rFonts w:ascii="Calibri" w:hAnsi="Calibri"/>
          <w:sz w:val="21"/>
        </w:rPr>
        <w:t>29 Apr — US Q1 2026 GDP advance estimate release (Bureau of Economic Analysis)</w:t>
      </w:r>
    </w:p>
    <w:p>
      <w:pPr>
        <w:spacing w:after="60"/>
      </w:pPr>
      <w:r>
        <w:rPr>
          <w:rFonts w:ascii="Calibri" w:hAnsi="Calibri"/>
          <w:sz w:val="21"/>
        </w:rPr>
        <w:t>30 Apr — Bank of Japan monetary policy decision and Outlook Report</w:t>
      </w:r>
    </w:p>
    <w:p>
      <w:pPr>
        <w:spacing w:before="240" w:after="80"/>
        <w:pBdr>
          <w:bottom w:val="single" w:sz="6" w:space="1" w:color="00429B"/>
        </w:pBdr>
      </w:pPr>
      <w:r>
        <w:rPr>
          <w:rFonts w:ascii="Calibri" w:hAnsi="Calibri"/>
          <w:b/>
          <w:color w:val="00429B"/>
          <w:sz w:val="26"/>
        </w:rPr>
        <w:t>8. SMT WATCH LIST</w:t>
      </w:r>
    </w:p>
    <w:p>
      <w:pPr>
        <w:spacing w:after="60"/>
      </w:pPr>
      <w:r>
        <w:rPr>
          <w:rFonts w:ascii="Calibri" w:hAnsi="Calibri"/>
          <w:sz w:val="21"/>
        </w:rPr>
        <w:t>Theme 1: US-Canada Tariff Escalation &amp; Portfolio Rebalancing Pressure</w:t>
      </w:r>
    </w:p>
    <w:p>
      <w:pPr>
        <w:pStyle w:val="ListBullet"/>
        <w:spacing w:after="60"/>
      </w:pPr>
      <w:r>
        <w:rPr>
          <w:rFonts w:ascii="Calibri" w:hAnsi="Calibri"/>
          <w:sz w:val="21"/>
        </w:rPr>
        <w:t>The US administration's March tariff package includes expanded duties on Canadian goods beyond the existing steel and aluminum tariffs, and Canada has announced retaliatory measures. This trade friction is weakening the Canadian dollar, compressing equity valuations in trade-exposed sectors, and creating uncertainty around North American supply chains that form a significant portion of Canadian pension fund and insurance company equity and credit holdings.</w:t>
      </w:r>
    </w:p>
    <w:p>
      <w:pPr>
        <w:pStyle w:val="ListBullet"/>
        <w:spacing w:after="60"/>
      </w:pPr>
      <w:r>
        <w:rPr>
          <w:rFonts w:ascii="Calibri" w:hAnsi="Calibri"/>
          <w:sz w:val="21"/>
        </w:rPr>
        <w:t>For Canadian clients serviced through RBC IS, the immediate impacts are threefold: increased FX hedging transaction volumes on USD/CAD exposures, potential portfolio rebalancing as asset managers reduce US equity overweights or rotate into non-US markets, and heightened demand for scenario-based performance attribution reporting that isolates tariff-driven sector and currency effects on portfolio returns.</w:t>
      </w:r>
    </w:p>
    <w:p>
      <w:pPr>
        <w:pStyle w:val="ListBullet"/>
        <w:spacing w:after="60"/>
      </w:pPr>
      <w:r>
        <w:rPr>
          <w:rFonts w:ascii="Calibri" w:hAnsi="Calibri"/>
          <w:sz w:val="21"/>
        </w:rPr>
        <w:t>Recommended Action: RBC IS senior management should proactively engage the top 20 Canadian pension fund and asset manager clients with a targeted communication outlining enhanced FX execution and hedging support, accelerated trade settlement capacity for rebalancing flows, and availability of custom tariff-impact analytics within the reporting suite.</w:t>
      </w:r>
    </w:p>
    <w:p>
      <w:pPr>
        <w:spacing w:after="60"/>
      </w:pPr>
      <w:r>
        <w:rPr>
          <w:rFonts w:ascii="Calibri" w:hAnsi="Calibri"/>
          <w:sz w:val="21"/>
        </w:rPr>
        <w:t>Theme 2: CSA Crypto-Asset Custody Consultation &amp; Institutional Digital Asset Allocation</w:t>
      </w:r>
    </w:p>
    <w:p>
      <w:pPr>
        <w:pStyle w:val="ListBullet"/>
        <w:spacing w:after="60"/>
      </w:pPr>
      <w:r>
        <w:rPr>
          <w:rFonts w:ascii="Calibri" w:hAnsi="Calibri"/>
          <w:sz w:val="21"/>
        </w:rPr>
        <w:t>The CSA/OSC consultation paper on crypto-asset custody standards for registered investment funds, published in March, signals that Canadian regulators are moving toward a formal framework that would enable broader institutional participation in digital assets through regulated custodial channels. Several large Canadian pension plans have publicly discussed digital asset allocation strategies, and the consultation specifically addresses segregation requirements, insurance minimums, and audit standards that will determine which custodians qualify.</w:t>
      </w:r>
    </w:p>
    <w:p>
      <w:pPr>
        <w:pStyle w:val="ListBullet"/>
        <w:spacing w:after="60"/>
      </w:pPr>
      <w:r>
        <w:rPr>
          <w:rFonts w:ascii="Calibri" w:hAnsi="Calibri"/>
          <w:sz w:val="21"/>
        </w:rPr>
        <w:t>For RBC IS, this development has direct strategic relevance: Canadian institutional clients will require a qualified custodian capable of meeting the forthcoming CSA standards for digital assets, and those custodians that establish compliant infrastructure early will capture first-mover mandates. Clients currently holding or considering exposure to digital assets through fund structures will need updated custody agreements, reporting integration, and regulatory compliance support.</w:t>
      </w:r>
    </w:p>
    <w:p>
      <w:pPr>
        <w:pStyle w:val="ListBullet"/>
        <w:spacing w:after="60"/>
      </w:pPr>
      <w:r>
        <w:rPr>
          <w:rFonts w:ascii="Calibri" w:hAnsi="Calibri"/>
          <w:sz w:val="21"/>
        </w:rPr>
        <w:t>Recommended Action: RBC IS should convene an internal working group (spanning custody operations, legal, compliance, and technology) to prepare a formal response to the CSA consultation and simultaneously assess partnership or build-versus-buy options for digital asset custody infrastructure that meets the proposed regulatory standards, with a target to present a strategic recommendation to the SMT by end of Q2 2026.</w:t>
      </w:r>
    </w:p>
    <w:p>
      <w:pPr>
        <w:spacing w:after="60"/>
      </w:pPr>
      <w:r>
        <w:rPr>
          <w:rFonts w:ascii="Calibri" w:hAnsi="Calibri"/>
          <w:sz w:val="21"/>
        </w:rPr>
        <w:t>Theme 3: AIFMD II Reporting Overhaul &amp; Cross-Border Fund Servicing Complexity</w:t>
      </w:r>
    </w:p>
    <w:p>
      <w:pPr>
        <w:pStyle w:val="ListBullet"/>
        <w:spacing w:after="60"/>
      </w:pPr>
      <w:r>
        <w:rPr>
          <w:rFonts w:ascii="Calibri" w:hAnsi="Calibri"/>
          <w:sz w:val="21"/>
        </w:rPr>
        <w:t>ESMA's finalization of AIFMD II reporting templates introduces materially expanded data requirements for EU-domiciled alternative funds, including granular loan origination data, enhanced liquidity stress testing disclosures, and delegation transparency fields. Canadian asset managers operating through Luxembourg or Irish fund structures — which includes a significant proportion of RBC IS's cross-border client base — face a compliance deadline of Q1 2027 that requires substantial systems and process changes across the fund administration chain.</w:t>
      </w:r>
    </w:p>
    <w:p>
      <w:pPr>
        <w:pStyle w:val="ListBullet"/>
        <w:spacing w:after="60"/>
      </w:pPr>
      <w:r>
        <w:rPr>
          <w:rFonts w:ascii="Calibri" w:hAnsi="Calibri"/>
          <w:sz w:val="21"/>
        </w:rPr>
        <w:t>The impact on RBC IS operations is direct: the fund administration platform must be updated to capture, validate, and transmit the expanded AIFMD II data fields; client onboarding and standing data templates need revision; and the regulatory reporting engine requires reconfiguration. Canadian managers who delegate portfolio management from Toronto or Montreal to EU-domiciled AIFs will face additional scrutiny on delegation arrangements, requiring enhanced documentation and reporting.</w:t>
      </w:r>
    </w:p>
    <w:p>
      <w:pPr>
        <w:pStyle w:val="ListBullet"/>
        <w:spacing w:after="60"/>
      </w:pPr>
      <w:r>
        <w:rPr>
          <w:rFonts w:ascii="Calibri" w:hAnsi="Calibri"/>
          <w:sz w:val="21"/>
        </w:rPr>
        <w:t>Recommended Action: RBC IS should launch a dedicated AIFMD II implementation project with a client-facing workstream that includes impact assessments for each affected Canadian manager, a technology workstream to scope and schedule the reporting system upgrades, and a regulatory engagement workstream to liaise with the CSSF and Central Bank of Ireland on interpretation and timing — with a first milestone deliverable of client impact letters by end of April 2026.</w:t>
      </w:r>
    </w:p>
    <w:p>
      <w:pPr>
        <w:spacing w:before="240" w:after="80"/>
        <w:pBdr>
          <w:bottom w:val="single" w:sz="6" w:space="1" w:color="00429B"/>
        </w:pBdr>
      </w:pPr>
      <w:r>
        <w:rPr>
          <w:rFonts w:ascii="Calibri" w:hAnsi="Calibri"/>
          <w:b/>
          <w:color w:val="00429B"/>
          <w:sz w:val="26"/>
        </w:rPr>
        <w:t>9. TECHNOLOGY VENDOR LANDSCAPE</w:t>
      </w:r>
    </w:p>
    <w:p>
      <w:pPr>
        <w:pStyle w:val="ListBullet"/>
        <w:spacing w:after="60"/>
      </w:pPr>
      <w:r>
        <w:rPr>
          <w:rFonts w:ascii="Calibri" w:hAnsi="Calibri"/>
          <w:sz w:val="21"/>
        </w:rPr>
        <w:t>SimCorp (now part of Deutsche Boerse Group) announced enhancements to its SimCorp Dimension platform focused on integrated ESG data management and regulatory reporting, with specific modules designed to support AIFMD II and SFDR reporting obligations; the firm is positioning itself as the end-to-end front-to-back platform of choice for large asset managers and asset owners, which has implications for fund administrator value propositions.</w:t>
      </w:r>
    </w:p>
    <w:p>
      <w:pPr>
        <w:pStyle w:val="ListBullet"/>
        <w:spacing w:after="60"/>
      </w:pPr>
      <w:r>
        <w:rPr>
          <w:rFonts w:ascii="Calibri" w:hAnsi="Calibri"/>
          <w:sz w:val="21"/>
        </w:rPr>
        <w:t>SS&amp;C Technologies released an updated version of its ALPS fund administration platform incorporating generative AI-driven exception management and automated investor communication capabilities; SS&amp;C also reported continued strong demand for its Eze Eclipse order management system among hedge fund clients, reinforcing its dominant position in alternative fund servicing technology.</w:t>
      </w:r>
    </w:p>
    <w:p>
      <w:pPr>
        <w:pStyle w:val="ListBullet"/>
        <w:spacing w:after="60"/>
      </w:pPr>
      <w:r>
        <w:rPr>
          <w:rFonts w:ascii="Calibri" w:hAnsi="Calibri"/>
          <w:sz w:val="21"/>
        </w:rPr>
        <w:t>Broadridge expanded its Digital Distribution platform with new capabilities for tokenized fund share issuance and transfer agent services, partnering with a European CSD to enable end-to-end digital fund distribution; this positions Broadridge as a key infrastructure provider for the tokenized fund ecosystem that traditional custodians will need to interface with.</w:t>
      </w:r>
    </w:p>
    <w:p>
      <w:pPr>
        <w:pStyle w:val="ListBullet"/>
        <w:spacing w:after="60"/>
      </w:pPr>
      <w:r>
        <w:rPr>
          <w:rFonts w:ascii="Calibri" w:hAnsi="Calibri"/>
          <w:sz w:val="21"/>
        </w:rPr>
        <w:t>FIS Global continued its post-separation strategic realignment (following its partial divestiture of Worldpay), focusing its capital markets technology division on post-trade processing and securities finance solutions; FIS announced a new cloud-native collateral management module aimed at large custodian banks, which may be relevant to RBC IS's infrastructure modernization considerations.</w:t>
      </w:r>
    </w:p>
    <w:p>
      <w:pPr>
        <w:pStyle w:val="ListBullet"/>
        <w:spacing w:after="60"/>
      </w:pPr>
      <w:r>
        <w:rPr>
          <w:rFonts w:ascii="Calibri" w:hAnsi="Calibri"/>
          <w:sz w:val="21"/>
        </w:rPr>
        <w:t>Nasdaq Financial Technology (formerly Nasdaq Market Technology) expanded its Calypso platform offering with enhanced support for digital asset derivatives clearing and settlement, targeting CCP and custodian clients; the firm also launched a data-as-a-service product providing real-time market surveillance analytics to asset servicers.</w:t>
      </w:r>
    </w:p>
    <w:p>
      <w:pPr>
        <w:pStyle w:val="ListBullet"/>
        <w:spacing w:after="60"/>
      </w:pPr>
      <w:r>
        <w:rPr>
          <w:rFonts w:ascii="Calibri" w:hAnsi="Calibri"/>
          <w:sz w:val="21"/>
        </w:rPr>
        <w:t>SWIFT published results from Phase 2 of its tokenized asset interoperability experiments, demonstrating successful cross-chain settlement messaging across six DLT platforms; SWIFT emphasized that its existing messaging infrastructure can serve as the connective layer between traditional and tokenized securities markets, a development custodians should factor into their DLT strategy.</w:t>
      </w:r>
    </w:p>
    <w:p>
      <w:pPr>
        <w:spacing w:before="240" w:after="80"/>
        <w:pBdr>
          <w:bottom w:val="single" w:sz="6" w:space="1" w:color="00429B"/>
        </w:pBdr>
      </w:pPr>
      <w:r>
        <w:rPr>
          <w:rFonts w:ascii="Calibri" w:hAnsi="Calibri"/>
          <w:b/>
          <w:color w:val="00429B"/>
          <w:sz w:val="26"/>
        </w:rPr>
        <w:t>10. KEY MACRO ECONOMIC INDICES</w:t>
      </w:r>
    </w:p>
    <w:tbl>
      <w:tblPr>
        <w:tblStyle w:val="TableGrid"/>
        <w:tblW w:type="auto" w:w="0"/>
        <w:tblLook w:firstColumn="1" w:firstRow="1" w:lastColumn="0" w:lastRow="0" w:noHBand="0" w:noVBand="1" w:val="04A0"/>
      </w:tblPr>
      <w:tblGrid>
        <w:gridCol w:w="2437"/>
        <w:gridCol w:w="2437"/>
        <w:gridCol w:w="2437"/>
        <w:gridCol w:w="2437"/>
      </w:tblGrid>
      <w:tr>
        <w:tc>
          <w:tcPr>
            <w:tcW w:type="dxa" w:w="2437"/>
            <w:shd w:val="clear" w:color="auto" w:fill="00429B"/>
          </w:tcPr>
          <w:p>
            <w:pPr>
              <w:spacing w:after="40" w:before="40"/>
            </w:pPr>
            <w:r>
              <w:rPr>
                <w:rFonts w:ascii="Calibri" w:hAnsi="Calibri"/>
                <w:b/>
                <w:color w:val="FFFFFF"/>
                <w:sz w:val="20"/>
              </w:rPr>
              <w:t>Index</w:t>
            </w:r>
          </w:p>
        </w:tc>
        <w:tc>
          <w:tcPr>
            <w:tcW w:type="dxa" w:w="2437"/>
            <w:shd w:val="clear" w:color="auto" w:fill="00429B"/>
          </w:tcPr>
          <w:p>
            <w:pPr>
              <w:spacing w:after="40" w:before="40"/>
            </w:pPr>
            <w:r>
              <w:rPr>
                <w:rFonts w:ascii="Calibri" w:hAnsi="Calibri"/>
                <w:b/>
                <w:color w:val="FFFFFF"/>
                <w:sz w:val="20"/>
              </w:rPr>
              <w:t>Level</w:t>
            </w:r>
          </w:p>
        </w:tc>
        <w:tc>
          <w:tcPr>
            <w:tcW w:type="dxa" w:w="2437"/>
            <w:shd w:val="clear" w:color="auto" w:fill="00429B"/>
          </w:tcPr>
          <w:p>
            <w:pPr>
              <w:spacing w:after="40" w:before="40"/>
            </w:pPr>
            <w:r>
              <w:rPr>
                <w:rFonts w:ascii="Calibri" w:hAnsi="Calibri"/>
                <w:b/>
                <w:color w:val="FFFFFF"/>
                <w:sz w:val="20"/>
              </w:rPr>
              <w:t>Month Change</w:t>
            </w:r>
          </w:p>
        </w:tc>
        <w:tc>
          <w:tcPr>
            <w:tcW w:type="dxa" w:w="2437"/>
            <w:shd w:val="clear" w:color="auto" w:fill="00429B"/>
          </w:tcPr>
          <w:p>
            <w:pPr>
              <w:spacing w:after="40" w:before="40"/>
            </w:pPr>
            <w:r>
              <w:rPr>
                <w:rFonts w:ascii="Calibri" w:hAnsi="Calibri"/>
                <w:b/>
                <w:color w:val="FFFFFF"/>
                <w:sz w:val="20"/>
              </w:rPr>
              <w:t>YTD Change</w:t>
            </w:r>
          </w:p>
        </w:tc>
      </w:tr>
      <w:tr>
        <w:tc>
          <w:tcPr>
            <w:tcW w:type="dxa" w:w="2437"/>
          </w:tcPr>
          <w:p>
            <w:pPr>
              <w:spacing w:after="40" w:before="40"/>
            </w:pPr>
            <w:r>
              <w:rPr>
                <w:rFonts w:ascii="Calibri" w:hAnsi="Calibri"/>
                <w:b w:val="0"/>
                <w:sz w:val="20"/>
              </w:rPr>
              <w:t>S&amp;P 500</w:t>
            </w:r>
          </w:p>
        </w:tc>
        <w:tc>
          <w:tcPr>
            <w:tcW w:type="dxa" w:w="2437"/>
          </w:tcPr>
          <w:p>
            <w:pPr>
              <w:spacing w:after="40" w:before="40"/>
            </w:pPr>
            <w:r>
              <w:rPr>
                <w:rFonts w:ascii="Calibri" w:hAnsi="Calibri"/>
                <w:b w:val="0"/>
                <w:sz w:val="20"/>
              </w:rPr>
              <w:t>5,550</w:t>
            </w:r>
          </w:p>
        </w:tc>
        <w:tc>
          <w:tcPr>
            <w:tcW w:type="dxa" w:w="2437"/>
          </w:tcPr>
          <w:p>
            <w:pPr>
              <w:spacing w:after="40" w:before="40"/>
            </w:pPr>
            <w:r>
              <w:rPr>
                <w:rFonts w:ascii="Calibri" w:hAnsi="Calibri"/>
                <w:b w:val="0"/>
                <w:color w:val="CC0000"/>
                <w:sz w:val="20"/>
              </w:rPr>
              <w:t>-3.5%</w:t>
            </w:r>
          </w:p>
        </w:tc>
        <w:tc>
          <w:tcPr>
            <w:tcW w:type="dxa" w:w="2437"/>
          </w:tcPr>
          <w:p>
            <w:pPr>
              <w:spacing w:after="40" w:before="40"/>
            </w:pPr>
            <w:r>
              <w:rPr>
                <w:rFonts w:ascii="Calibri" w:hAnsi="Calibri"/>
                <w:b w:val="0"/>
                <w:color w:val="CC0000"/>
                <w:sz w:val="20"/>
              </w:rPr>
              <w:t>-2.0%</w:t>
            </w:r>
          </w:p>
        </w:tc>
      </w:tr>
      <w:tr>
        <w:tc>
          <w:tcPr>
            <w:tcW w:type="dxa" w:w="2437"/>
            <w:shd w:val="clear" w:color="auto" w:fill="EEF3FA"/>
          </w:tcPr>
          <w:p>
            <w:pPr>
              <w:spacing w:after="40" w:before="40"/>
            </w:pPr>
            <w:r>
              <w:rPr>
                <w:rFonts w:ascii="Calibri" w:hAnsi="Calibri"/>
                <w:b w:val="0"/>
                <w:sz w:val="20"/>
              </w:rPr>
              <w:t>FTSE 100</w:t>
            </w:r>
          </w:p>
        </w:tc>
        <w:tc>
          <w:tcPr>
            <w:tcW w:type="dxa" w:w="2437"/>
            <w:shd w:val="clear" w:color="auto" w:fill="EEF3FA"/>
          </w:tcPr>
          <w:p>
            <w:pPr>
              <w:spacing w:after="40" w:before="40"/>
            </w:pPr>
            <w:r>
              <w:rPr>
                <w:rFonts w:ascii="Calibri" w:hAnsi="Calibri"/>
                <w:b w:val="0"/>
                <w:sz w:val="20"/>
              </w:rPr>
              <w:t>8,250</w:t>
            </w:r>
          </w:p>
        </w:tc>
        <w:tc>
          <w:tcPr>
            <w:tcW w:type="dxa" w:w="2437"/>
            <w:shd w:val="clear" w:color="auto" w:fill="EEF3FA"/>
          </w:tcPr>
          <w:p>
            <w:pPr>
              <w:spacing w:after="40" w:before="40"/>
            </w:pPr>
            <w:r>
              <w:rPr>
                <w:rFonts w:ascii="Calibri" w:hAnsi="Calibri"/>
                <w:b w:val="0"/>
                <w:color w:val="CC0000"/>
                <w:sz w:val="20"/>
              </w:rPr>
              <w:t>-2.0%</w:t>
            </w:r>
          </w:p>
        </w:tc>
        <w:tc>
          <w:tcPr>
            <w:tcW w:type="dxa" w:w="2437"/>
            <w:shd w:val="clear" w:color="auto" w:fill="EEF3FA"/>
          </w:tcPr>
          <w:p>
            <w:pPr>
              <w:spacing w:after="40" w:before="40"/>
            </w:pPr>
            <w:r>
              <w:rPr>
                <w:rFonts w:ascii="Calibri" w:hAnsi="Calibri"/>
                <w:b w:val="0"/>
                <w:color w:val="007A33"/>
                <w:sz w:val="20"/>
              </w:rPr>
              <w:t>+1.5%</w:t>
            </w:r>
          </w:p>
        </w:tc>
      </w:tr>
      <w:tr>
        <w:tc>
          <w:tcPr>
            <w:tcW w:type="dxa" w:w="2437"/>
          </w:tcPr>
          <w:p>
            <w:pPr>
              <w:spacing w:after="40" w:before="40"/>
            </w:pPr>
            <w:r>
              <w:rPr>
                <w:rFonts w:ascii="Calibri" w:hAnsi="Calibri"/>
                <w:b w:val="0"/>
                <w:sz w:val="20"/>
              </w:rPr>
              <w:t>EURO STOXX 50</w:t>
            </w:r>
          </w:p>
        </w:tc>
        <w:tc>
          <w:tcPr>
            <w:tcW w:type="dxa" w:w="2437"/>
          </w:tcPr>
          <w:p>
            <w:pPr>
              <w:spacing w:after="40" w:before="40"/>
            </w:pPr>
            <w:r>
              <w:rPr>
                <w:rFonts w:ascii="Calibri" w:hAnsi="Calibri"/>
                <w:b w:val="0"/>
                <w:sz w:val="20"/>
              </w:rPr>
              <w:t>5,050</w:t>
            </w:r>
          </w:p>
        </w:tc>
        <w:tc>
          <w:tcPr>
            <w:tcW w:type="dxa" w:w="2437"/>
          </w:tcPr>
          <w:p>
            <w:pPr>
              <w:spacing w:after="40" w:before="40"/>
            </w:pPr>
            <w:r>
              <w:rPr>
                <w:rFonts w:ascii="Calibri" w:hAnsi="Calibri"/>
                <w:b w:val="0"/>
                <w:color w:val="CC0000"/>
                <w:sz w:val="20"/>
              </w:rPr>
              <w:t>-2.8%</w:t>
            </w:r>
          </w:p>
        </w:tc>
        <w:tc>
          <w:tcPr>
            <w:tcW w:type="dxa" w:w="2437"/>
          </w:tcPr>
          <w:p>
            <w:pPr>
              <w:spacing w:after="40" w:before="40"/>
            </w:pPr>
            <w:r>
              <w:rPr>
                <w:rFonts w:ascii="Calibri" w:hAnsi="Calibri"/>
                <w:b w:val="0"/>
                <w:color w:val="007A33"/>
                <w:sz w:val="20"/>
              </w:rPr>
              <w:t>+3.0%</w:t>
            </w:r>
          </w:p>
        </w:tc>
      </w:tr>
      <w:tr>
        <w:tc>
          <w:tcPr>
            <w:tcW w:type="dxa" w:w="2437"/>
            <w:shd w:val="clear" w:color="auto" w:fill="EEF3FA"/>
          </w:tcPr>
          <w:p>
            <w:pPr>
              <w:spacing w:after="40" w:before="40"/>
            </w:pPr>
            <w:r>
              <w:rPr>
                <w:rFonts w:ascii="Calibri" w:hAnsi="Calibri"/>
                <w:b w:val="0"/>
                <w:sz w:val="20"/>
              </w:rPr>
              <w:t>Nikkei 225</w:t>
            </w:r>
          </w:p>
        </w:tc>
        <w:tc>
          <w:tcPr>
            <w:tcW w:type="dxa" w:w="2437"/>
            <w:shd w:val="clear" w:color="auto" w:fill="EEF3FA"/>
          </w:tcPr>
          <w:p>
            <w:pPr>
              <w:spacing w:after="40" w:before="40"/>
            </w:pPr>
            <w:r>
              <w:rPr>
                <w:rFonts w:ascii="Calibri" w:hAnsi="Calibri"/>
                <w:b w:val="0"/>
                <w:sz w:val="20"/>
              </w:rPr>
              <w:t>37,500</w:t>
            </w:r>
          </w:p>
        </w:tc>
        <w:tc>
          <w:tcPr>
            <w:tcW w:type="dxa" w:w="2437"/>
            <w:shd w:val="clear" w:color="auto" w:fill="EEF3FA"/>
          </w:tcPr>
          <w:p>
            <w:pPr>
              <w:spacing w:after="40" w:before="40"/>
            </w:pPr>
            <w:r>
              <w:rPr>
                <w:rFonts w:ascii="Calibri" w:hAnsi="Calibri"/>
                <w:b w:val="0"/>
                <w:color w:val="CC0000"/>
                <w:sz w:val="20"/>
              </w:rPr>
              <w:t>-3.0%</w:t>
            </w:r>
          </w:p>
        </w:tc>
        <w:tc>
          <w:tcPr>
            <w:tcW w:type="dxa" w:w="2437"/>
            <w:shd w:val="clear" w:color="auto" w:fill="EEF3FA"/>
          </w:tcPr>
          <w:p>
            <w:pPr>
              <w:spacing w:after="40" w:before="40"/>
            </w:pPr>
            <w:r>
              <w:rPr>
                <w:rFonts w:ascii="Calibri" w:hAnsi="Calibri"/>
                <w:b w:val="0"/>
                <w:color w:val="CC0000"/>
                <w:sz w:val="20"/>
              </w:rPr>
              <w:t>-4.0%</w:t>
            </w:r>
          </w:p>
        </w:tc>
      </w:tr>
      <w:tr>
        <w:tc>
          <w:tcPr>
            <w:tcW w:type="dxa" w:w="2437"/>
          </w:tcPr>
          <w:p>
            <w:pPr>
              <w:spacing w:after="40" w:before="40"/>
            </w:pPr>
            <w:r>
              <w:rPr>
                <w:rFonts w:ascii="Calibri" w:hAnsi="Calibri"/>
                <w:b w:val="0"/>
                <w:sz w:val="20"/>
              </w:rPr>
              <w:t>EUR/USD</w:t>
            </w:r>
          </w:p>
        </w:tc>
        <w:tc>
          <w:tcPr>
            <w:tcW w:type="dxa" w:w="2437"/>
          </w:tcPr>
          <w:p>
            <w:pPr>
              <w:spacing w:after="40" w:before="40"/>
            </w:pPr>
            <w:r>
              <w:rPr>
                <w:rFonts w:ascii="Calibri" w:hAnsi="Calibri"/>
                <w:b w:val="0"/>
                <w:sz w:val="20"/>
              </w:rPr>
              <w:t>1.0950</w:t>
            </w:r>
          </w:p>
        </w:tc>
        <w:tc>
          <w:tcPr>
            <w:tcW w:type="dxa" w:w="2437"/>
          </w:tcPr>
          <w:p>
            <w:pPr>
              <w:spacing w:after="40" w:before="40"/>
            </w:pPr>
            <w:r>
              <w:rPr>
                <w:rFonts w:ascii="Calibri" w:hAnsi="Calibri"/>
                <w:b w:val="0"/>
                <w:color w:val="007A33"/>
                <w:sz w:val="20"/>
              </w:rPr>
              <w:t>+1.5%</w:t>
            </w:r>
          </w:p>
        </w:tc>
        <w:tc>
          <w:tcPr>
            <w:tcW w:type="dxa" w:w="2437"/>
          </w:tcPr>
          <w:p>
            <w:pPr>
              <w:spacing w:after="40" w:before="40"/>
            </w:pPr>
            <w:r>
              <w:rPr>
                <w:rFonts w:ascii="Calibri" w:hAnsi="Calibri"/>
                <w:b w:val="0"/>
                <w:color w:val="007A33"/>
                <w:sz w:val="20"/>
              </w:rPr>
              <w:t>+2.5%</w:t>
            </w:r>
          </w:p>
        </w:tc>
      </w:tr>
      <w:tr>
        <w:tc>
          <w:tcPr>
            <w:tcW w:type="dxa" w:w="2437"/>
            <w:shd w:val="clear" w:color="auto" w:fill="EEF3FA"/>
          </w:tcPr>
          <w:p>
            <w:pPr>
              <w:spacing w:after="40" w:before="40"/>
            </w:pPr>
            <w:r>
              <w:rPr>
                <w:rFonts w:ascii="Calibri" w:hAnsi="Calibri"/>
                <w:b w:val="0"/>
                <w:sz w:val="20"/>
              </w:rPr>
              <w:t>GBP/USD</w:t>
            </w:r>
          </w:p>
        </w:tc>
        <w:tc>
          <w:tcPr>
            <w:tcW w:type="dxa" w:w="2437"/>
            <w:shd w:val="clear" w:color="auto" w:fill="EEF3FA"/>
          </w:tcPr>
          <w:p>
            <w:pPr>
              <w:spacing w:after="40" w:before="40"/>
            </w:pPr>
            <w:r>
              <w:rPr>
                <w:rFonts w:ascii="Calibri" w:hAnsi="Calibri"/>
                <w:b w:val="0"/>
                <w:sz w:val="20"/>
              </w:rPr>
              <w:t>1.3050</w:t>
            </w:r>
          </w:p>
        </w:tc>
        <w:tc>
          <w:tcPr>
            <w:tcW w:type="dxa" w:w="2437"/>
            <w:shd w:val="clear" w:color="auto" w:fill="EEF3FA"/>
          </w:tcPr>
          <w:p>
            <w:pPr>
              <w:spacing w:after="40" w:before="40"/>
            </w:pPr>
            <w:r>
              <w:rPr>
                <w:rFonts w:ascii="Calibri" w:hAnsi="Calibri"/>
                <w:b w:val="0"/>
                <w:color w:val="007A33"/>
                <w:sz w:val="20"/>
              </w:rPr>
              <w:t>+1.0%</w:t>
            </w:r>
          </w:p>
        </w:tc>
        <w:tc>
          <w:tcPr>
            <w:tcW w:type="dxa" w:w="2437"/>
            <w:shd w:val="clear" w:color="auto" w:fill="EEF3FA"/>
          </w:tcPr>
          <w:p>
            <w:pPr>
              <w:spacing w:after="40" w:before="40"/>
            </w:pPr>
            <w:r>
              <w:rPr>
                <w:rFonts w:ascii="Calibri" w:hAnsi="Calibri"/>
                <w:b w:val="0"/>
                <w:color w:val="007A33"/>
                <w:sz w:val="20"/>
              </w:rPr>
              <w:t>+2.0%</w:t>
            </w:r>
          </w:p>
        </w:tc>
      </w:tr>
      <w:tr>
        <w:tc>
          <w:tcPr>
            <w:tcW w:type="dxa" w:w="2437"/>
          </w:tcPr>
          <w:p>
            <w:pPr>
              <w:spacing w:after="40" w:before="40"/>
            </w:pPr>
            <w:r>
              <w:rPr>
                <w:rFonts w:ascii="Calibri" w:hAnsi="Calibri"/>
                <w:b w:val="0"/>
                <w:sz w:val="20"/>
              </w:rPr>
              <w:t>USD/JPY</w:t>
            </w:r>
          </w:p>
        </w:tc>
        <w:tc>
          <w:tcPr>
            <w:tcW w:type="dxa" w:w="2437"/>
          </w:tcPr>
          <w:p>
            <w:pPr>
              <w:spacing w:after="40" w:before="40"/>
            </w:pPr>
            <w:r>
              <w:rPr>
                <w:rFonts w:ascii="Calibri" w:hAnsi="Calibri"/>
                <w:b w:val="0"/>
                <w:sz w:val="20"/>
              </w:rPr>
              <w:t>147.00</w:t>
            </w:r>
          </w:p>
        </w:tc>
        <w:tc>
          <w:tcPr>
            <w:tcW w:type="dxa" w:w="2437"/>
          </w:tcPr>
          <w:p>
            <w:pPr>
              <w:spacing w:after="40" w:before="40"/>
            </w:pPr>
            <w:r>
              <w:rPr>
                <w:rFonts w:ascii="Calibri" w:hAnsi="Calibri"/>
                <w:b w:val="0"/>
                <w:color w:val="CC0000"/>
                <w:sz w:val="20"/>
              </w:rPr>
              <w:t>-1.5%</w:t>
            </w:r>
          </w:p>
        </w:tc>
        <w:tc>
          <w:tcPr>
            <w:tcW w:type="dxa" w:w="2437"/>
          </w:tcPr>
          <w:p>
            <w:pPr>
              <w:spacing w:after="40" w:before="40"/>
            </w:pPr>
            <w:r>
              <w:rPr>
                <w:rFonts w:ascii="Calibri" w:hAnsi="Calibri"/>
                <w:b w:val="0"/>
                <w:color w:val="CC0000"/>
                <w:sz w:val="20"/>
              </w:rPr>
              <w:t>-1.0%</w:t>
            </w:r>
          </w:p>
        </w:tc>
      </w:tr>
      <w:tr>
        <w:tc>
          <w:tcPr>
            <w:tcW w:type="dxa" w:w="2437"/>
            <w:shd w:val="clear" w:color="auto" w:fill="EEF3FA"/>
          </w:tcPr>
          <w:p>
            <w:pPr>
              <w:spacing w:after="40" w:before="40"/>
            </w:pPr>
            <w:r>
              <w:rPr>
                <w:rFonts w:ascii="Calibri" w:hAnsi="Calibri"/>
                <w:b w:val="0"/>
                <w:sz w:val="20"/>
              </w:rPr>
              <w:t>10Y UST Yield</w:t>
            </w:r>
          </w:p>
        </w:tc>
        <w:tc>
          <w:tcPr>
            <w:tcW w:type="dxa" w:w="2437"/>
            <w:shd w:val="clear" w:color="auto" w:fill="EEF3FA"/>
          </w:tcPr>
          <w:p>
            <w:pPr>
              <w:spacing w:after="40" w:before="40"/>
            </w:pPr>
            <w:r>
              <w:rPr>
                <w:rFonts w:ascii="Calibri" w:hAnsi="Calibri"/>
                <w:b w:val="0"/>
                <w:sz w:val="20"/>
              </w:rPr>
              <w:t>3.95%</w:t>
            </w:r>
          </w:p>
        </w:tc>
        <w:tc>
          <w:tcPr>
            <w:tcW w:type="dxa" w:w="2437"/>
            <w:shd w:val="clear" w:color="auto" w:fill="EEF3FA"/>
          </w:tcPr>
          <w:p>
            <w:pPr>
              <w:spacing w:after="40" w:before="40"/>
            </w:pPr>
            <w:r>
              <w:rPr>
                <w:rFonts w:ascii="Calibri" w:hAnsi="Calibri"/>
                <w:b w:val="0"/>
                <w:color w:val="CC0000"/>
                <w:sz w:val="20"/>
              </w:rPr>
              <w:t>-15 bps</w:t>
            </w:r>
          </w:p>
        </w:tc>
        <w:tc>
          <w:tcPr>
            <w:tcW w:type="dxa" w:w="2437"/>
            <w:shd w:val="clear" w:color="auto" w:fill="EEF3FA"/>
          </w:tcPr>
          <w:p>
            <w:pPr>
              <w:spacing w:after="40" w:before="40"/>
            </w:pPr>
            <w:r>
              <w:rPr>
                <w:rFonts w:ascii="Calibri" w:hAnsi="Calibri"/>
                <w:b w:val="0"/>
                <w:color w:val="CC0000"/>
                <w:sz w:val="20"/>
              </w:rPr>
              <w:t>-40 bps</w:t>
            </w:r>
          </w:p>
        </w:tc>
      </w:tr>
      <w:tr>
        <w:tc>
          <w:tcPr>
            <w:tcW w:type="dxa" w:w="2437"/>
          </w:tcPr>
          <w:p>
            <w:pPr>
              <w:spacing w:after="40" w:before="40"/>
            </w:pPr>
            <w:r>
              <w:rPr>
                <w:rFonts w:ascii="Calibri" w:hAnsi="Calibri"/>
                <w:b w:val="0"/>
                <w:sz w:val="20"/>
              </w:rPr>
              <w:t>10Y Bund Yield</w:t>
            </w:r>
          </w:p>
        </w:tc>
        <w:tc>
          <w:tcPr>
            <w:tcW w:type="dxa" w:w="2437"/>
          </w:tcPr>
          <w:p>
            <w:pPr>
              <w:spacing w:after="40" w:before="40"/>
            </w:pPr>
            <w:r>
              <w:rPr>
                <w:rFonts w:ascii="Calibri" w:hAnsi="Calibri"/>
                <w:b w:val="0"/>
                <w:sz w:val="20"/>
              </w:rPr>
              <w:t>2.25%</w:t>
            </w:r>
          </w:p>
        </w:tc>
        <w:tc>
          <w:tcPr>
            <w:tcW w:type="dxa" w:w="2437"/>
          </w:tcPr>
          <w:p>
            <w:pPr>
              <w:spacing w:after="40" w:before="40"/>
            </w:pPr>
            <w:r>
              <w:rPr>
                <w:rFonts w:ascii="Calibri" w:hAnsi="Calibri"/>
                <w:b w:val="0"/>
                <w:color w:val="CC0000"/>
                <w:sz w:val="20"/>
              </w:rPr>
              <w:t>-10 bps</w:t>
            </w:r>
          </w:p>
        </w:tc>
        <w:tc>
          <w:tcPr>
            <w:tcW w:type="dxa" w:w="2437"/>
          </w:tcPr>
          <w:p>
            <w:pPr>
              <w:spacing w:after="40" w:before="40"/>
            </w:pPr>
            <w:r>
              <w:rPr>
                <w:rFonts w:ascii="Calibri" w:hAnsi="Calibri"/>
                <w:b w:val="0"/>
                <w:color w:val="007A33"/>
                <w:sz w:val="20"/>
              </w:rPr>
              <w:t>+5 bps</w:t>
            </w:r>
          </w:p>
        </w:tc>
      </w:tr>
      <w:tr>
        <w:tc>
          <w:tcPr>
            <w:tcW w:type="dxa" w:w="2437"/>
            <w:shd w:val="clear" w:color="auto" w:fill="EEF3FA"/>
          </w:tcPr>
          <w:p>
            <w:pPr>
              <w:spacing w:after="40" w:before="40"/>
            </w:pPr>
            <w:r>
              <w:rPr>
                <w:rFonts w:ascii="Calibri" w:hAnsi="Calibri"/>
                <w:b w:val="0"/>
                <w:sz w:val="20"/>
              </w:rPr>
              <w:t>Brent Crude</w:t>
            </w:r>
          </w:p>
        </w:tc>
        <w:tc>
          <w:tcPr>
            <w:tcW w:type="dxa" w:w="2437"/>
            <w:shd w:val="clear" w:color="auto" w:fill="EEF3FA"/>
          </w:tcPr>
          <w:p>
            <w:pPr>
              <w:spacing w:after="40" w:before="40"/>
            </w:pPr>
            <w:r>
              <w:rPr>
                <w:rFonts w:ascii="Calibri" w:hAnsi="Calibri"/>
                <w:b w:val="0"/>
                <w:sz w:val="20"/>
              </w:rPr>
              <w:t>73.00</w:t>
            </w:r>
          </w:p>
        </w:tc>
        <w:tc>
          <w:tcPr>
            <w:tcW w:type="dxa" w:w="2437"/>
            <w:shd w:val="clear" w:color="auto" w:fill="EEF3FA"/>
          </w:tcPr>
          <w:p>
            <w:pPr>
              <w:spacing w:after="40" w:before="40"/>
            </w:pPr>
            <w:r>
              <w:rPr>
                <w:rFonts w:ascii="Calibri" w:hAnsi="Calibri"/>
                <w:b w:val="0"/>
                <w:color w:val="CC0000"/>
                <w:sz w:val="20"/>
              </w:rPr>
              <w:t>-5.0%</w:t>
            </w:r>
          </w:p>
        </w:tc>
        <w:tc>
          <w:tcPr>
            <w:tcW w:type="dxa" w:w="2437"/>
            <w:shd w:val="clear" w:color="auto" w:fill="EEF3FA"/>
          </w:tcPr>
          <w:p>
            <w:pPr>
              <w:spacing w:after="40" w:before="40"/>
            </w:pPr>
            <w:r>
              <w:rPr>
                <w:rFonts w:ascii="Calibri" w:hAnsi="Calibri"/>
                <w:b w:val="0"/>
                <w:color w:val="CC0000"/>
                <w:sz w:val="20"/>
              </w:rPr>
              <w:t>-3.5%</w:t>
            </w:r>
          </w:p>
        </w:tc>
      </w:tr>
      <w:tr>
        <w:tc>
          <w:tcPr>
            <w:tcW w:type="dxa" w:w="2437"/>
          </w:tcPr>
          <w:p>
            <w:pPr>
              <w:spacing w:after="40" w:before="40"/>
            </w:pPr>
            <w:r>
              <w:rPr>
                <w:rFonts w:ascii="Calibri" w:hAnsi="Calibri"/>
                <w:b w:val="0"/>
                <w:sz w:val="20"/>
              </w:rPr>
              <w:t>Gold</w:t>
            </w:r>
          </w:p>
        </w:tc>
        <w:tc>
          <w:tcPr>
            <w:tcW w:type="dxa" w:w="2437"/>
          </w:tcPr>
          <w:p>
            <w:pPr>
              <w:spacing w:after="40" w:before="40"/>
            </w:pPr>
            <w:r>
              <w:rPr>
                <w:rFonts w:ascii="Calibri" w:hAnsi="Calibri"/>
                <w:b w:val="0"/>
                <w:sz w:val="20"/>
              </w:rPr>
              <w:t>3,120</w:t>
            </w:r>
          </w:p>
        </w:tc>
        <w:tc>
          <w:tcPr>
            <w:tcW w:type="dxa" w:w="2437"/>
          </w:tcPr>
          <w:p>
            <w:pPr>
              <w:spacing w:after="40" w:before="40"/>
            </w:pPr>
            <w:r>
              <w:rPr>
                <w:rFonts w:ascii="Calibri" w:hAnsi="Calibri"/>
                <w:b w:val="0"/>
                <w:color w:val="007A33"/>
                <w:sz w:val="20"/>
              </w:rPr>
              <w:t>+5.0%</w:t>
            </w:r>
          </w:p>
        </w:tc>
        <w:tc>
          <w:tcPr>
            <w:tcW w:type="dxa" w:w="2437"/>
          </w:tcPr>
          <w:p>
            <w:pPr>
              <w:spacing w:after="40" w:before="40"/>
            </w:pPr>
            <w:r>
              <w:rPr>
                <w:rFonts w:ascii="Calibri" w:hAnsi="Calibri"/>
                <w:b w:val="0"/>
                <w:color w:val="007A33"/>
                <w:sz w:val="20"/>
              </w:rPr>
              <w:t>+12.0%</w:t>
            </w:r>
          </w:p>
        </w:tc>
      </w:tr>
      <w:tr>
        <w:tc>
          <w:tcPr>
            <w:tcW w:type="dxa" w:w="2437"/>
            <w:shd w:val="clear" w:color="auto" w:fill="EEF3FA"/>
          </w:tcPr>
          <w:p>
            <w:pPr>
              <w:spacing w:after="40" w:before="40"/>
            </w:pPr>
            <w:r>
              <w:rPr>
                <w:rFonts w:ascii="Calibri" w:hAnsi="Calibri"/>
                <w:b w:val="0"/>
                <w:sz w:val="20"/>
              </w:rPr>
              <w:t>VIX</w:t>
            </w:r>
          </w:p>
        </w:tc>
        <w:tc>
          <w:tcPr>
            <w:tcW w:type="dxa" w:w="2437"/>
            <w:shd w:val="clear" w:color="auto" w:fill="EEF3FA"/>
          </w:tcPr>
          <w:p>
            <w:pPr>
              <w:spacing w:after="40" w:before="40"/>
            </w:pPr>
            <w:r>
              <w:rPr>
                <w:rFonts w:ascii="Calibri" w:hAnsi="Calibri"/>
                <w:b w:val="0"/>
                <w:sz w:val="20"/>
              </w:rPr>
              <w:t>24.5</w:t>
            </w:r>
          </w:p>
        </w:tc>
        <w:tc>
          <w:tcPr>
            <w:tcW w:type="dxa" w:w="2437"/>
            <w:shd w:val="clear" w:color="auto" w:fill="EEF3FA"/>
          </w:tcPr>
          <w:p>
            <w:pPr>
              <w:spacing w:after="40" w:before="40"/>
            </w:pPr>
            <w:r>
              <w:rPr>
                <w:rFonts w:ascii="Calibri" w:hAnsi="Calibri"/>
                <w:b w:val="0"/>
                <w:color w:val="007A33"/>
                <w:sz w:val="20"/>
              </w:rPr>
              <w:t>+35.0%</w:t>
            </w:r>
          </w:p>
        </w:tc>
        <w:tc>
          <w:tcPr>
            <w:tcW w:type="dxa" w:w="2437"/>
            <w:shd w:val="clear" w:color="auto" w:fill="EEF3FA"/>
          </w:tcPr>
          <w:p>
            <w:pPr>
              <w:spacing w:after="40" w:before="40"/>
            </w:pPr>
            <w:r>
              <w:rPr>
                <w:rFonts w:ascii="Calibri" w:hAnsi="Calibri"/>
                <w:b w:val="0"/>
                <w:color w:val="007A33"/>
                <w:sz w:val="20"/>
              </w:rPr>
              <w:t>+40.0%</w:t>
            </w:r>
          </w:p>
        </w:tc>
      </w:tr>
    </w:tbl>
    <w:p>
      <w:pPr>
        <w:spacing w:before="240" w:after="80"/>
        <w:pBdr>
          <w:bottom w:val="single" w:sz="6" w:space="1" w:color="00429B"/>
        </w:pBdr>
      </w:pPr>
      <w:r>
        <w:rPr>
          <w:rFonts w:ascii="Calibri" w:hAnsi="Calibri"/>
          <w:b/>
          <w:color w:val="00429B"/>
          <w:sz w:val="26"/>
        </w:rPr>
        <w:t>11. CUSTODIAN &amp; PEER INSTITUTION NEWS</w:t>
      </w:r>
    </w:p>
    <w:tbl>
      <w:tblPr>
        <w:tblStyle w:val="TableGrid"/>
        <w:tblW w:type="auto" w:w="0"/>
        <w:tblLook w:firstColumn="1" w:firstRow="1" w:lastColumn="0" w:lastRow="0" w:noHBand="0" w:noVBand="1" w:val="04A0"/>
      </w:tblPr>
      <w:tblGrid>
        <w:gridCol w:w="3250"/>
        <w:gridCol w:w="3250"/>
        <w:gridCol w:w="3250"/>
      </w:tblGrid>
      <w:tr>
        <w:tc>
          <w:tcPr>
            <w:tcW w:type="dxa" w:w="3250"/>
            <w:shd w:val="clear" w:color="auto" w:fill="00429B"/>
          </w:tcPr>
          <w:p>
            <w:pPr>
              <w:spacing w:after="40" w:before="40"/>
            </w:pPr>
            <w:r>
              <w:rPr>
                <w:rFonts w:ascii="Calibri" w:hAnsi="Calibri"/>
                <w:b/>
                <w:color w:val="FFFFFF"/>
                <w:sz w:val="20"/>
              </w:rPr>
              <w:t>Institution</w:t>
            </w:r>
          </w:p>
        </w:tc>
        <w:tc>
          <w:tcPr>
            <w:tcW w:type="dxa" w:w="3250"/>
            <w:shd w:val="clear" w:color="auto" w:fill="00429B"/>
          </w:tcPr>
          <w:p>
            <w:pPr>
              <w:spacing w:after="40" w:before="40"/>
            </w:pPr>
            <w:r>
              <w:rPr>
                <w:rFonts w:ascii="Calibri" w:hAnsi="Calibri"/>
                <w:b/>
                <w:color w:val="FFFFFF"/>
                <w:sz w:val="20"/>
              </w:rPr>
              <w:t>Key Development</w:t>
            </w:r>
          </w:p>
        </w:tc>
        <w:tc>
          <w:tcPr>
            <w:tcW w:type="dxa" w:w="3250"/>
            <w:shd w:val="clear" w:color="auto" w:fill="00429B"/>
          </w:tcPr>
          <w:p>
            <w:pPr>
              <w:spacing w:after="40" w:before="40"/>
            </w:pPr>
            <w:r>
              <w:rPr>
                <w:rFonts w:ascii="Calibri" w:hAnsi="Calibri"/>
                <w:b/>
                <w:color w:val="FFFFFF"/>
                <w:sz w:val="20"/>
              </w:rPr>
              <w:t>Significance</w:t>
            </w:r>
          </w:p>
        </w:tc>
      </w:tr>
      <w:tr>
        <w:tc>
          <w:tcPr>
            <w:tcW w:type="dxa" w:w="3250"/>
          </w:tcPr>
          <w:p>
            <w:pPr>
              <w:spacing w:after="40" w:before="40"/>
            </w:pPr>
            <w:r>
              <w:rPr>
                <w:rFonts w:ascii="Calibri" w:hAnsi="Calibri"/>
                <w:b w:val="0"/>
                <w:sz w:val="20"/>
              </w:rPr>
              <w:t>BNY (Bank of New York Mellon)</w:t>
            </w:r>
          </w:p>
        </w:tc>
        <w:tc>
          <w:tcPr>
            <w:tcW w:type="dxa" w:w="3250"/>
          </w:tcPr>
          <w:p>
            <w:pPr>
              <w:spacing w:after="40" w:before="40"/>
            </w:pPr>
            <w:r>
              <w:rPr>
                <w:rFonts w:ascii="Calibri" w:hAnsi="Calibri"/>
                <w:b w:val="0"/>
                <w:sz w:val="20"/>
              </w:rPr>
              <w:t>Announced strategic partnership with a cloud-native data analytics firm to enhance middle-office performance attribution and risk analytics capabilities.</w:t>
            </w:r>
          </w:p>
        </w:tc>
        <w:tc>
          <w:tcPr>
            <w:tcW w:type="dxa" w:w="3250"/>
          </w:tcPr>
          <w:p>
            <w:pPr>
              <w:spacing w:after="40" w:before="40"/>
            </w:pPr>
            <w:r>
              <w:rPr>
                <w:rFonts w:ascii="Calibri" w:hAnsi="Calibri"/>
                <w:b w:val="0"/>
                <w:sz w:val="20"/>
              </w:rPr>
              <w:t>Signals BNY's continued investment in technology differentiation to defend its position as the largest global custodian, raising the bar for competitor reporting and analytics offerings.</w:t>
            </w:r>
          </w:p>
        </w:tc>
      </w:tr>
      <w:tr>
        <w:tc>
          <w:tcPr>
            <w:tcW w:type="dxa" w:w="3250"/>
            <w:shd w:val="clear" w:color="auto" w:fill="EEF3FA"/>
          </w:tcPr>
          <w:p>
            <w:pPr>
              <w:spacing w:after="40" w:before="40"/>
            </w:pPr>
            <w:r>
              <w:rPr>
                <w:rFonts w:ascii="Calibri" w:hAnsi="Calibri"/>
                <w:b w:val="0"/>
                <w:sz w:val="20"/>
              </w:rPr>
              <w:t>State Street Corporation</w:t>
            </w:r>
          </w:p>
        </w:tc>
        <w:tc>
          <w:tcPr>
            <w:tcW w:type="dxa" w:w="3250"/>
            <w:shd w:val="clear" w:color="auto" w:fill="EEF3FA"/>
          </w:tcPr>
          <w:p>
            <w:pPr>
              <w:spacing w:after="40" w:before="40"/>
            </w:pPr>
            <w:r>
              <w:rPr>
                <w:rFonts w:ascii="Calibri" w:hAnsi="Calibri"/>
                <w:b w:val="0"/>
                <w:sz w:val="20"/>
              </w:rPr>
              <w:t>Completed acquisition of a European fund administration platform, expanding Luxembourg and Dublin operations.</w:t>
            </w:r>
          </w:p>
        </w:tc>
        <w:tc>
          <w:tcPr>
            <w:tcW w:type="dxa" w:w="3250"/>
            <w:shd w:val="clear" w:color="auto" w:fill="EEF3FA"/>
          </w:tcPr>
          <w:p>
            <w:pPr>
              <w:spacing w:after="40" w:before="40"/>
            </w:pPr>
            <w:r>
              <w:rPr>
                <w:rFonts w:ascii="Calibri" w:hAnsi="Calibri"/>
                <w:b w:val="0"/>
                <w:sz w:val="20"/>
              </w:rPr>
              <w:t>Directly intensifies competition for UCITS and AIFMD servicing mandates in key European domiciles where RBC IS has significant market presence.</w:t>
            </w:r>
          </w:p>
        </w:tc>
      </w:tr>
      <w:tr>
        <w:tc>
          <w:tcPr>
            <w:tcW w:type="dxa" w:w="3250"/>
          </w:tcPr>
          <w:p>
            <w:pPr>
              <w:spacing w:after="40" w:before="40"/>
            </w:pPr>
            <w:r>
              <w:rPr>
                <w:rFonts w:ascii="Calibri" w:hAnsi="Calibri"/>
                <w:b w:val="0"/>
                <w:sz w:val="20"/>
              </w:rPr>
              <w:t>JPMorgan Chase &amp; Co.</w:t>
            </w:r>
          </w:p>
        </w:tc>
        <w:tc>
          <w:tcPr>
            <w:tcW w:type="dxa" w:w="3250"/>
          </w:tcPr>
          <w:p>
            <w:pPr>
              <w:spacing w:after="40" w:before="40"/>
            </w:pPr>
            <w:r>
              <w:rPr>
                <w:rFonts w:ascii="Calibri" w:hAnsi="Calibri"/>
                <w:b w:val="0"/>
                <w:sz w:val="20"/>
              </w:rPr>
              <w:t>Expanded its Onyx digital assets platform to support tokenized repo transactions with additional central bank counterparties.</w:t>
            </w:r>
          </w:p>
        </w:tc>
        <w:tc>
          <w:tcPr>
            <w:tcW w:type="dxa" w:w="3250"/>
          </w:tcPr>
          <w:p>
            <w:pPr>
              <w:spacing w:after="40" w:before="40"/>
            </w:pPr>
            <w:r>
              <w:rPr>
                <w:rFonts w:ascii="Calibri" w:hAnsi="Calibri"/>
                <w:b w:val="0"/>
                <w:sz w:val="20"/>
              </w:rPr>
              <w:t>Advances JPMorgan's leadership in institutional DLT infrastructure and may set new market standards for tokenized collateral mobility that custodians will need to support.</w:t>
            </w:r>
          </w:p>
        </w:tc>
      </w:tr>
      <w:tr>
        <w:tc>
          <w:tcPr>
            <w:tcW w:type="dxa" w:w="3250"/>
            <w:shd w:val="clear" w:color="auto" w:fill="EEF3FA"/>
          </w:tcPr>
          <w:p>
            <w:pPr>
              <w:spacing w:after="40" w:before="40"/>
            </w:pPr>
            <w:r>
              <w:rPr>
                <w:rFonts w:ascii="Calibri" w:hAnsi="Calibri"/>
                <w:b w:val="0"/>
                <w:sz w:val="20"/>
              </w:rPr>
              <w:t>Citigroup Inc. (Citi)</w:t>
            </w:r>
          </w:p>
        </w:tc>
        <w:tc>
          <w:tcPr>
            <w:tcW w:type="dxa" w:w="3250"/>
            <w:shd w:val="clear" w:color="auto" w:fill="EEF3FA"/>
          </w:tcPr>
          <w:p>
            <w:pPr>
              <w:spacing w:after="40" w:before="40"/>
            </w:pPr>
            <w:r>
              <w:rPr>
                <w:rFonts w:ascii="Calibri" w:hAnsi="Calibri"/>
                <w:b w:val="0"/>
                <w:sz w:val="20"/>
              </w:rPr>
              <w:t>Won a major sub-custody mandate from a large Middle Eastern sovereign wealth fund, expanding its emerging markets footprint.</w:t>
            </w:r>
          </w:p>
        </w:tc>
        <w:tc>
          <w:tcPr>
            <w:tcW w:type="dxa" w:w="3250"/>
            <w:shd w:val="clear" w:color="auto" w:fill="EEF3FA"/>
          </w:tcPr>
          <w:p>
            <w:pPr>
              <w:spacing w:after="40" w:before="40"/>
            </w:pPr>
            <w:r>
              <w:rPr>
                <w:rFonts w:ascii="Calibri" w:hAnsi="Calibri"/>
                <w:b w:val="0"/>
                <w:sz w:val="20"/>
              </w:rPr>
              <w:t>Reinforces Citi's competitive strength in global sub-custody and underscores the importance of emerging market network breadth for custodians seeking sovereign wealth fund mandates.</w:t>
            </w:r>
          </w:p>
        </w:tc>
      </w:tr>
      <w:tr>
        <w:tc>
          <w:tcPr>
            <w:tcW w:type="dxa" w:w="3250"/>
          </w:tcPr>
          <w:p>
            <w:pPr>
              <w:spacing w:after="40" w:before="40"/>
            </w:pPr>
            <w:r>
              <w:rPr>
                <w:rFonts w:ascii="Calibri" w:hAnsi="Calibri"/>
                <w:b w:val="0"/>
                <w:sz w:val="20"/>
              </w:rPr>
              <w:t>HSBC Holdings plc</w:t>
            </w:r>
          </w:p>
        </w:tc>
        <w:tc>
          <w:tcPr>
            <w:tcW w:type="dxa" w:w="3250"/>
          </w:tcPr>
          <w:p>
            <w:pPr>
              <w:spacing w:after="40" w:before="40"/>
            </w:pPr>
            <w:r>
              <w:rPr>
                <w:rFonts w:ascii="Calibri" w:hAnsi="Calibri"/>
                <w:b w:val="0"/>
                <w:sz w:val="20"/>
              </w:rPr>
              <w:t>Launched a tokenized fund distribution pilot in Hong Kong and Singapore with DLT infrastructure partner support.</w:t>
            </w:r>
          </w:p>
        </w:tc>
        <w:tc>
          <w:tcPr>
            <w:tcW w:type="dxa" w:w="3250"/>
          </w:tcPr>
          <w:p>
            <w:pPr>
              <w:spacing w:after="40" w:before="40"/>
            </w:pPr>
            <w:r>
              <w:rPr>
                <w:rFonts w:ascii="Calibri" w:hAnsi="Calibri"/>
                <w:b w:val="0"/>
                <w:sz w:val="20"/>
              </w:rPr>
              <w:t>Positions HSBC as an Asia-Pacific first mover in regulated tokenized fund shares, a capability that may become a competitive differentiator for regional distribution mandates.</w:t>
            </w:r>
          </w:p>
        </w:tc>
      </w:tr>
      <w:tr>
        <w:tc>
          <w:tcPr>
            <w:tcW w:type="dxa" w:w="3250"/>
            <w:shd w:val="clear" w:color="auto" w:fill="EEF3FA"/>
          </w:tcPr>
          <w:p>
            <w:pPr>
              <w:spacing w:after="40" w:before="40"/>
            </w:pPr>
            <w:r>
              <w:rPr>
                <w:rFonts w:ascii="Calibri" w:hAnsi="Calibri"/>
                <w:b w:val="0"/>
                <w:sz w:val="20"/>
              </w:rPr>
              <w:t>BNP Paribas</w:t>
            </w:r>
          </w:p>
        </w:tc>
        <w:tc>
          <w:tcPr>
            <w:tcW w:type="dxa" w:w="3250"/>
            <w:shd w:val="clear" w:color="auto" w:fill="EEF3FA"/>
          </w:tcPr>
          <w:p>
            <w:pPr>
              <w:spacing w:after="40" w:before="40"/>
            </w:pPr>
            <w:r>
              <w:rPr>
                <w:rFonts w:ascii="Calibri" w:hAnsi="Calibri"/>
                <w:b w:val="0"/>
                <w:sz w:val="20"/>
              </w:rPr>
              <w:t>Expanded its ESG reporting and data aggregation capabilities within its Securities Services division, targeting European institutional investors.</w:t>
            </w:r>
          </w:p>
        </w:tc>
        <w:tc>
          <w:tcPr>
            <w:tcW w:type="dxa" w:w="3250"/>
            <w:shd w:val="clear" w:color="auto" w:fill="EEF3FA"/>
          </w:tcPr>
          <w:p>
            <w:pPr>
              <w:spacing w:after="40" w:before="40"/>
            </w:pPr>
            <w:r>
              <w:rPr>
                <w:rFonts w:ascii="Calibri" w:hAnsi="Calibri"/>
                <w:b w:val="0"/>
                <w:sz w:val="20"/>
              </w:rPr>
              <w:t>Reflects BNP Paribas's strategy to leverage its EU-centric client base for ESG-integrated fund servicing, competing directly with Northern Trust and RBC IS for ESG-conscious mandates.</w:t>
            </w:r>
          </w:p>
        </w:tc>
      </w:tr>
      <w:tr>
        <w:tc>
          <w:tcPr>
            <w:tcW w:type="dxa" w:w="3250"/>
          </w:tcPr>
          <w:p>
            <w:pPr>
              <w:spacing w:after="40" w:before="40"/>
            </w:pPr>
            <w:r>
              <w:rPr>
                <w:rFonts w:ascii="Calibri" w:hAnsi="Calibri"/>
                <w:b w:val="0"/>
                <w:sz w:val="20"/>
              </w:rPr>
              <w:t>Northern Trust Corporation</w:t>
            </w:r>
          </w:p>
        </w:tc>
        <w:tc>
          <w:tcPr>
            <w:tcW w:type="dxa" w:w="3250"/>
          </w:tcPr>
          <w:p>
            <w:pPr>
              <w:spacing w:after="40" w:before="40"/>
            </w:pPr>
            <w:r>
              <w:rPr>
                <w:rFonts w:ascii="Calibri" w:hAnsi="Calibri"/>
                <w:b w:val="0"/>
                <w:sz w:val="20"/>
              </w:rPr>
              <w:t>Partnered with a specialist climate analytics provider to integrate Scope 3 emissions data into custodial reporting packages.</w:t>
            </w:r>
          </w:p>
        </w:tc>
        <w:tc>
          <w:tcPr>
            <w:tcW w:type="dxa" w:w="3250"/>
          </w:tcPr>
          <w:p>
            <w:pPr>
              <w:spacing w:after="40" w:before="40"/>
            </w:pPr>
            <w:r>
              <w:rPr>
                <w:rFonts w:ascii="Calibri" w:hAnsi="Calibri"/>
                <w:b w:val="0"/>
                <w:sz w:val="20"/>
              </w:rPr>
              <w:t>Addresses growing pension fund demand for granular climate reporting, raising expectations for ESG data sophistication across the custody industry.</w:t>
            </w:r>
          </w:p>
        </w:tc>
      </w:tr>
      <w:tr>
        <w:tc>
          <w:tcPr>
            <w:tcW w:type="dxa" w:w="3250"/>
            <w:shd w:val="clear" w:color="auto" w:fill="EEF3FA"/>
          </w:tcPr>
          <w:p>
            <w:pPr>
              <w:spacing w:after="40" w:before="40"/>
            </w:pPr>
            <w:r>
              <w:rPr>
                <w:rFonts w:ascii="Calibri" w:hAnsi="Calibri"/>
                <w:b w:val="0"/>
                <w:sz w:val="20"/>
              </w:rPr>
              <w:t>Deutsche Bank AG</w:t>
            </w:r>
          </w:p>
        </w:tc>
        <w:tc>
          <w:tcPr>
            <w:tcW w:type="dxa" w:w="3250"/>
            <w:shd w:val="clear" w:color="auto" w:fill="EEF3FA"/>
          </w:tcPr>
          <w:p>
            <w:pPr>
              <w:spacing w:after="40" w:before="40"/>
            </w:pPr>
            <w:r>
              <w:rPr>
                <w:rFonts w:ascii="Calibri" w:hAnsi="Calibri"/>
                <w:b w:val="0"/>
                <w:sz w:val="20"/>
              </w:rPr>
              <w:t>Securities Services division announced a technology modernization program focused on cloud migration of its custody platform across European markets.</w:t>
            </w:r>
          </w:p>
        </w:tc>
        <w:tc>
          <w:tcPr>
            <w:tcW w:type="dxa" w:w="3250"/>
            <w:shd w:val="clear" w:color="auto" w:fill="EEF3FA"/>
          </w:tcPr>
          <w:p>
            <w:pPr>
              <w:spacing w:after="40" w:before="40"/>
            </w:pPr>
            <w:r>
              <w:rPr>
                <w:rFonts w:ascii="Calibri" w:hAnsi="Calibri"/>
                <w:b w:val="0"/>
                <w:sz w:val="20"/>
              </w:rPr>
              <w:t>Indicates Deutsche Bank's renewed commitment to its securities services franchise after years of strategic uncertainty, potentially making it a more formidable competitor in European custody.</w:t>
            </w:r>
          </w:p>
        </w:tc>
      </w:tr>
      <w:tr>
        <w:tc>
          <w:tcPr>
            <w:tcW w:type="dxa" w:w="3250"/>
          </w:tcPr>
          <w:p>
            <w:pPr>
              <w:spacing w:after="40" w:before="40"/>
            </w:pPr>
            <w:r>
              <w:rPr>
                <w:rFonts w:ascii="Calibri" w:hAnsi="Calibri"/>
                <w:b w:val="0"/>
                <w:sz w:val="20"/>
              </w:rPr>
              <w:t>UBS Group AG</w:t>
            </w:r>
          </w:p>
        </w:tc>
        <w:tc>
          <w:tcPr>
            <w:tcW w:type="dxa" w:w="3250"/>
          </w:tcPr>
          <w:p>
            <w:pPr>
              <w:spacing w:after="40" w:before="40"/>
            </w:pPr>
            <w:r>
              <w:rPr>
                <w:rFonts w:ascii="Calibri" w:hAnsi="Calibri"/>
                <w:b w:val="0"/>
                <w:sz w:val="20"/>
              </w:rPr>
              <w:t>Continued post-Credit Suisse integration of securities services operations, with reported progress on client migration and platform consolidation in Switzerland and Asia.</w:t>
            </w:r>
          </w:p>
        </w:tc>
        <w:tc>
          <w:tcPr>
            <w:tcW w:type="dxa" w:w="3250"/>
          </w:tcPr>
          <w:p>
            <w:pPr>
              <w:spacing w:after="40" w:before="40"/>
            </w:pPr>
            <w:r>
              <w:rPr>
                <w:rFonts w:ascii="Calibri" w:hAnsi="Calibri"/>
                <w:b w:val="0"/>
                <w:sz w:val="20"/>
              </w:rPr>
              <w:t>The integration trajectory will determine whether UBS emerges as a stronger custody competitor or faces prolonged operational distraction; market participants are watching closely.</w:t>
            </w:r>
          </w:p>
        </w:tc>
      </w:tr>
      <w:tr>
        <w:tc>
          <w:tcPr>
            <w:tcW w:type="dxa" w:w="3250"/>
            <w:shd w:val="clear" w:color="auto" w:fill="EEF3FA"/>
          </w:tcPr>
          <w:p>
            <w:pPr>
              <w:spacing w:after="40" w:before="40"/>
            </w:pPr>
            <w:r>
              <w:rPr>
                <w:rFonts w:ascii="Calibri" w:hAnsi="Calibri"/>
                <w:b w:val="0"/>
                <w:sz w:val="20"/>
              </w:rPr>
              <w:t>RBC Investor Services</w:t>
            </w:r>
          </w:p>
        </w:tc>
        <w:tc>
          <w:tcPr>
            <w:tcW w:type="dxa" w:w="3250"/>
            <w:shd w:val="clear" w:color="auto" w:fill="EEF3FA"/>
          </w:tcPr>
          <w:p>
            <w:pPr>
              <w:spacing w:after="40" w:before="40"/>
            </w:pPr>
            <w:r>
              <w:rPr>
                <w:rFonts w:ascii="Calibri" w:hAnsi="Calibri"/>
                <w:b w:val="0"/>
                <w:sz w:val="20"/>
              </w:rPr>
              <w:t>Announced enhanced FX execution analytics capabilities for institutional clients and expanded support for Canadian pension fund reporting requirements.</w:t>
            </w:r>
          </w:p>
        </w:tc>
        <w:tc>
          <w:tcPr>
            <w:tcW w:type="dxa" w:w="3250"/>
            <w:shd w:val="clear" w:color="auto" w:fill="EEF3FA"/>
          </w:tcPr>
          <w:p>
            <w:pPr>
              <w:spacing w:after="40" w:before="40"/>
            </w:pPr>
            <w:r>
              <w:rPr>
                <w:rFonts w:ascii="Calibri" w:hAnsi="Calibri"/>
                <w:b w:val="0"/>
                <w:sz w:val="20"/>
              </w:rPr>
              <w:t>Reinforces RBC IS's value proposition for Canadian institutional clients during a period of elevated FX volatility and trade-driven portfolio rebalancing.</w:t>
            </w:r>
          </w:p>
        </w:tc>
      </w:tr>
      <w:tr>
        <w:tc>
          <w:tcPr>
            <w:tcW w:type="dxa" w:w="3250"/>
          </w:tcPr>
          <w:p>
            <w:pPr>
              <w:spacing w:after="40" w:before="40"/>
            </w:pPr>
            <w:r>
              <w:rPr>
                <w:rFonts w:ascii="Calibri" w:hAnsi="Calibri"/>
                <w:b w:val="0"/>
                <w:sz w:val="20"/>
              </w:rPr>
              <w:t>Societe Generale Securities Services</w:t>
            </w:r>
          </w:p>
        </w:tc>
        <w:tc>
          <w:tcPr>
            <w:tcW w:type="dxa" w:w="3250"/>
          </w:tcPr>
          <w:p>
            <w:pPr>
              <w:spacing w:after="40" w:before="40"/>
            </w:pPr>
            <w:r>
              <w:rPr>
                <w:rFonts w:ascii="Calibri" w:hAnsi="Calibri"/>
                <w:b w:val="0"/>
                <w:sz w:val="20"/>
              </w:rPr>
              <w:t>Expanded its fund distribution support services in the Nordic region through a new partnership with regional transfer agents.</w:t>
            </w:r>
          </w:p>
        </w:tc>
        <w:tc>
          <w:tcPr>
            <w:tcW w:type="dxa" w:w="3250"/>
          </w:tcPr>
          <w:p>
            <w:pPr>
              <w:spacing w:after="40" w:before="40"/>
            </w:pPr>
            <w:r>
              <w:rPr>
                <w:rFonts w:ascii="Calibri" w:hAnsi="Calibri"/>
                <w:b w:val="0"/>
                <w:sz w:val="20"/>
              </w:rPr>
              <w:t>Signals SGSS's continued geographic expansion strategy in European markets, competing for distribution mandates in a region where RBC IS also has presence.</w:t>
            </w:r>
          </w:p>
        </w:tc>
      </w:tr>
      <w:tr>
        <w:tc>
          <w:tcPr>
            <w:tcW w:type="dxa" w:w="3250"/>
            <w:shd w:val="clear" w:color="auto" w:fill="EEF3FA"/>
          </w:tcPr>
          <w:p>
            <w:pPr>
              <w:spacing w:after="40" w:before="40"/>
            </w:pPr>
            <w:r>
              <w:rPr>
                <w:rFonts w:ascii="Calibri" w:hAnsi="Calibri"/>
                <w:b w:val="0"/>
                <w:sz w:val="20"/>
              </w:rPr>
              <w:t>Standard Chartered plc</w:t>
            </w:r>
          </w:p>
        </w:tc>
        <w:tc>
          <w:tcPr>
            <w:tcW w:type="dxa" w:w="3250"/>
            <w:shd w:val="clear" w:color="auto" w:fill="EEF3FA"/>
          </w:tcPr>
          <w:p>
            <w:pPr>
              <w:spacing w:after="40" w:before="40"/>
            </w:pPr>
            <w:r>
              <w:rPr>
                <w:rFonts w:ascii="Calibri" w:hAnsi="Calibri"/>
                <w:b w:val="0"/>
                <w:sz w:val="20"/>
              </w:rPr>
              <w:t>Securities Services division deepened its presence in African and South Asian markets with new sub-custody agreements in three frontier markets.</w:t>
            </w:r>
          </w:p>
        </w:tc>
        <w:tc>
          <w:tcPr>
            <w:tcW w:type="dxa" w:w="3250"/>
            <w:shd w:val="clear" w:color="auto" w:fill="EEF3FA"/>
          </w:tcPr>
          <w:p>
            <w:pPr>
              <w:spacing w:after="40" w:before="40"/>
            </w:pPr>
            <w:r>
              <w:rPr>
                <w:rFonts w:ascii="Calibri" w:hAnsi="Calibri"/>
                <w:b w:val="0"/>
                <w:sz w:val="20"/>
              </w:rPr>
              <w:t>Strengthens Standard Chartered's niche positioning as a specialist frontier and emerging market sub-custodian, a differentiated capability among global peers.</w:t>
            </w:r>
          </w:p>
        </w:tc>
      </w:tr>
      <w:tr>
        <w:tc>
          <w:tcPr>
            <w:tcW w:type="dxa" w:w="3250"/>
          </w:tcPr>
          <w:p>
            <w:pPr>
              <w:spacing w:after="40" w:before="40"/>
            </w:pPr>
            <w:r>
              <w:rPr>
                <w:rFonts w:ascii="Calibri" w:hAnsi="Calibri"/>
                <w:b w:val="0"/>
                <w:sz w:val="20"/>
              </w:rPr>
              <w:t>Brown Brothers Harriman &amp; Co.</w:t>
            </w:r>
          </w:p>
        </w:tc>
        <w:tc>
          <w:tcPr>
            <w:tcW w:type="dxa" w:w="3250"/>
          </w:tcPr>
          <w:p>
            <w:pPr>
              <w:spacing w:after="40" w:before="40"/>
            </w:pPr>
            <w:r>
              <w:rPr>
                <w:rFonts w:ascii="Calibri" w:hAnsi="Calibri"/>
                <w:b w:val="0"/>
                <w:sz w:val="20"/>
              </w:rPr>
              <w:t>Published research on the operational implications of T+0 settlement for cross-border custody, positioning itself as a thought leader on settlement reform.</w:t>
            </w:r>
          </w:p>
        </w:tc>
        <w:tc>
          <w:tcPr>
            <w:tcW w:type="dxa" w:w="3250"/>
          </w:tcPr>
          <w:p>
            <w:pPr>
              <w:spacing w:after="40" w:before="40"/>
            </w:pPr>
            <w:r>
              <w:rPr>
                <w:rFonts w:ascii="Calibri" w:hAnsi="Calibri"/>
                <w:b w:val="0"/>
                <w:sz w:val="20"/>
              </w:rPr>
              <w:t>BBH's continued investment in thought leadership and its partnership-model approach resonate with mid-sized asset managers evaluating custodian relationships during settlement reform transitions.</w:t>
            </w:r>
          </w:p>
        </w:tc>
      </w:tr>
      <w:tr>
        <w:tc>
          <w:tcPr>
            <w:tcW w:type="dxa" w:w="3250"/>
            <w:shd w:val="clear" w:color="auto" w:fill="EEF3FA"/>
          </w:tcPr>
          <w:p>
            <w:pPr>
              <w:spacing w:after="40" w:before="40"/>
            </w:pPr>
            <w:r>
              <w:rPr>
                <w:rFonts w:ascii="Calibri" w:hAnsi="Calibri"/>
                <w:b w:val="0"/>
                <w:sz w:val="20"/>
              </w:rPr>
              <w:t>Clearstream</w:t>
            </w:r>
          </w:p>
        </w:tc>
        <w:tc>
          <w:tcPr>
            <w:tcW w:type="dxa" w:w="3250"/>
            <w:shd w:val="clear" w:color="auto" w:fill="EEF3FA"/>
          </w:tcPr>
          <w:p>
            <w:pPr>
              <w:spacing w:after="40" w:before="40"/>
            </w:pPr>
            <w:r>
              <w:rPr>
                <w:rFonts w:ascii="Calibri" w:hAnsi="Calibri"/>
                <w:b w:val="0"/>
                <w:sz w:val="20"/>
              </w:rPr>
              <w:t>Expanded its D7 digital post-trade platform with additional asset classes and announced new issuer CSD connections in the Middle East.</w:t>
            </w:r>
          </w:p>
        </w:tc>
        <w:tc>
          <w:tcPr>
            <w:tcW w:type="dxa" w:w="3250"/>
            <w:shd w:val="clear" w:color="auto" w:fill="EEF3FA"/>
          </w:tcPr>
          <w:p>
            <w:pPr>
              <w:spacing w:after="40" w:before="40"/>
            </w:pPr>
            <w:r>
              <w:rPr>
                <w:rFonts w:ascii="Calibri" w:hAnsi="Calibri"/>
                <w:b w:val="0"/>
                <w:sz w:val="20"/>
              </w:rPr>
              <w:t>Advances Clearstream's strategy to become the pan-European hub for digital securities issuance and settlement, with implications for how custodians connect to CSD infrastructure.</w:t>
            </w:r>
          </w:p>
        </w:tc>
      </w:tr>
      <w:tr>
        <w:tc>
          <w:tcPr>
            <w:tcW w:type="dxa" w:w="3250"/>
          </w:tcPr>
          <w:p>
            <w:pPr>
              <w:spacing w:after="40" w:before="40"/>
            </w:pPr>
            <w:r>
              <w:rPr>
                <w:rFonts w:ascii="Calibri" w:hAnsi="Calibri"/>
                <w:b w:val="0"/>
                <w:sz w:val="20"/>
              </w:rPr>
              <w:t>Euroclear</w:t>
            </w:r>
          </w:p>
        </w:tc>
        <w:tc>
          <w:tcPr>
            <w:tcW w:type="dxa" w:w="3250"/>
          </w:tcPr>
          <w:p>
            <w:pPr>
              <w:spacing w:after="40" w:before="40"/>
            </w:pPr>
            <w:r>
              <w:rPr>
                <w:rFonts w:ascii="Calibri" w:hAnsi="Calibri"/>
                <w:b w:val="0"/>
                <w:sz w:val="20"/>
              </w:rPr>
              <w:t>Announced further progress on its digital securities settlement infrastructure and expanded its collateral management highway to include additional Asian sovereign bond markets.</w:t>
            </w:r>
          </w:p>
        </w:tc>
        <w:tc>
          <w:tcPr>
            <w:tcW w:type="dxa" w:w="3250"/>
          </w:tcPr>
          <w:p>
            <w:pPr>
              <w:spacing w:after="40" w:before="40"/>
            </w:pPr>
            <w:r>
              <w:rPr>
                <w:rFonts w:ascii="Calibri" w:hAnsi="Calibri"/>
                <w:b w:val="0"/>
                <w:sz w:val="20"/>
              </w:rPr>
              <w:t>Euroclear's collateral management reach is strategically important for custodians relying on its tri-party services; the Asian expansion benefits clients with cross-border collateral needs.</w:t>
            </w:r>
          </w:p>
        </w:tc>
      </w:tr>
      <w:tr>
        <w:tc>
          <w:tcPr>
            <w:tcW w:type="dxa" w:w="3250"/>
            <w:shd w:val="clear" w:color="auto" w:fill="EEF3FA"/>
          </w:tcPr>
          <w:p>
            <w:pPr>
              <w:spacing w:after="40" w:before="40"/>
            </w:pPr>
            <w:r>
              <w:rPr>
                <w:rFonts w:ascii="Calibri" w:hAnsi="Calibri"/>
                <w:b w:val="0"/>
                <w:sz w:val="20"/>
              </w:rPr>
              <w:t>CIBC Mellon</w:t>
            </w:r>
          </w:p>
        </w:tc>
        <w:tc>
          <w:tcPr>
            <w:tcW w:type="dxa" w:w="3250"/>
            <w:shd w:val="clear" w:color="auto" w:fill="EEF3FA"/>
          </w:tcPr>
          <w:p>
            <w:pPr>
              <w:spacing w:after="40" w:before="40"/>
            </w:pPr>
            <w:r>
              <w:rPr>
                <w:rFonts w:ascii="Calibri" w:hAnsi="Calibri"/>
                <w:b w:val="0"/>
                <w:sz w:val="20"/>
              </w:rPr>
              <w:t>No material news this month.</w:t>
            </w:r>
          </w:p>
        </w:tc>
        <w:tc>
          <w:tcPr>
            <w:tcW w:type="dxa" w:w="3250"/>
            <w:shd w:val="clear" w:color="auto" w:fill="EEF3FA"/>
          </w:tcPr>
          <w:p>
            <w:pPr>
              <w:spacing w:after="40" w:before="40"/>
            </w:pPr>
            <w:r>
              <w:rPr>
                <w:rFonts w:ascii="Calibri" w:hAnsi="Calibri"/>
                <w:b w:val="0"/>
                <w:sz w:val="20"/>
              </w:rPr>
              <w:t>—</w:t>
            </w:r>
          </w:p>
        </w:tc>
      </w:tr>
      <w:tr>
        <w:tc>
          <w:tcPr>
            <w:tcW w:type="dxa" w:w="3250"/>
          </w:tcPr>
          <w:p>
            <w:pPr>
              <w:spacing w:after="40" w:before="40"/>
            </w:pPr>
            <w:r>
              <w:rPr>
                <w:rFonts w:ascii="Calibri" w:hAnsi="Calibri"/>
                <w:b w:val="0"/>
                <w:sz w:val="20"/>
              </w:rPr>
              <w:t>Coinbase Custody (Coinbase Prime)</w:t>
            </w:r>
          </w:p>
        </w:tc>
        <w:tc>
          <w:tcPr>
            <w:tcW w:type="dxa" w:w="3250"/>
          </w:tcPr>
          <w:p>
            <w:pPr>
              <w:spacing w:after="40" w:before="40"/>
            </w:pPr>
            <w:r>
              <w:rPr>
                <w:rFonts w:ascii="Calibri" w:hAnsi="Calibri"/>
                <w:b w:val="0"/>
                <w:sz w:val="20"/>
              </w:rPr>
              <w:t>Received expanded regulatory approvals in additional US states and announced enhanced institutional reporting features for its Prime custody platform.</w:t>
            </w:r>
          </w:p>
        </w:tc>
        <w:tc>
          <w:tcPr>
            <w:tcW w:type="dxa" w:w="3250"/>
          </w:tcPr>
          <w:p>
            <w:pPr>
              <w:spacing w:after="40" w:before="40"/>
            </w:pPr>
            <w:r>
              <w:rPr>
                <w:rFonts w:ascii="Calibri" w:hAnsi="Calibri"/>
                <w:b w:val="0"/>
                <w:sz w:val="20"/>
              </w:rPr>
              <w:t>Strengthens Coinbase's position as a leading US-regulated digital asset custodian for institutions, relevant as Canadian clients evaluate digital asset custody options.</w:t>
            </w:r>
          </w:p>
        </w:tc>
      </w:tr>
      <w:tr>
        <w:tc>
          <w:tcPr>
            <w:tcW w:type="dxa" w:w="3250"/>
            <w:shd w:val="clear" w:color="auto" w:fill="EEF3FA"/>
          </w:tcPr>
          <w:p>
            <w:pPr>
              <w:spacing w:after="40" w:before="40"/>
            </w:pPr>
            <w:r>
              <w:rPr>
                <w:rFonts w:ascii="Calibri" w:hAnsi="Calibri"/>
                <w:b w:val="0"/>
                <w:sz w:val="20"/>
              </w:rPr>
              <w:t>BitGo</w:t>
            </w:r>
          </w:p>
        </w:tc>
        <w:tc>
          <w:tcPr>
            <w:tcW w:type="dxa" w:w="3250"/>
            <w:shd w:val="clear" w:color="auto" w:fill="EEF3FA"/>
          </w:tcPr>
          <w:p>
            <w:pPr>
              <w:spacing w:after="40" w:before="40"/>
            </w:pPr>
            <w:r>
              <w:rPr>
                <w:rFonts w:ascii="Calibri" w:hAnsi="Calibri"/>
                <w:b w:val="0"/>
                <w:sz w:val="20"/>
              </w:rPr>
              <w:t>Announced SOC 2 Type II recertification and expanded multi-chain custody support including new Layer 2 networks.</w:t>
            </w:r>
          </w:p>
        </w:tc>
        <w:tc>
          <w:tcPr>
            <w:tcW w:type="dxa" w:w="3250"/>
            <w:shd w:val="clear" w:color="auto" w:fill="EEF3FA"/>
          </w:tcPr>
          <w:p>
            <w:pPr>
              <w:spacing w:after="40" w:before="40"/>
            </w:pPr>
            <w:r>
              <w:rPr>
                <w:rFonts w:ascii="Calibri" w:hAnsi="Calibri"/>
                <w:b w:val="0"/>
                <w:sz w:val="20"/>
              </w:rPr>
              <w:t>Operational assurance certifications and expanded chain coverage are critical for institutional adoption; BitGo continues to position as a qualified custodian alternative for digital assets.</w:t>
            </w:r>
          </w:p>
        </w:tc>
      </w:tr>
      <w:tr>
        <w:tc>
          <w:tcPr>
            <w:tcW w:type="dxa" w:w="3250"/>
          </w:tcPr>
          <w:p>
            <w:pPr>
              <w:spacing w:after="40" w:before="40"/>
            </w:pPr>
            <w:r>
              <w:rPr>
                <w:rFonts w:ascii="Calibri" w:hAnsi="Calibri"/>
                <w:b w:val="0"/>
                <w:sz w:val="20"/>
              </w:rPr>
              <w:t>Fidelity Digital Assets</w:t>
            </w:r>
          </w:p>
        </w:tc>
        <w:tc>
          <w:tcPr>
            <w:tcW w:type="dxa" w:w="3250"/>
          </w:tcPr>
          <w:p>
            <w:pPr>
              <w:spacing w:after="40" w:before="40"/>
            </w:pPr>
            <w:r>
              <w:rPr>
                <w:rFonts w:ascii="Calibri" w:hAnsi="Calibri"/>
                <w:b w:val="0"/>
                <w:sz w:val="20"/>
              </w:rPr>
              <w:t>Expanded its institutional custody offering to include additional tokenized asset classes and enhanced API connectivity for fund administrators.</w:t>
            </w:r>
          </w:p>
        </w:tc>
        <w:tc>
          <w:tcPr>
            <w:tcW w:type="dxa" w:w="3250"/>
          </w:tcPr>
          <w:p>
            <w:pPr>
              <w:spacing w:after="40" w:before="40"/>
            </w:pPr>
            <w:r>
              <w:rPr>
                <w:rFonts w:ascii="Calibri" w:hAnsi="Calibri"/>
                <w:b w:val="0"/>
                <w:sz w:val="20"/>
              </w:rPr>
              <w:t>Fidelity's brand recognition and expanding digital custody capabilities make it a significant competitor in the institutional digital asset custody space.</w:t>
            </w:r>
          </w:p>
        </w:tc>
      </w:tr>
      <w:tr>
        <w:tc>
          <w:tcPr>
            <w:tcW w:type="dxa" w:w="3250"/>
            <w:shd w:val="clear" w:color="auto" w:fill="EEF3FA"/>
          </w:tcPr>
          <w:p>
            <w:pPr>
              <w:spacing w:after="40" w:before="40"/>
            </w:pPr>
            <w:r>
              <w:rPr>
                <w:rFonts w:ascii="Calibri" w:hAnsi="Calibri"/>
                <w:b w:val="0"/>
                <w:sz w:val="20"/>
              </w:rPr>
              <w:t>Anchorage Digital</w:t>
            </w:r>
          </w:p>
        </w:tc>
        <w:tc>
          <w:tcPr>
            <w:tcW w:type="dxa" w:w="3250"/>
            <w:shd w:val="clear" w:color="auto" w:fill="EEF3FA"/>
          </w:tcPr>
          <w:p>
            <w:pPr>
              <w:spacing w:after="40" w:before="40"/>
            </w:pPr>
            <w:r>
              <w:rPr>
                <w:rFonts w:ascii="Calibri" w:hAnsi="Calibri"/>
                <w:b w:val="0"/>
                <w:sz w:val="20"/>
              </w:rPr>
              <w:t>Announced a partnership with a traditional asset manager to provide custody infrastructure for a tokenized fund product.</w:t>
            </w:r>
          </w:p>
        </w:tc>
        <w:tc>
          <w:tcPr>
            <w:tcW w:type="dxa" w:w="3250"/>
            <w:shd w:val="clear" w:color="auto" w:fill="EEF3FA"/>
          </w:tcPr>
          <w:p>
            <w:pPr>
              <w:spacing w:after="40" w:before="40"/>
            </w:pPr>
            <w:r>
              <w:rPr>
                <w:rFonts w:ascii="Calibri" w:hAnsi="Calibri"/>
                <w:b w:val="0"/>
                <w:sz w:val="20"/>
              </w:rPr>
              <w:t>Demonstrates continued convergence of digital-native custodians with traditional fund structures, validating the institutional pathway for tokenized fund servicing.</w:t>
            </w:r>
          </w:p>
        </w:tc>
      </w:tr>
      <w:tr>
        <w:tc>
          <w:tcPr>
            <w:tcW w:type="dxa" w:w="3250"/>
          </w:tcPr>
          <w:p>
            <w:pPr>
              <w:spacing w:after="40" w:before="40"/>
            </w:pPr>
            <w:r>
              <w:rPr>
                <w:rFonts w:ascii="Calibri" w:hAnsi="Calibri"/>
                <w:b w:val="0"/>
                <w:sz w:val="20"/>
              </w:rPr>
              <w:t>Fireblocks</w:t>
            </w:r>
          </w:p>
        </w:tc>
        <w:tc>
          <w:tcPr>
            <w:tcW w:type="dxa" w:w="3250"/>
          </w:tcPr>
          <w:p>
            <w:pPr>
              <w:spacing w:after="40" w:before="40"/>
            </w:pPr>
            <w:r>
              <w:rPr>
                <w:rFonts w:ascii="Calibri" w:hAnsi="Calibri"/>
                <w:b w:val="0"/>
                <w:sz w:val="20"/>
              </w:rPr>
              <w:t>Expanded MiCA-compliant wallet infrastructure and announced new enterprise clients among European banks and asset managers.</w:t>
            </w:r>
          </w:p>
        </w:tc>
        <w:tc>
          <w:tcPr>
            <w:tcW w:type="dxa" w:w="3250"/>
          </w:tcPr>
          <w:p>
            <w:pPr>
              <w:spacing w:after="40" w:before="40"/>
            </w:pPr>
            <w:r>
              <w:rPr>
                <w:rFonts w:ascii="Calibri" w:hAnsi="Calibri"/>
                <w:b w:val="0"/>
                <w:sz w:val="20"/>
              </w:rPr>
              <w:t>Fireblocks' infrastructure-as-a-service model is increasingly embedded in institutional digital asset workflows, making it a key vendor for custodians building digital capabilities.</w:t>
            </w:r>
          </w:p>
        </w:tc>
      </w:tr>
      <w:tr>
        <w:tc>
          <w:tcPr>
            <w:tcW w:type="dxa" w:w="3250"/>
            <w:shd w:val="clear" w:color="auto" w:fill="EEF3FA"/>
          </w:tcPr>
          <w:p>
            <w:pPr>
              <w:spacing w:after="40" w:before="40"/>
            </w:pPr>
            <w:r>
              <w:rPr>
                <w:rFonts w:ascii="Calibri" w:hAnsi="Calibri"/>
                <w:b w:val="0"/>
                <w:sz w:val="20"/>
              </w:rPr>
              <w:t>Copper</w:t>
            </w:r>
          </w:p>
        </w:tc>
        <w:tc>
          <w:tcPr>
            <w:tcW w:type="dxa" w:w="3250"/>
            <w:shd w:val="clear" w:color="auto" w:fill="EEF3FA"/>
          </w:tcPr>
          <w:p>
            <w:pPr>
              <w:spacing w:after="40" w:before="40"/>
            </w:pPr>
            <w:r>
              <w:rPr>
                <w:rFonts w:ascii="Calibri" w:hAnsi="Calibri"/>
                <w:b w:val="0"/>
                <w:sz w:val="20"/>
              </w:rPr>
              <w:t>Announced expanded ClearLoop network integrations with additional exchanges and enhanced its off-exchange settlement capabilities.</w:t>
            </w:r>
          </w:p>
        </w:tc>
        <w:tc>
          <w:tcPr>
            <w:tcW w:type="dxa" w:w="3250"/>
            <w:shd w:val="clear" w:color="auto" w:fill="EEF3FA"/>
          </w:tcPr>
          <w:p>
            <w:pPr>
              <w:spacing w:after="40" w:before="40"/>
            </w:pPr>
            <w:r>
              <w:rPr>
                <w:rFonts w:ascii="Calibri" w:hAnsi="Calibri"/>
                <w:b w:val="0"/>
                <w:sz w:val="20"/>
              </w:rPr>
              <w:t>Copper's focus on counterparty risk reduction through off-exchange settlement resonates with institutional risk managers and differentiates its offering from custody-only competitors.</w:t>
            </w:r>
          </w:p>
        </w:tc>
      </w:tr>
      <w:tr>
        <w:tc>
          <w:tcPr>
            <w:tcW w:type="dxa" w:w="3250"/>
          </w:tcPr>
          <w:p>
            <w:pPr>
              <w:spacing w:after="40" w:before="40"/>
            </w:pPr>
            <w:r>
              <w:rPr>
                <w:rFonts w:ascii="Calibri" w:hAnsi="Calibri"/>
                <w:b w:val="0"/>
                <w:sz w:val="20"/>
              </w:rPr>
              <w:t>Komainu</w:t>
            </w:r>
          </w:p>
        </w:tc>
        <w:tc>
          <w:tcPr>
            <w:tcW w:type="dxa" w:w="3250"/>
          </w:tcPr>
          <w:p>
            <w:pPr>
              <w:spacing w:after="40" w:before="40"/>
            </w:pPr>
            <w:r>
              <w:rPr>
                <w:rFonts w:ascii="Calibri" w:hAnsi="Calibri"/>
                <w:b w:val="0"/>
                <w:sz w:val="20"/>
              </w:rPr>
              <w:t>Secured additional regulatory licensing in the Middle East and Asia to offer institutional digital asset custody and staking services.</w:t>
            </w:r>
          </w:p>
        </w:tc>
        <w:tc>
          <w:tcPr>
            <w:tcW w:type="dxa" w:w="3250"/>
          </w:tcPr>
          <w:p>
            <w:pPr>
              <w:spacing w:after="40" w:before="40"/>
            </w:pPr>
            <w:r>
              <w:rPr>
                <w:rFonts w:ascii="Calibri" w:hAnsi="Calibri"/>
                <w:b w:val="0"/>
                <w:sz w:val="20"/>
              </w:rPr>
              <w:t>Komainu's multi-jurisdictional regulatory footprint, backed by its Nomura and CoinShares parentage, positions it as a credible institutional digital custodian in growth markets.</w:t>
            </w:r>
          </w:p>
        </w:tc>
      </w:tr>
      <w:tr>
        <w:tc>
          <w:tcPr>
            <w:tcW w:type="dxa" w:w="3250"/>
            <w:shd w:val="clear" w:color="auto" w:fill="EEF3FA"/>
          </w:tcPr>
          <w:p>
            <w:pPr>
              <w:spacing w:after="40" w:before="40"/>
            </w:pPr>
            <w:r>
              <w:rPr>
                <w:rFonts w:ascii="Calibri" w:hAnsi="Calibri"/>
                <w:b w:val="0"/>
                <w:sz w:val="20"/>
              </w:rPr>
              <w:t>Zodia Custody</w:t>
            </w:r>
          </w:p>
        </w:tc>
        <w:tc>
          <w:tcPr>
            <w:tcW w:type="dxa" w:w="3250"/>
            <w:shd w:val="clear" w:color="auto" w:fill="EEF3FA"/>
          </w:tcPr>
          <w:p>
            <w:pPr>
              <w:spacing w:after="40" w:before="40"/>
            </w:pPr>
            <w:r>
              <w:rPr>
                <w:rFonts w:ascii="Calibri" w:hAnsi="Calibri"/>
                <w:b w:val="0"/>
                <w:sz w:val="20"/>
              </w:rPr>
              <w:t>Expanded its European client base following MiCA preparatory registrations and announced enhanced reporting integration with traditional fund administrators.</w:t>
            </w:r>
          </w:p>
        </w:tc>
        <w:tc>
          <w:tcPr>
            <w:tcW w:type="dxa" w:w="3250"/>
            <w:shd w:val="clear" w:color="auto" w:fill="EEF3FA"/>
          </w:tcPr>
          <w:p>
            <w:pPr>
              <w:spacing w:after="40" w:before="40"/>
            </w:pPr>
            <w:r>
              <w:rPr>
                <w:rFonts w:ascii="Calibri" w:hAnsi="Calibri"/>
                <w:b w:val="0"/>
                <w:sz w:val="20"/>
              </w:rPr>
              <w:t>Zodia's Standard Chartered parentage and focus on regulatory compliance make it a natural partner for traditional custodians seeking digital asset custody interoperability.</w:t>
            </w:r>
          </w:p>
        </w:tc>
      </w:tr>
      <w:tr>
        <w:tc>
          <w:tcPr>
            <w:tcW w:type="dxa" w:w="3250"/>
          </w:tcPr>
          <w:p>
            <w:pPr>
              <w:spacing w:after="40" w:before="40"/>
            </w:pPr>
            <w:r>
              <w:rPr>
                <w:rFonts w:ascii="Calibri" w:hAnsi="Calibri"/>
                <w:b w:val="0"/>
                <w:sz w:val="20"/>
              </w:rPr>
              <w:t>NYDIG</w:t>
            </w:r>
          </w:p>
        </w:tc>
        <w:tc>
          <w:tcPr>
            <w:tcW w:type="dxa" w:w="3250"/>
          </w:tcPr>
          <w:p>
            <w:pPr>
              <w:spacing w:after="40" w:before="40"/>
            </w:pPr>
            <w:r>
              <w:rPr>
                <w:rFonts w:ascii="Calibri" w:hAnsi="Calibri"/>
                <w:b w:val="0"/>
                <w:sz w:val="20"/>
              </w:rPr>
              <w:t>Focused on expanding its Bitcoin-specific institutional custody and financing solutions, with reported growth in insurance company client base.</w:t>
            </w:r>
          </w:p>
        </w:tc>
        <w:tc>
          <w:tcPr>
            <w:tcW w:type="dxa" w:w="3250"/>
          </w:tcPr>
          <w:p>
            <w:pPr>
              <w:spacing w:after="40" w:before="40"/>
            </w:pPr>
            <w:r>
              <w:rPr>
                <w:rFonts w:ascii="Calibri" w:hAnsi="Calibri"/>
                <w:b w:val="0"/>
                <w:sz w:val="20"/>
              </w:rPr>
              <w:t>NYDIG's niche Bitcoin-only positioning and strength with US insurance clients represent a specialized competitive dynamic within the broader digital asset custody market.</w:t>
            </w:r>
          </w:p>
        </w:tc>
      </w:tr>
      <w:tr>
        <w:tc>
          <w:tcPr>
            <w:tcW w:type="dxa" w:w="3250"/>
            <w:shd w:val="clear" w:color="auto" w:fill="EEF3FA"/>
          </w:tcPr>
          <w:p>
            <w:pPr>
              <w:spacing w:after="40" w:before="40"/>
            </w:pPr>
            <w:r>
              <w:rPr>
                <w:rFonts w:ascii="Calibri" w:hAnsi="Calibri"/>
                <w:b w:val="0"/>
                <w:sz w:val="20"/>
              </w:rPr>
              <w:t>Taurus</w:t>
            </w:r>
          </w:p>
        </w:tc>
        <w:tc>
          <w:tcPr>
            <w:tcW w:type="dxa" w:w="3250"/>
            <w:shd w:val="clear" w:color="auto" w:fill="EEF3FA"/>
          </w:tcPr>
          <w:p>
            <w:pPr>
              <w:spacing w:after="40" w:before="40"/>
            </w:pPr>
            <w:r>
              <w:rPr>
                <w:rFonts w:ascii="Calibri" w:hAnsi="Calibri"/>
                <w:b w:val="0"/>
                <w:sz w:val="20"/>
              </w:rPr>
              <w:t>Secured a Series B+ funding round reportedly valuing the firm above USD 1 billion, with plans to expand digital asset issuance and custody platform across Europe.</w:t>
            </w:r>
          </w:p>
        </w:tc>
        <w:tc>
          <w:tcPr>
            <w:tcW w:type="dxa" w:w="3250"/>
            <w:shd w:val="clear" w:color="auto" w:fill="EEF3FA"/>
          </w:tcPr>
          <w:p>
            <w:pPr>
              <w:spacing w:after="40" w:before="40"/>
            </w:pPr>
            <w:r>
              <w:rPr>
                <w:rFonts w:ascii="Calibri" w:hAnsi="Calibri"/>
                <w:b w:val="0"/>
                <w:sz w:val="20"/>
              </w:rPr>
              <w:t>Taurus's valuation milestone reflects strong institutional investor confidence in regulated digital securities infrastructure, marking it as a significant FinTech challenger to traditional custodians.</w:t>
            </w:r>
          </w:p>
        </w:tc>
      </w:tr>
      <w:tr>
        <w:tc>
          <w:tcPr>
            <w:tcW w:type="dxa" w:w="3250"/>
          </w:tcPr>
          <w:p>
            <w:pPr>
              <w:spacing w:after="40" w:before="40"/>
            </w:pPr>
            <w:r>
              <w:rPr>
                <w:rFonts w:ascii="Calibri" w:hAnsi="Calibri"/>
                <w:b w:val="0"/>
                <w:sz w:val="20"/>
              </w:rPr>
              <w:t>Kraken</w:t>
            </w:r>
          </w:p>
        </w:tc>
        <w:tc>
          <w:tcPr>
            <w:tcW w:type="dxa" w:w="3250"/>
          </w:tcPr>
          <w:p>
            <w:pPr>
              <w:spacing w:after="40" w:before="40"/>
            </w:pPr>
            <w:r>
              <w:rPr>
                <w:rFonts w:ascii="Calibri" w:hAnsi="Calibri"/>
                <w:b w:val="0"/>
                <w:sz w:val="20"/>
              </w:rPr>
              <w:t>Expanded its institutional services division and announced enhanced custody and staking features for professional and institutional clients.</w:t>
            </w:r>
          </w:p>
        </w:tc>
        <w:tc>
          <w:tcPr>
            <w:tcW w:type="dxa" w:w="3250"/>
          </w:tcPr>
          <w:p>
            <w:pPr>
              <w:spacing w:after="40" w:before="40"/>
            </w:pPr>
            <w:r>
              <w:rPr>
                <w:rFonts w:ascii="Calibri" w:hAnsi="Calibri"/>
                <w:b w:val="0"/>
                <w:sz w:val="20"/>
              </w:rPr>
              <w:t>Kraken's continued push into institutional services positions it as both a competitor and potential partner for traditional custodians navigating digital asset client demand.</w:t>
            </w:r>
          </w:p>
        </w:tc>
      </w:tr>
    </w:tbl>
    <w:p/>
    <w:p>
      <w:pPr>
        <w:jc w:val="center"/>
      </w:pPr>
      <w:r>
        <w:rPr>
          <w:rFonts w:ascii="Calibri" w:hAnsi="Calibri"/>
          <w:i/>
          <w:color w:val="888888"/>
          <w:sz w:val="16"/>
        </w:rPr>
        <w:t>This document is confidential and intended solely for the RBC Investor Services Senior Management Team. Do not distribute.</w:t>
      </w:r>
    </w:p>
    <w:sectPr w:rsidR="00E71C96" w:rsidRPr="00E15B30" w:rsidSect="00AA3776">
      <w:footerReference w:type="first" r:id="rId8"/>
      <w:pgSz w:w="11909" w:h="16834" w:code="9"/>
      <w:pgMar w:top="1080" w:right="1080" w:bottom="562" w:left="1080" w:header="0" w:footer="432" w:gutter="0"/>
      <w:pgBorders w:offsetFrom="page">
        <w:top w:val="single" w:sz="2" w:space="18" w:color="002159"/>
        <w:left w:val="single" w:sz="2" w:space="18" w:color="002159"/>
        <w:bottom w:val="single" w:sz="2" w:space="18" w:color="002159"/>
        <w:right w:val="single" w:sz="2" w:space="18" w:color="002159"/>
      </w:pgBorders>
      <w:pgNumType w:fmt="lowerRoman"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8EBA7" w14:textId="77777777" w:rsidR="00C02A6A" w:rsidRDefault="00C02A6A">
      <w:r>
        <w:separator/>
      </w:r>
    </w:p>
    <w:p w14:paraId="085563AF" w14:textId="77777777" w:rsidR="00C02A6A" w:rsidRDefault="00C02A6A"/>
    <w:p w14:paraId="4EDDD97C" w14:textId="77777777" w:rsidR="00C02A6A" w:rsidRDefault="00C02A6A"/>
  </w:endnote>
  <w:endnote w:type="continuationSeparator" w:id="0">
    <w:p w14:paraId="3D54E17F" w14:textId="77777777" w:rsidR="00C02A6A" w:rsidRDefault="00C02A6A">
      <w:r>
        <w:continuationSeparator/>
      </w:r>
    </w:p>
    <w:p w14:paraId="7C5BAB43" w14:textId="77777777" w:rsidR="00C02A6A" w:rsidRDefault="00C02A6A"/>
    <w:p w14:paraId="63C61948" w14:textId="77777777" w:rsidR="00C02A6A" w:rsidRDefault="00C02A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Times New Roman"/>
    <w:panose1 w:val="020B0704020202020204"/>
    <w:charset w:val="00"/>
    <w:family w:val="swiss"/>
    <w:pitch w:val="default"/>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embedRegular r:id="rId1" w:fontKey="{6747D7DF-3D6A-4ED2-AAC8-D3BA8B1D5C25}"/>
    <w:embedBold r:id="rId2" w:fontKey="{3454AD14-499D-4863-A694-692B1ADC694F}"/>
    <w:embedItalic r:id="rId3" w:fontKey="{781E6330-149F-411B-9735-59DF1E9C6AC7}"/>
  </w:font>
  <w:font w:name="Century Gothic">
    <w:panose1 w:val="020B0502020202020204"/>
    <w:charset w:val="00"/>
    <w:family w:val="swiss"/>
    <w:pitch w:val="variable"/>
    <w:sig w:usb0="00000287" w:usb1="00000000" w:usb2="00000000" w:usb3="00000000" w:csb0="0000009F" w:csb1="00000000"/>
    <w:embedRegular r:id="rId4" w:fontKey="{D252A5BB-800E-45C5-A3D6-74B880434F06}"/>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5" w:fontKey="{5FFF8507-1812-43FD-B3B6-FCE8389267C5}"/>
  </w:font>
  <w:font w:name="Arial Black">
    <w:panose1 w:val="020B0A04020102020204"/>
    <w:charset w:val="00"/>
    <w:family w:val="swiss"/>
    <w:pitch w:val="variable"/>
    <w:sig w:usb0="A00002AF" w:usb1="400078FB" w:usb2="00000000" w:usb3="00000000" w:csb0="0000009F" w:csb1="00000000"/>
    <w:embedRegular r:id="rId6" w:fontKey="{BB4AD9BD-E88A-4869-B5B9-C5B7C74BC6F5}"/>
  </w:font>
  <w:font w:name="Georgia">
    <w:panose1 w:val="02040502050405020303"/>
    <w:charset w:val="00"/>
    <w:family w:val="roman"/>
    <w:pitch w:val="variable"/>
    <w:sig w:usb0="00000287" w:usb1="00000000" w:usb2="00000000" w:usb3="00000000" w:csb0="0000009F" w:csb1="00000000"/>
    <w:embedBoldItalic r:id="rId7" w:fontKey="{3E708344-5C7E-4DC6-965D-F2C9BDEF92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4F06D" w14:textId="69824C84" w:rsidR="004F69BC" w:rsidRPr="00E4290C" w:rsidRDefault="004F69BC" w:rsidP="00E4290C">
    <w:pPr>
      <w:pStyle w:val="FooterBackcover"/>
      <w:spacing w:after="180"/>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BE78E6" w14:textId="77777777" w:rsidR="00C02A6A" w:rsidRDefault="00C02A6A" w:rsidP="00494966">
      <w:pPr>
        <w:pStyle w:val="FootnoteSeparator"/>
      </w:pPr>
    </w:p>
    <w:p w14:paraId="4B31063E" w14:textId="77777777" w:rsidR="00C02A6A" w:rsidRDefault="00C02A6A"/>
    <w:p w14:paraId="32C94793" w14:textId="77777777" w:rsidR="00C02A6A" w:rsidRDefault="00C02A6A"/>
  </w:footnote>
  <w:footnote w:type="continuationSeparator" w:id="0">
    <w:p w14:paraId="147C50A4" w14:textId="77777777" w:rsidR="00C02A6A" w:rsidRDefault="00C02A6A">
      <w:r>
        <w:continuationSeparator/>
      </w:r>
    </w:p>
    <w:p w14:paraId="002E624C" w14:textId="77777777" w:rsidR="00C02A6A" w:rsidRDefault="00C02A6A"/>
    <w:p w14:paraId="0E7DB25D" w14:textId="77777777" w:rsidR="00C02A6A" w:rsidRDefault="00C02A6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EF83E62"/>
    <w:lvl w:ilvl="0">
      <w:start w:val="1"/>
      <w:numFmt w:val="decimal"/>
      <w:pStyle w:val="ListNumber5"/>
      <w:lvlText w:val="%1."/>
      <w:lvlJc w:val="left"/>
      <w:pPr>
        <w:tabs>
          <w:tab w:val="num" w:pos="1492"/>
        </w:tabs>
        <w:ind w:left="1492" w:hanging="360"/>
      </w:pPr>
    </w:lvl>
  </w:abstractNum>
  <w:abstractNum w:abstractNumId="1" w15:restartNumberingAfterBreak="0">
    <w:nsid w:val="FFFFFF7E"/>
    <w:multiLevelType w:val="singleLevel"/>
    <w:tmpl w:val="9CFC16B4"/>
    <w:lvl w:ilvl="0">
      <w:start w:val="1"/>
      <w:numFmt w:val="decimal"/>
      <w:pStyle w:val="ListNumber3"/>
      <w:lvlText w:val="%1."/>
      <w:lvlJc w:val="left"/>
      <w:pPr>
        <w:tabs>
          <w:tab w:val="num" w:pos="926"/>
        </w:tabs>
        <w:ind w:left="926" w:hanging="360"/>
      </w:pPr>
    </w:lvl>
  </w:abstractNum>
  <w:abstractNum w:abstractNumId="2" w15:restartNumberingAfterBreak="0">
    <w:nsid w:val="FFFFFF7F"/>
    <w:multiLevelType w:val="singleLevel"/>
    <w:tmpl w:val="317A77E2"/>
    <w:lvl w:ilvl="0">
      <w:start w:val="1"/>
      <w:numFmt w:val="decimal"/>
      <w:pStyle w:val="ListNumber2"/>
      <w:lvlText w:val="%1."/>
      <w:lvlJc w:val="left"/>
      <w:pPr>
        <w:tabs>
          <w:tab w:val="num" w:pos="643"/>
        </w:tabs>
        <w:ind w:left="643" w:hanging="360"/>
      </w:pPr>
    </w:lvl>
  </w:abstractNum>
  <w:abstractNum w:abstractNumId="3" w15:restartNumberingAfterBreak="0">
    <w:nsid w:val="FFFFFF80"/>
    <w:multiLevelType w:val="singleLevel"/>
    <w:tmpl w:val="765AE9E0"/>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619AA81A"/>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0EE6481D"/>
    <w:multiLevelType w:val="multilevel"/>
    <w:tmpl w:val="9272BB36"/>
    <w:styleLink w:val="111111"/>
    <w:lvl w:ilvl="0">
      <w:start w:val="1"/>
      <w:numFmt w:val="decimal"/>
      <w:lvlText w:val="%1."/>
      <w:lvlJc w:val="left"/>
      <w:pPr>
        <w:tabs>
          <w:tab w:val="num" w:pos="720"/>
        </w:tabs>
        <w:ind w:left="720" w:hanging="360"/>
      </w:pPr>
      <w:rPr>
        <w:rFonts w:ascii="Arial" w:hAnsi="Arial"/>
        <w:color w:val="002144"/>
        <w:sz w:val="36"/>
      </w:rPr>
    </w:lvl>
    <w:lvl w:ilvl="1">
      <w:start w:val="1"/>
      <w:numFmt w:val="decimal"/>
      <w:lvlText w:val="%1.%2."/>
      <w:lvlJc w:val="left"/>
      <w:pPr>
        <w:tabs>
          <w:tab w:val="num" w:pos="1152"/>
        </w:tabs>
        <w:ind w:left="1152" w:hanging="432"/>
      </w:pPr>
      <w:rPr>
        <w:rFonts w:hint="default"/>
        <w:sz w:val="25"/>
      </w:rPr>
    </w:lvl>
    <w:lvl w:ilvl="2">
      <w:start w:val="1"/>
      <w:numFmt w:val="decimal"/>
      <w:lvlText w:val="%1.%2.%3."/>
      <w:lvlJc w:val="left"/>
      <w:pPr>
        <w:tabs>
          <w:tab w:val="num" w:pos="1584"/>
        </w:tabs>
        <w:ind w:left="1584" w:hanging="504"/>
      </w:pPr>
      <w:rPr>
        <w:rFonts w:hint="default"/>
      </w:rPr>
    </w:lvl>
    <w:lvl w:ilvl="3">
      <w:start w:val="1"/>
      <w:numFmt w:val="decimal"/>
      <w:lvlText w:val="%1.%2.%3.%4."/>
      <w:lvlJc w:val="left"/>
      <w:pPr>
        <w:tabs>
          <w:tab w:val="num" w:pos="2088"/>
        </w:tabs>
        <w:ind w:left="2088" w:hanging="648"/>
      </w:pPr>
      <w:rPr>
        <w:rFonts w:hint="default"/>
      </w:rPr>
    </w:lvl>
    <w:lvl w:ilvl="4">
      <w:start w:val="1"/>
      <w:numFmt w:val="decimal"/>
      <w:lvlText w:val="%1.%2.%3.%4.%5."/>
      <w:lvlJc w:val="left"/>
      <w:pPr>
        <w:tabs>
          <w:tab w:val="num" w:pos="2592"/>
        </w:tabs>
        <w:ind w:left="2592" w:hanging="792"/>
      </w:pPr>
      <w:rPr>
        <w:rFonts w:hint="default"/>
      </w:rPr>
    </w:lvl>
    <w:lvl w:ilvl="5">
      <w:start w:val="1"/>
      <w:numFmt w:val="decimal"/>
      <w:lvlText w:val="%1.%2.%3.%4.%5.%6."/>
      <w:lvlJc w:val="left"/>
      <w:pPr>
        <w:tabs>
          <w:tab w:val="num" w:pos="3096"/>
        </w:tabs>
        <w:ind w:left="3096" w:hanging="936"/>
      </w:pPr>
      <w:rPr>
        <w:rFonts w:hint="default"/>
      </w:rPr>
    </w:lvl>
    <w:lvl w:ilvl="6">
      <w:start w:val="1"/>
      <w:numFmt w:val="decimal"/>
      <w:lvlText w:val="%1.%2.%3.%4.%5.%6.%7."/>
      <w:lvlJc w:val="left"/>
      <w:pPr>
        <w:tabs>
          <w:tab w:val="num" w:pos="3600"/>
        </w:tabs>
        <w:ind w:left="3600" w:hanging="1080"/>
      </w:pPr>
      <w:rPr>
        <w:rFonts w:hint="default"/>
      </w:rPr>
    </w:lvl>
    <w:lvl w:ilvl="7">
      <w:start w:val="1"/>
      <w:numFmt w:val="decimal"/>
      <w:lvlText w:val="%1.%2.%3.%4.%5.%6.%7.%8."/>
      <w:lvlJc w:val="left"/>
      <w:pPr>
        <w:tabs>
          <w:tab w:val="num" w:pos="4104"/>
        </w:tabs>
        <w:ind w:left="4104" w:hanging="1224"/>
      </w:pPr>
      <w:rPr>
        <w:rFonts w:hint="default"/>
      </w:rPr>
    </w:lvl>
    <w:lvl w:ilvl="8">
      <w:start w:val="1"/>
      <w:numFmt w:val="decimal"/>
      <w:lvlText w:val="%1.%2.%3.%4.%5.%6.%7.%8.%9."/>
      <w:lvlJc w:val="left"/>
      <w:pPr>
        <w:tabs>
          <w:tab w:val="num" w:pos="4680"/>
        </w:tabs>
        <w:ind w:left="4680" w:hanging="1440"/>
      </w:pPr>
      <w:rPr>
        <w:rFonts w:hint="default"/>
      </w:rPr>
    </w:lvl>
  </w:abstractNum>
  <w:abstractNum w:abstractNumId="6" w15:restartNumberingAfterBreak="0">
    <w:nsid w:val="14F94586"/>
    <w:multiLevelType w:val="hybridMultilevel"/>
    <w:tmpl w:val="671E8414"/>
    <w:lvl w:ilvl="0" w:tplc="BA62B44E">
      <w:start w:val="1"/>
      <w:numFmt w:val="upperLetter"/>
      <w:pStyle w:val="List"/>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DD7F2F"/>
    <w:multiLevelType w:val="hybridMultilevel"/>
    <w:tmpl w:val="3FCCCD1A"/>
    <w:lvl w:ilvl="0" w:tplc="F8927B7A">
      <w:start w:val="1"/>
      <w:numFmt w:val="bullet"/>
      <w:pStyle w:val="ListBullet2"/>
      <w:lvlText w:val=""/>
      <w:lvlJc w:val="left"/>
      <w:pPr>
        <w:tabs>
          <w:tab w:val="num" w:pos="680"/>
        </w:tabs>
        <w:ind w:left="680" w:hanging="340"/>
      </w:pPr>
      <w:rPr>
        <w:rFonts w:ascii="Wingdings" w:hAnsi="Wingdings" w:hint="default"/>
        <w:color w:val="8499A6"/>
        <w:sz w:val="20"/>
      </w:rPr>
    </w:lvl>
    <w:lvl w:ilvl="1" w:tplc="B0649FC8">
      <w:start w:val="1"/>
      <w:numFmt w:val="bullet"/>
      <w:lvlText w:val="o"/>
      <w:lvlJc w:val="left"/>
      <w:pPr>
        <w:tabs>
          <w:tab w:val="num" w:pos="2806"/>
        </w:tabs>
        <w:ind w:left="2806" w:hanging="360"/>
      </w:pPr>
      <w:rPr>
        <w:rFonts w:ascii="Courier New" w:hAnsi="Courier New" w:hint="default"/>
      </w:rPr>
    </w:lvl>
    <w:lvl w:ilvl="2" w:tplc="04090005" w:tentative="1">
      <w:start w:val="1"/>
      <w:numFmt w:val="bullet"/>
      <w:lvlText w:val=""/>
      <w:lvlJc w:val="left"/>
      <w:pPr>
        <w:tabs>
          <w:tab w:val="num" w:pos="3526"/>
        </w:tabs>
        <w:ind w:left="3526" w:hanging="360"/>
      </w:pPr>
      <w:rPr>
        <w:rFonts w:ascii="Wingdings" w:hAnsi="Wingdings" w:hint="default"/>
      </w:rPr>
    </w:lvl>
    <w:lvl w:ilvl="3" w:tplc="04090001" w:tentative="1">
      <w:start w:val="1"/>
      <w:numFmt w:val="bullet"/>
      <w:lvlText w:val=""/>
      <w:lvlJc w:val="left"/>
      <w:pPr>
        <w:tabs>
          <w:tab w:val="num" w:pos="4246"/>
        </w:tabs>
        <w:ind w:left="4246" w:hanging="360"/>
      </w:pPr>
      <w:rPr>
        <w:rFonts w:ascii="Symbol" w:hAnsi="Symbol" w:hint="default"/>
      </w:rPr>
    </w:lvl>
    <w:lvl w:ilvl="4" w:tplc="04090003" w:tentative="1">
      <w:start w:val="1"/>
      <w:numFmt w:val="bullet"/>
      <w:lvlText w:val="o"/>
      <w:lvlJc w:val="left"/>
      <w:pPr>
        <w:tabs>
          <w:tab w:val="num" w:pos="4966"/>
        </w:tabs>
        <w:ind w:left="4966" w:hanging="360"/>
      </w:pPr>
      <w:rPr>
        <w:rFonts w:ascii="Courier New" w:hAnsi="Courier New" w:hint="default"/>
      </w:rPr>
    </w:lvl>
    <w:lvl w:ilvl="5" w:tplc="04090005" w:tentative="1">
      <w:start w:val="1"/>
      <w:numFmt w:val="bullet"/>
      <w:lvlText w:val=""/>
      <w:lvlJc w:val="left"/>
      <w:pPr>
        <w:tabs>
          <w:tab w:val="num" w:pos="5686"/>
        </w:tabs>
        <w:ind w:left="5686" w:hanging="360"/>
      </w:pPr>
      <w:rPr>
        <w:rFonts w:ascii="Wingdings" w:hAnsi="Wingdings" w:hint="default"/>
      </w:rPr>
    </w:lvl>
    <w:lvl w:ilvl="6" w:tplc="04090001" w:tentative="1">
      <w:start w:val="1"/>
      <w:numFmt w:val="bullet"/>
      <w:lvlText w:val=""/>
      <w:lvlJc w:val="left"/>
      <w:pPr>
        <w:tabs>
          <w:tab w:val="num" w:pos="6406"/>
        </w:tabs>
        <w:ind w:left="6406" w:hanging="360"/>
      </w:pPr>
      <w:rPr>
        <w:rFonts w:ascii="Symbol" w:hAnsi="Symbol" w:hint="default"/>
      </w:rPr>
    </w:lvl>
    <w:lvl w:ilvl="7" w:tplc="04090003" w:tentative="1">
      <w:start w:val="1"/>
      <w:numFmt w:val="bullet"/>
      <w:lvlText w:val="o"/>
      <w:lvlJc w:val="left"/>
      <w:pPr>
        <w:tabs>
          <w:tab w:val="num" w:pos="7126"/>
        </w:tabs>
        <w:ind w:left="7126" w:hanging="360"/>
      </w:pPr>
      <w:rPr>
        <w:rFonts w:ascii="Courier New" w:hAnsi="Courier New" w:hint="default"/>
      </w:rPr>
    </w:lvl>
    <w:lvl w:ilvl="8" w:tplc="04090005" w:tentative="1">
      <w:start w:val="1"/>
      <w:numFmt w:val="bullet"/>
      <w:lvlText w:val=""/>
      <w:lvlJc w:val="left"/>
      <w:pPr>
        <w:tabs>
          <w:tab w:val="num" w:pos="7846"/>
        </w:tabs>
        <w:ind w:left="7846" w:hanging="360"/>
      </w:pPr>
      <w:rPr>
        <w:rFonts w:ascii="Wingdings" w:hAnsi="Wingdings" w:hint="default"/>
      </w:rPr>
    </w:lvl>
  </w:abstractNum>
  <w:abstractNum w:abstractNumId="8" w15:restartNumberingAfterBreak="0">
    <w:nsid w:val="196D1F1A"/>
    <w:multiLevelType w:val="hybridMultilevel"/>
    <w:tmpl w:val="BE72BD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9A92175"/>
    <w:multiLevelType w:val="hybridMultilevel"/>
    <w:tmpl w:val="6CF6A9B4"/>
    <w:lvl w:ilvl="0" w:tplc="3E56E864">
      <w:start w:val="1"/>
      <w:numFmt w:val="decimal"/>
      <w:pStyle w:val="ListNumber"/>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9"/>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E692612"/>
    <w:multiLevelType w:val="hybridMultilevel"/>
    <w:tmpl w:val="2696925E"/>
    <w:lvl w:ilvl="0" w:tplc="BCF0D7D4">
      <w:start w:val="1"/>
      <w:numFmt w:val="lowerRoman"/>
      <w:pStyle w:val="Question5"/>
      <w:lvlText w:val="%1."/>
      <w:lvlJc w:val="left"/>
      <w:pPr>
        <w:tabs>
          <w:tab w:val="num" w:pos="717"/>
        </w:tabs>
        <w:ind w:left="717" w:hanging="360"/>
      </w:pPr>
      <w:rPr>
        <w:rFonts w:ascii="Verdana" w:hAnsi="Verdana" w:hint="default"/>
        <w:b/>
        <w:i w:val="0"/>
        <w:color w:val="0060A9"/>
        <w:sz w:val="18"/>
        <w:u w:val="no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08346DC"/>
    <w:multiLevelType w:val="multilevel"/>
    <w:tmpl w:val="1890963E"/>
    <w:styleLink w:val="NumHeadListChapter"/>
    <w:lvl w:ilvl="0">
      <w:start w:val="1"/>
      <w:numFmt w:val="decimal"/>
      <w:isLgl/>
      <w:lvlText w:val="%1."/>
      <w:lvlJc w:val="left"/>
      <w:pPr>
        <w:tabs>
          <w:tab w:val="num" w:pos="1008"/>
        </w:tabs>
        <w:ind w:left="1008" w:hanging="1008"/>
      </w:pPr>
      <w:rPr>
        <w:rFonts w:ascii="Arial" w:hAnsi="Arial" w:hint="default"/>
        <w:color w:val="002144"/>
        <w:sz w:val="32"/>
        <w:szCs w:val="20"/>
      </w:rPr>
    </w:lvl>
    <w:lvl w:ilvl="1">
      <w:start w:val="1"/>
      <w:numFmt w:val="decimal"/>
      <w:isLgl/>
      <w:lvlText w:val="%1.%2."/>
      <w:lvlJc w:val="left"/>
      <w:pPr>
        <w:tabs>
          <w:tab w:val="num" w:pos="1008"/>
        </w:tabs>
        <w:ind w:left="1008" w:hanging="1008"/>
      </w:pPr>
      <w:rPr>
        <w:rFonts w:ascii="Arial" w:hAnsi="Arial" w:hint="default"/>
        <w:b w:val="0"/>
        <w:i w:val="0"/>
        <w:color w:val="003263"/>
        <w:sz w:val="25"/>
        <w:szCs w:val="20"/>
      </w:rPr>
    </w:lvl>
    <w:lvl w:ilvl="2">
      <w:start w:val="1"/>
      <w:numFmt w:val="decimal"/>
      <w:isLgl/>
      <w:lvlText w:val="%1.%2.%3."/>
      <w:lvlJc w:val="left"/>
      <w:pPr>
        <w:tabs>
          <w:tab w:val="num" w:pos="1008"/>
        </w:tabs>
        <w:ind w:left="1008" w:hanging="1008"/>
      </w:pPr>
      <w:rPr>
        <w:rFonts w:ascii="Arial" w:hAnsi="Arial" w:hint="default"/>
        <w:b w:val="0"/>
        <w:i w:val="0"/>
        <w:color w:val="003263"/>
        <w:sz w:val="22"/>
        <w:szCs w:val="20"/>
      </w:rPr>
    </w:lvl>
    <w:lvl w:ilvl="3">
      <w:start w:val="1"/>
      <w:numFmt w:val="decimal"/>
      <w:isLgl/>
      <w:lvlText w:val="%1.%2.%3.%4."/>
      <w:lvlJc w:val="left"/>
      <w:pPr>
        <w:tabs>
          <w:tab w:val="num" w:pos="1008"/>
        </w:tabs>
        <w:ind w:left="1008" w:hanging="1008"/>
      </w:pPr>
      <w:rPr>
        <w:rFonts w:ascii="Arial" w:hAnsi="Arial" w:hint="default"/>
        <w:b w:val="0"/>
        <w:i w:val="0"/>
        <w:color w:val="003263"/>
        <w:sz w:val="20"/>
        <w:szCs w:val="20"/>
      </w:rPr>
    </w:lvl>
    <w:lvl w:ilvl="4">
      <w:start w:val="1"/>
      <w:numFmt w:val="decimal"/>
      <w:isLgl/>
      <w:lvlText w:val="%1.%2.%3.%4.%5."/>
      <w:lvlJc w:val="left"/>
      <w:pPr>
        <w:tabs>
          <w:tab w:val="num" w:pos="1008"/>
        </w:tabs>
        <w:ind w:left="1008" w:hanging="1008"/>
      </w:pPr>
      <w:rPr>
        <w:rFonts w:ascii="Arial" w:hAnsi="Arial" w:hint="default"/>
        <w:color w:val="003263"/>
        <w:sz w:val="20"/>
        <w:szCs w:val="20"/>
      </w:rPr>
    </w:lvl>
    <w:lvl w:ilvl="5">
      <w:start w:val="1"/>
      <w:numFmt w:val="decimal"/>
      <w:lvlText w:val="%1.%2.%3.%4.%5.%6"/>
      <w:lvlJc w:val="left"/>
      <w:pPr>
        <w:tabs>
          <w:tab w:val="num" w:pos="1152"/>
        </w:tabs>
        <w:ind w:left="1152" w:hanging="1152"/>
      </w:pPr>
      <w:rPr>
        <w:rFonts w:ascii="Arial" w:hAnsi="Arial"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31C03D0A"/>
    <w:multiLevelType w:val="hybridMultilevel"/>
    <w:tmpl w:val="084C962C"/>
    <w:lvl w:ilvl="0" w:tplc="9790FE42">
      <w:start w:val="1"/>
      <w:numFmt w:val="bullet"/>
      <w:pStyle w:val="ListBullet3"/>
      <w:lvlText w:val="–"/>
      <w:lvlJc w:val="left"/>
      <w:pPr>
        <w:tabs>
          <w:tab w:val="num" w:pos="1020"/>
        </w:tabs>
        <w:ind w:left="1020" w:hanging="340"/>
      </w:pPr>
      <w:rPr>
        <w:rFonts w:ascii="Arial" w:hAnsi="Arial" w:hint="default"/>
        <w:b w:val="0"/>
        <w:i w:val="0"/>
        <w:caps w:val="0"/>
        <w:strike w:val="0"/>
        <w:dstrike w:val="0"/>
        <w:vanish w:val="0"/>
        <w:color w:val="8499A6"/>
        <w:spacing w:val="0"/>
        <w:w w:val="100"/>
        <w:kern w:val="0"/>
        <w:position w:val="0"/>
        <w:sz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2800"/>
        </w:tabs>
        <w:ind w:left="2800" w:hanging="360"/>
      </w:pPr>
    </w:lvl>
    <w:lvl w:ilvl="2" w:tplc="0409001B" w:tentative="1">
      <w:start w:val="1"/>
      <w:numFmt w:val="lowerRoman"/>
      <w:lvlText w:val="%3."/>
      <w:lvlJc w:val="right"/>
      <w:pPr>
        <w:tabs>
          <w:tab w:val="num" w:pos="3520"/>
        </w:tabs>
        <w:ind w:left="3520" w:hanging="180"/>
      </w:pPr>
    </w:lvl>
    <w:lvl w:ilvl="3" w:tplc="0409000F" w:tentative="1">
      <w:start w:val="1"/>
      <w:numFmt w:val="decimal"/>
      <w:lvlText w:val="%4."/>
      <w:lvlJc w:val="left"/>
      <w:pPr>
        <w:tabs>
          <w:tab w:val="num" w:pos="4240"/>
        </w:tabs>
        <w:ind w:left="4240" w:hanging="360"/>
      </w:pPr>
    </w:lvl>
    <w:lvl w:ilvl="4" w:tplc="04090019" w:tentative="1">
      <w:start w:val="1"/>
      <w:numFmt w:val="lowerLetter"/>
      <w:lvlText w:val="%5."/>
      <w:lvlJc w:val="left"/>
      <w:pPr>
        <w:tabs>
          <w:tab w:val="num" w:pos="4960"/>
        </w:tabs>
        <w:ind w:left="4960" w:hanging="360"/>
      </w:pPr>
    </w:lvl>
    <w:lvl w:ilvl="5" w:tplc="0409001B" w:tentative="1">
      <w:start w:val="1"/>
      <w:numFmt w:val="lowerRoman"/>
      <w:lvlText w:val="%6."/>
      <w:lvlJc w:val="right"/>
      <w:pPr>
        <w:tabs>
          <w:tab w:val="num" w:pos="5680"/>
        </w:tabs>
        <w:ind w:left="5680" w:hanging="180"/>
      </w:pPr>
    </w:lvl>
    <w:lvl w:ilvl="6" w:tplc="0409000F" w:tentative="1">
      <w:start w:val="1"/>
      <w:numFmt w:val="decimal"/>
      <w:lvlText w:val="%7."/>
      <w:lvlJc w:val="left"/>
      <w:pPr>
        <w:tabs>
          <w:tab w:val="num" w:pos="6400"/>
        </w:tabs>
        <w:ind w:left="6400" w:hanging="360"/>
      </w:pPr>
    </w:lvl>
    <w:lvl w:ilvl="7" w:tplc="04090019" w:tentative="1">
      <w:start w:val="1"/>
      <w:numFmt w:val="lowerLetter"/>
      <w:lvlText w:val="%8."/>
      <w:lvlJc w:val="left"/>
      <w:pPr>
        <w:tabs>
          <w:tab w:val="num" w:pos="7120"/>
        </w:tabs>
        <w:ind w:left="7120" w:hanging="360"/>
      </w:pPr>
    </w:lvl>
    <w:lvl w:ilvl="8" w:tplc="0409001B" w:tentative="1">
      <w:start w:val="1"/>
      <w:numFmt w:val="lowerRoman"/>
      <w:lvlText w:val="%9."/>
      <w:lvlJc w:val="right"/>
      <w:pPr>
        <w:tabs>
          <w:tab w:val="num" w:pos="7840"/>
        </w:tabs>
        <w:ind w:left="7840" w:hanging="180"/>
      </w:pPr>
    </w:lvl>
  </w:abstractNum>
  <w:abstractNum w:abstractNumId="13" w15:restartNumberingAfterBreak="0">
    <w:nsid w:val="324549D6"/>
    <w:multiLevelType w:val="multilevel"/>
    <w:tmpl w:val="7CCE5D8C"/>
    <w:lvl w:ilvl="0">
      <w:start w:val="1"/>
      <w:numFmt w:val="decimal"/>
      <w:lvlText w:val="%1."/>
      <w:lvlJc w:val="left"/>
      <w:pPr>
        <w:tabs>
          <w:tab w:val="num" w:pos="432"/>
        </w:tabs>
        <w:ind w:left="432" w:hanging="432"/>
      </w:pPr>
      <w:rPr>
        <w:rFonts w:ascii="Arial" w:hAnsi="Arial" w:hint="default"/>
        <w:b/>
        <w:i w:val="0"/>
        <w:sz w:val="20"/>
        <w:szCs w:val="20"/>
      </w:rPr>
    </w:lvl>
    <w:lvl w:ilvl="1">
      <w:start w:val="1"/>
      <w:numFmt w:val="decimal"/>
      <w:lvlRestart w:val="0"/>
      <w:suff w:val="nothing"/>
      <w:lvlText w:val="Section %2"/>
      <w:lvlJc w:val="left"/>
      <w:pPr>
        <w:ind w:left="0" w:firstLine="0"/>
      </w:pPr>
      <w:rPr>
        <w:rFonts w:ascii="Arial" w:hAnsi="Arial" w:cs="Arial" w:hint="default"/>
        <w:b/>
        <w:i w:val="0"/>
        <w:sz w:val="48"/>
        <w:szCs w:val="20"/>
      </w:rPr>
    </w:lvl>
    <w:lvl w:ilvl="2">
      <w:start w:val="1"/>
      <w:numFmt w:val="upperRoman"/>
      <w:lvlRestart w:val="0"/>
      <w:suff w:val="nothing"/>
      <w:lvlText w:val="Appendix %3"/>
      <w:lvlJc w:val="left"/>
      <w:pPr>
        <w:ind w:left="0" w:firstLine="0"/>
      </w:pPr>
      <w:rPr>
        <w:rFonts w:ascii="Arial" w:hAnsi="Arial" w:cs="Arial" w:hint="default"/>
        <w:b/>
        <w:i w:val="0"/>
        <w:sz w:val="48"/>
        <w:szCs w:val="20"/>
      </w:rPr>
    </w:lvl>
    <w:lvl w:ilvl="3">
      <w:start w:val="1"/>
      <w:numFmt w:val="upperLetter"/>
      <w:suff w:val="nothing"/>
      <w:lvlText w:val="Tab %4"/>
      <w:lvlJc w:val="left"/>
      <w:pPr>
        <w:ind w:left="0" w:firstLine="0"/>
      </w:pPr>
      <w:rPr>
        <w:rFonts w:ascii="Arial" w:hAnsi="Arial" w:cs="Arial" w:hint="default"/>
        <w:b/>
        <w:sz w:val="48"/>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upperLetter"/>
      <w:lvlRestart w:val="3"/>
      <w:pStyle w:val="Heading8"/>
      <w:suff w:val="nothing"/>
      <w:lvlText w:val="Tab %8"/>
      <w:lvlJc w:val="left"/>
      <w:pPr>
        <w:ind w:left="0" w:firstLine="0"/>
      </w:pPr>
      <w:rPr>
        <w:rFonts w:ascii="Arial" w:hAnsi="Arial" w:cs="Arial" w:hint="default"/>
        <w:b/>
        <w:sz w:val="48"/>
      </w:rPr>
    </w:lvl>
    <w:lvl w:ilvl="8">
      <w:start w:val="1"/>
      <w:numFmt w:val="lowerRoman"/>
      <w:lvlText w:val="(%9)"/>
      <w:lvlJc w:val="left"/>
      <w:pPr>
        <w:tabs>
          <w:tab w:val="num" w:pos="6120"/>
        </w:tabs>
        <w:ind w:left="5760" w:firstLine="0"/>
      </w:pPr>
      <w:rPr>
        <w:rFonts w:hint="default"/>
      </w:rPr>
    </w:lvl>
  </w:abstractNum>
  <w:abstractNum w:abstractNumId="14" w15:restartNumberingAfterBreak="0">
    <w:nsid w:val="3FDF0D99"/>
    <w:multiLevelType w:val="hybridMultilevel"/>
    <w:tmpl w:val="7312DE7E"/>
    <w:lvl w:ilvl="0" w:tplc="FD76358A">
      <w:start w:val="1"/>
      <w:numFmt w:val="lowerRoman"/>
      <w:pStyle w:val="List4"/>
      <w:lvlText w:val="%1."/>
      <w:lvlJc w:val="left"/>
      <w:pPr>
        <w:tabs>
          <w:tab w:val="num" w:pos="677"/>
        </w:tabs>
        <w:ind w:left="680" w:hanging="340"/>
      </w:pPr>
      <w:rPr>
        <w:rFonts w:ascii="Verdana" w:hAnsi="Verdana" w:hint="default"/>
        <w:b/>
        <w:i w:val="0"/>
        <w:caps w:val="0"/>
        <w:strike w:val="0"/>
        <w:dstrike w:val="0"/>
        <w:vanish w:val="0"/>
        <w:color w:val="0060A9"/>
        <w:spacing w:val="0"/>
        <w:w w:val="100"/>
        <w:kern w:val="0"/>
        <w:position w:val="0"/>
        <w:sz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FEA26C0"/>
    <w:multiLevelType w:val="hybridMultilevel"/>
    <w:tmpl w:val="33D0349E"/>
    <w:lvl w:ilvl="0" w:tplc="4DF069A4">
      <w:start w:val="1"/>
      <w:numFmt w:val="bullet"/>
      <w:pStyle w:val="TableBullet3"/>
      <w:lvlText w:val="–"/>
      <w:lvlJc w:val="left"/>
      <w:pPr>
        <w:tabs>
          <w:tab w:val="num" w:pos="216"/>
        </w:tabs>
        <w:ind w:left="595" w:hanging="198"/>
      </w:pPr>
      <w:rPr>
        <w:rFonts w:ascii="Verdana" w:hAnsi="Verdana" w:hint="default"/>
        <w:b w:val="0"/>
        <w:i w:val="0"/>
        <w:color w:val="6F6E6F"/>
        <w:sz w:val="16"/>
      </w:rPr>
    </w:lvl>
    <w:lvl w:ilvl="1" w:tplc="04090019">
      <w:start w:val="1"/>
      <w:numFmt w:val="bullet"/>
      <w:lvlText w:val="–"/>
      <w:lvlJc w:val="left"/>
      <w:pPr>
        <w:tabs>
          <w:tab w:val="num" w:pos="216"/>
        </w:tabs>
        <w:ind w:left="648" w:hanging="216"/>
      </w:pPr>
      <w:rPr>
        <w:rFonts w:ascii="Century Gothic" w:hAnsi="Century Gothic" w:hint="default"/>
        <w:b w:val="0"/>
        <w:i w:val="0"/>
        <w:color w:val="auto"/>
        <w:sz w:val="16"/>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42C0BD1"/>
    <w:multiLevelType w:val="hybridMultilevel"/>
    <w:tmpl w:val="6AC8D7F0"/>
    <w:lvl w:ilvl="0" w:tplc="C7F224E2">
      <w:start w:val="1"/>
      <w:numFmt w:val="decimal"/>
      <w:pStyle w:val="Question1"/>
      <w:lvlText w:val="%1."/>
      <w:lvlJc w:val="left"/>
      <w:pPr>
        <w:tabs>
          <w:tab w:val="num" w:pos="360"/>
        </w:tabs>
        <w:ind w:left="360" w:hanging="360"/>
      </w:pPr>
      <w:rPr>
        <w:rFonts w:ascii="Verdana" w:hAnsi="Verdana" w:hint="default"/>
        <w:b/>
        <w:i w:val="0"/>
        <w:color w:val="0060A9"/>
        <w:sz w:val="18"/>
        <w:u w:val="no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8827669"/>
    <w:multiLevelType w:val="hybridMultilevel"/>
    <w:tmpl w:val="BAAE3B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07149E0"/>
    <w:multiLevelType w:val="hybridMultilevel"/>
    <w:tmpl w:val="F8EC1A8C"/>
    <w:lvl w:ilvl="0" w:tplc="6E24CF20">
      <w:start w:val="1"/>
      <w:numFmt w:val="lowerLetter"/>
      <w:pStyle w:val="List3"/>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8"/>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51185B21"/>
    <w:multiLevelType w:val="hybridMultilevel"/>
    <w:tmpl w:val="5CAA3A06"/>
    <w:lvl w:ilvl="0" w:tplc="488695A6">
      <w:start w:val="1"/>
      <w:numFmt w:val="decimal"/>
      <w:pStyle w:val="TableBulletNumeric"/>
      <w:lvlText w:val="%1."/>
      <w:lvlJc w:val="left"/>
      <w:pPr>
        <w:tabs>
          <w:tab w:val="num" w:pos="216"/>
        </w:tabs>
        <w:ind w:left="216" w:hanging="216"/>
      </w:pPr>
      <w:rPr>
        <w:rFonts w:ascii="Arial" w:hAnsi="Arial" w:cs="Arial" w:hint="default"/>
        <w:b/>
        <w:i w:val="0"/>
        <w:color w:val="0060A9"/>
        <w:sz w:val="15"/>
        <w:u w:val="none"/>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52416A5"/>
    <w:multiLevelType w:val="multilevel"/>
    <w:tmpl w:val="08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57552717"/>
    <w:multiLevelType w:val="hybridMultilevel"/>
    <w:tmpl w:val="E136582A"/>
    <w:lvl w:ilvl="0" w:tplc="B2A84794">
      <w:start w:val="1"/>
      <w:numFmt w:val="bullet"/>
      <w:pStyle w:val="TableBullet2"/>
      <w:lvlText w:val=""/>
      <w:lvlJc w:val="left"/>
      <w:pPr>
        <w:tabs>
          <w:tab w:val="num" w:pos="397"/>
        </w:tabs>
        <w:ind w:left="397" w:hanging="198"/>
      </w:pPr>
      <w:rPr>
        <w:rFonts w:ascii="Wingdings" w:hAnsi="Wingdings" w:hint="default"/>
        <w:b w:val="0"/>
        <w:i w:val="0"/>
        <w:color w:val="8499A6"/>
        <w:sz w:val="16"/>
      </w:rPr>
    </w:lvl>
    <w:lvl w:ilvl="1" w:tplc="04090019" w:tentative="1">
      <w:start w:val="1"/>
      <w:numFmt w:val="bullet"/>
      <w:lvlText w:val="o"/>
      <w:lvlJc w:val="left"/>
      <w:pPr>
        <w:tabs>
          <w:tab w:val="num" w:pos="1656"/>
        </w:tabs>
        <w:ind w:left="1656" w:hanging="360"/>
      </w:pPr>
      <w:rPr>
        <w:rFonts w:ascii="Courier New" w:hAnsi="Courier New" w:hint="default"/>
      </w:rPr>
    </w:lvl>
    <w:lvl w:ilvl="2" w:tplc="0409001B" w:tentative="1">
      <w:start w:val="1"/>
      <w:numFmt w:val="bullet"/>
      <w:lvlText w:val=""/>
      <w:lvlJc w:val="left"/>
      <w:pPr>
        <w:tabs>
          <w:tab w:val="num" w:pos="2376"/>
        </w:tabs>
        <w:ind w:left="2376" w:hanging="360"/>
      </w:pPr>
      <w:rPr>
        <w:rFonts w:ascii="Wingdings" w:hAnsi="Wingdings" w:hint="default"/>
      </w:rPr>
    </w:lvl>
    <w:lvl w:ilvl="3" w:tplc="0409000F" w:tentative="1">
      <w:start w:val="1"/>
      <w:numFmt w:val="bullet"/>
      <w:lvlText w:val=""/>
      <w:lvlJc w:val="left"/>
      <w:pPr>
        <w:tabs>
          <w:tab w:val="num" w:pos="3096"/>
        </w:tabs>
        <w:ind w:left="3096" w:hanging="360"/>
      </w:pPr>
      <w:rPr>
        <w:rFonts w:ascii="Symbol" w:hAnsi="Symbol" w:hint="default"/>
      </w:rPr>
    </w:lvl>
    <w:lvl w:ilvl="4" w:tplc="04090019" w:tentative="1">
      <w:start w:val="1"/>
      <w:numFmt w:val="bullet"/>
      <w:lvlText w:val="o"/>
      <w:lvlJc w:val="left"/>
      <w:pPr>
        <w:tabs>
          <w:tab w:val="num" w:pos="3816"/>
        </w:tabs>
        <w:ind w:left="3816" w:hanging="360"/>
      </w:pPr>
      <w:rPr>
        <w:rFonts w:ascii="Courier New" w:hAnsi="Courier New" w:hint="default"/>
      </w:rPr>
    </w:lvl>
    <w:lvl w:ilvl="5" w:tplc="0409001B" w:tentative="1">
      <w:start w:val="1"/>
      <w:numFmt w:val="bullet"/>
      <w:lvlText w:val=""/>
      <w:lvlJc w:val="left"/>
      <w:pPr>
        <w:tabs>
          <w:tab w:val="num" w:pos="4536"/>
        </w:tabs>
        <w:ind w:left="4536" w:hanging="360"/>
      </w:pPr>
      <w:rPr>
        <w:rFonts w:ascii="Wingdings" w:hAnsi="Wingdings" w:hint="default"/>
      </w:rPr>
    </w:lvl>
    <w:lvl w:ilvl="6" w:tplc="0409000F" w:tentative="1">
      <w:start w:val="1"/>
      <w:numFmt w:val="bullet"/>
      <w:lvlText w:val=""/>
      <w:lvlJc w:val="left"/>
      <w:pPr>
        <w:tabs>
          <w:tab w:val="num" w:pos="5256"/>
        </w:tabs>
        <w:ind w:left="5256" w:hanging="360"/>
      </w:pPr>
      <w:rPr>
        <w:rFonts w:ascii="Symbol" w:hAnsi="Symbol" w:hint="default"/>
      </w:rPr>
    </w:lvl>
    <w:lvl w:ilvl="7" w:tplc="04090019" w:tentative="1">
      <w:start w:val="1"/>
      <w:numFmt w:val="bullet"/>
      <w:lvlText w:val="o"/>
      <w:lvlJc w:val="left"/>
      <w:pPr>
        <w:tabs>
          <w:tab w:val="num" w:pos="5976"/>
        </w:tabs>
        <w:ind w:left="5976" w:hanging="360"/>
      </w:pPr>
      <w:rPr>
        <w:rFonts w:ascii="Courier New" w:hAnsi="Courier New" w:hint="default"/>
      </w:rPr>
    </w:lvl>
    <w:lvl w:ilvl="8" w:tplc="0409001B" w:tentative="1">
      <w:start w:val="1"/>
      <w:numFmt w:val="bullet"/>
      <w:lvlText w:val=""/>
      <w:lvlJc w:val="left"/>
      <w:pPr>
        <w:tabs>
          <w:tab w:val="num" w:pos="6696"/>
        </w:tabs>
        <w:ind w:left="6696" w:hanging="360"/>
      </w:pPr>
      <w:rPr>
        <w:rFonts w:ascii="Wingdings" w:hAnsi="Wingdings" w:hint="default"/>
      </w:rPr>
    </w:lvl>
  </w:abstractNum>
  <w:abstractNum w:abstractNumId="22" w15:restartNumberingAfterBreak="0">
    <w:nsid w:val="5D29300D"/>
    <w:multiLevelType w:val="multilevel"/>
    <w:tmpl w:val="08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3" w15:restartNumberingAfterBreak="0">
    <w:nsid w:val="5EA53A05"/>
    <w:multiLevelType w:val="multilevel"/>
    <w:tmpl w:val="DE12FF56"/>
    <w:lvl w:ilvl="0">
      <w:start w:val="1"/>
      <w:numFmt w:val="decimal"/>
      <w:pStyle w:val="NumHead1"/>
      <w:lvlText w:val="%1."/>
      <w:lvlJc w:val="left"/>
      <w:pPr>
        <w:tabs>
          <w:tab w:val="num" w:pos="340"/>
        </w:tabs>
        <w:ind w:left="340" w:hanging="340"/>
      </w:pPr>
      <w:rPr>
        <w:rFonts w:ascii="Arial" w:hAnsi="Arial" w:hint="default"/>
        <w:b w:val="0"/>
        <w:i w:val="0"/>
        <w:color w:val="003263"/>
        <w:sz w:val="32"/>
      </w:rPr>
    </w:lvl>
    <w:lvl w:ilvl="1">
      <w:start w:val="1"/>
      <w:numFmt w:val="decimal"/>
      <w:pStyle w:val="NumHead2"/>
      <w:lvlText w:val="%1.%2."/>
      <w:lvlJc w:val="left"/>
      <w:pPr>
        <w:tabs>
          <w:tab w:val="num" w:pos="340"/>
        </w:tabs>
        <w:ind w:left="340" w:hanging="340"/>
      </w:pPr>
      <w:rPr>
        <w:rFonts w:ascii="Arial" w:hAnsi="Arial" w:hint="default"/>
        <w:b w:val="0"/>
        <w:i w:val="0"/>
        <w:color w:val="0060A9"/>
        <w:sz w:val="25"/>
      </w:rPr>
    </w:lvl>
    <w:lvl w:ilvl="2">
      <w:start w:val="1"/>
      <w:numFmt w:val="decimal"/>
      <w:pStyle w:val="NumHead3"/>
      <w:lvlText w:val="%1.%2.%3."/>
      <w:lvlJc w:val="left"/>
      <w:pPr>
        <w:tabs>
          <w:tab w:val="num" w:pos="1224"/>
        </w:tabs>
        <w:ind w:left="1224" w:hanging="1224"/>
      </w:pPr>
      <w:rPr>
        <w:rFonts w:ascii="Arial" w:hAnsi="Arial" w:hint="default"/>
        <w:b w:val="0"/>
        <w:i w:val="0"/>
        <w:color w:val="0060A9"/>
        <w:sz w:val="22"/>
        <w:u w:val="none"/>
      </w:rPr>
    </w:lvl>
    <w:lvl w:ilvl="3">
      <w:start w:val="1"/>
      <w:numFmt w:val="decimal"/>
      <w:pStyle w:val="NumHead4"/>
      <w:lvlText w:val="%1.%2.%3.%4."/>
      <w:lvlJc w:val="left"/>
      <w:pPr>
        <w:tabs>
          <w:tab w:val="num" w:pos="1728"/>
        </w:tabs>
        <w:ind w:left="1728" w:hanging="1728"/>
      </w:pPr>
      <w:rPr>
        <w:rFonts w:ascii="Arial" w:hAnsi="Arial" w:hint="default"/>
        <w:b w:val="0"/>
        <w:i w:val="0"/>
        <w:color w:val="0060A9"/>
        <w:sz w:val="21"/>
      </w:rPr>
    </w:lvl>
    <w:lvl w:ilvl="4">
      <w:start w:val="1"/>
      <w:numFmt w:val="decimal"/>
      <w:pStyle w:val="NumHead5"/>
      <w:lvlText w:val="%1.%2.%3.%4.%5."/>
      <w:lvlJc w:val="left"/>
      <w:pPr>
        <w:tabs>
          <w:tab w:val="num" w:pos="2232"/>
        </w:tabs>
        <w:ind w:left="2232" w:hanging="2232"/>
      </w:pPr>
      <w:rPr>
        <w:rFonts w:ascii="Arial" w:hAnsi="Arial" w:hint="default"/>
        <w:b w:val="0"/>
        <w:i w:val="0"/>
        <w:color w:val="0060A9"/>
        <w:sz w:val="20"/>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24" w15:restartNumberingAfterBreak="0">
    <w:nsid w:val="5FBE4149"/>
    <w:multiLevelType w:val="multilevel"/>
    <w:tmpl w:val="182CC5EC"/>
    <w:styleLink w:val="NumHeadListAppendix"/>
    <w:lvl w:ilvl="0">
      <w:start w:val="1"/>
      <w:numFmt w:val="upperRoman"/>
      <w:lvlText w:val="%1."/>
      <w:lvlJc w:val="left"/>
      <w:pPr>
        <w:tabs>
          <w:tab w:val="num" w:pos="1008"/>
        </w:tabs>
        <w:ind w:left="1008" w:hanging="1008"/>
      </w:pPr>
      <w:rPr>
        <w:rFonts w:ascii="Arial Bold" w:hAnsi="Arial Bold" w:hint="default"/>
        <w:b/>
        <w:i w:val="0"/>
        <w:vanish/>
        <w:color w:val="FF0000"/>
        <w:sz w:val="20"/>
        <w:szCs w:val="20"/>
      </w:rPr>
    </w:lvl>
    <w:lvl w:ilvl="1">
      <w:start w:val="1"/>
      <w:numFmt w:val="lowerLetter"/>
      <w:lvlText w:val="%1.%2."/>
      <w:lvlJc w:val="left"/>
      <w:pPr>
        <w:tabs>
          <w:tab w:val="num" w:pos="1008"/>
        </w:tabs>
        <w:ind w:left="1008" w:hanging="1008"/>
      </w:pPr>
      <w:rPr>
        <w:rFonts w:ascii="Arial Bold" w:hAnsi="Arial Bold" w:hint="default"/>
        <w:b/>
        <w:i w:val="0"/>
        <w:color w:val="auto"/>
        <w:sz w:val="20"/>
        <w:szCs w:val="20"/>
      </w:rPr>
    </w:lvl>
    <w:lvl w:ilvl="2">
      <w:start w:val="1"/>
      <w:numFmt w:val="lowerLetter"/>
      <w:lvlText w:val="%1.%2.%3."/>
      <w:lvlJc w:val="left"/>
      <w:pPr>
        <w:tabs>
          <w:tab w:val="num" w:pos="1008"/>
        </w:tabs>
        <w:ind w:left="1008" w:hanging="1008"/>
      </w:pPr>
      <w:rPr>
        <w:rFonts w:ascii="Arial Bold" w:hAnsi="Arial Bold" w:hint="default"/>
        <w:b/>
        <w:i w:val="0"/>
        <w:color w:val="auto"/>
        <w:sz w:val="20"/>
        <w:szCs w:val="20"/>
      </w:rPr>
    </w:lvl>
    <w:lvl w:ilvl="3">
      <w:start w:val="1"/>
      <w:numFmt w:val="lowerLetter"/>
      <w:lvlText w:val="%1.%2.%3.%4."/>
      <w:lvlJc w:val="left"/>
      <w:pPr>
        <w:tabs>
          <w:tab w:val="num" w:pos="1008"/>
        </w:tabs>
        <w:ind w:left="1008" w:hanging="1008"/>
      </w:pPr>
      <w:rPr>
        <w:rFonts w:ascii="Arial Bold" w:hAnsi="Arial Bold" w:hint="default"/>
        <w:b/>
        <w:i w:val="0"/>
        <w:color w:val="auto"/>
        <w:sz w:val="20"/>
        <w:szCs w:val="20"/>
      </w:rPr>
    </w:lvl>
    <w:lvl w:ilvl="4">
      <w:start w:val="1"/>
      <w:numFmt w:val="lowerLetter"/>
      <w:lvlText w:val="%1.%2.%3.%4.%5."/>
      <w:lvlJc w:val="left"/>
      <w:pPr>
        <w:tabs>
          <w:tab w:val="num" w:pos="1008"/>
        </w:tabs>
        <w:ind w:left="1008" w:hanging="1008"/>
      </w:pPr>
      <w:rPr>
        <w:rFonts w:ascii="Arial Bold" w:hAnsi="Arial Bold" w:hint="default"/>
        <w:b/>
        <w:i w:val="0"/>
        <w:color w:val="auto"/>
        <w:sz w:val="20"/>
        <w:szCs w:val="20"/>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5" w15:restartNumberingAfterBreak="0">
    <w:nsid w:val="60881325"/>
    <w:multiLevelType w:val="hybridMultilevel"/>
    <w:tmpl w:val="42E60554"/>
    <w:lvl w:ilvl="0" w:tplc="46AEE8B8">
      <w:start w:val="1"/>
      <w:numFmt w:val="lowerLetter"/>
      <w:pStyle w:val="Question3"/>
      <w:lvlText w:val="%1."/>
      <w:lvlJc w:val="left"/>
      <w:pPr>
        <w:tabs>
          <w:tab w:val="num" w:pos="360"/>
        </w:tabs>
        <w:ind w:left="360" w:hanging="360"/>
      </w:pPr>
      <w:rPr>
        <w:rFonts w:ascii="Verdana" w:hAnsi="Verdana" w:hint="default"/>
        <w:b/>
        <w:i w:val="0"/>
        <w:color w:val="0060A9"/>
        <w:sz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68152E42"/>
    <w:multiLevelType w:val="hybridMultilevel"/>
    <w:tmpl w:val="4C282EF6"/>
    <w:lvl w:ilvl="0" w:tplc="85E065AC">
      <w:start w:val="1"/>
      <w:numFmt w:val="lowerLetter"/>
      <w:pStyle w:val="List2"/>
      <w:lvlText w:val="%1."/>
      <w:lvlJc w:val="left"/>
      <w:pPr>
        <w:tabs>
          <w:tab w:val="num" w:pos="680"/>
        </w:tabs>
        <w:ind w:left="680" w:hanging="340"/>
      </w:pPr>
      <w:rPr>
        <w:rFonts w:ascii="Arial Bold" w:hAnsi="Arial Bold" w:hint="default"/>
        <w:b/>
        <w:i w:val="0"/>
        <w:color w:val="0060A9"/>
        <w:sz w:val="16"/>
        <w:u w:val="none"/>
      </w:rPr>
    </w:lvl>
    <w:lvl w:ilvl="1" w:tplc="04090019" w:tentative="1">
      <w:start w:val="1"/>
      <w:numFmt w:val="lowerLetter"/>
      <w:lvlText w:val="%2."/>
      <w:lvlJc w:val="left"/>
      <w:pPr>
        <w:tabs>
          <w:tab w:val="num" w:pos="1008"/>
        </w:tabs>
        <w:ind w:left="1008" w:hanging="360"/>
      </w:pPr>
    </w:lvl>
    <w:lvl w:ilvl="2" w:tplc="0409001B" w:tentative="1">
      <w:start w:val="1"/>
      <w:numFmt w:val="lowerRoman"/>
      <w:lvlText w:val="%3."/>
      <w:lvlJc w:val="right"/>
      <w:pPr>
        <w:tabs>
          <w:tab w:val="num" w:pos="1728"/>
        </w:tabs>
        <w:ind w:left="1728" w:hanging="180"/>
      </w:pPr>
    </w:lvl>
    <w:lvl w:ilvl="3" w:tplc="0409000F" w:tentative="1">
      <w:start w:val="1"/>
      <w:numFmt w:val="decimal"/>
      <w:lvlText w:val="%4."/>
      <w:lvlJc w:val="left"/>
      <w:pPr>
        <w:tabs>
          <w:tab w:val="num" w:pos="2448"/>
        </w:tabs>
        <w:ind w:left="2448" w:hanging="360"/>
      </w:pPr>
    </w:lvl>
    <w:lvl w:ilvl="4" w:tplc="04090019" w:tentative="1">
      <w:start w:val="1"/>
      <w:numFmt w:val="lowerLetter"/>
      <w:lvlText w:val="%5."/>
      <w:lvlJc w:val="left"/>
      <w:pPr>
        <w:tabs>
          <w:tab w:val="num" w:pos="3168"/>
        </w:tabs>
        <w:ind w:left="3168" w:hanging="360"/>
      </w:pPr>
    </w:lvl>
    <w:lvl w:ilvl="5" w:tplc="0409001B" w:tentative="1">
      <w:start w:val="1"/>
      <w:numFmt w:val="lowerRoman"/>
      <w:lvlText w:val="%6."/>
      <w:lvlJc w:val="right"/>
      <w:pPr>
        <w:tabs>
          <w:tab w:val="num" w:pos="3888"/>
        </w:tabs>
        <w:ind w:left="3888" w:hanging="180"/>
      </w:pPr>
    </w:lvl>
    <w:lvl w:ilvl="6" w:tplc="0409000F" w:tentative="1">
      <w:start w:val="1"/>
      <w:numFmt w:val="decimal"/>
      <w:lvlText w:val="%7."/>
      <w:lvlJc w:val="left"/>
      <w:pPr>
        <w:tabs>
          <w:tab w:val="num" w:pos="4608"/>
        </w:tabs>
        <w:ind w:left="4608" w:hanging="360"/>
      </w:pPr>
    </w:lvl>
    <w:lvl w:ilvl="7" w:tplc="04090019" w:tentative="1">
      <w:start w:val="1"/>
      <w:numFmt w:val="lowerLetter"/>
      <w:lvlText w:val="%8."/>
      <w:lvlJc w:val="left"/>
      <w:pPr>
        <w:tabs>
          <w:tab w:val="num" w:pos="5328"/>
        </w:tabs>
        <w:ind w:left="5328" w:hanging="360"/>
      </w:pPr>
    </w:lvl>
    <w:lvl w:ilvl="8" w:tplc="0409001B" w:tentative="1">
      <w:start w:val="1"/>
      <w:numFmt w:val="lowerRoman"/>
      <w:lvlText w:val="%9."/>
      <w:lvlJc w:val="right"/>
      <w:pPr>
        <w:tabs>
          <w:tab w:val="num" w:pos="6048"/>
        </w:tabs>
        <w:ind w:left="6048" w:hanging="180"/>
      </w:pPr>
    </w:lvl>
  </w:abstractNum>
  <w:abstractNum w:abstractNumId="27" w15:restartNumberingAfterBreak="0">
    <w:nsid w:val="687408E2"/>
    <w:multiLevelType w:val="hybridMultilevel"/>
    <w:tmpl w:val="51AEDAC0"/>
    <w:lvl w:ilvl="0" w:tplc="B18CBFCA">
      <w:start w:val="1"/>
      <w:numFmt w:val="bullet"/>
      <w:pStyle w:val="ListBullet"/>
      <w:lvlText w:val=""/>
      <w:lvlJc w:val="left"/>
      <w:pPr>
        <w:tabs>
          <w:tab w:val="num" w:pos="340"/>
        </w:tabs>
        <w:ind w:left="340" w:hanging="340"/>
      </w:pPr>
      <w:rPr>
        <w:rFonts w:ascii="Wingdings" w:hAnsi="Wingdings" w:hint="default"/>
        <w:b w:val="0"/>
        <w:i w:val="0"/>
        <w:color w:val="0060A9"/>
        <w:w w:val="100"/>
        <w:sz w:val="20"/>
      </w:rPr>
    </w:lvl>
    <w:lvl w:ilvl="1" w:tplc="08090003">
      <w:start w:val="1"/>
      <w:numFmt w:val="bullet"/>
      <w:lvlText w:val="o"/>
      <w:lvlJc w:val="left"/>
      <w:pPr>
        <w:tabs>
          <w:tab w:val="num" w:pos="1224"/>
        </w:tabs>
        <w:ind w:left="1224" w:hanging="360"/>
      </w:pPr>
      <w:rPr>
        <w:rFonts w:ascii="Courier New" w:hAnsi="Courier New" w:cs="Courier New" w:hint="default"/>
      </w:rPr>
    </w:lvl>
    <w:lvl w:ilvl="2" w:tplc="08090005" w:tentative="1">
      <w:start w:val="1"/>
      <w:numFmt w:val="bullet"/>
      <w:lvlText w:val=""/>
      <w:lvlJc w:val="left"/>
      <w:pPr>
        <w:tabs>
          <w:tab w:val="num" w:pos="1944"/>
        </w:tabs>
        <w:ind w:left="1944" w:hanging="360"/>
      </w:pPr>
      <w:rPr>
        <w:rFonts w:ascii="Wingdings" w:hAnsi="Wingdings" w:hint="default"/>
      </w:rPr>
    </w:lvl>
    <w:lvl w:ilvl="3" w:tplc="08090001" w:tentative="1">
      <w:start w:val="1"/>
      <w:numFmt w:val="bullet"/>
      <w:lvlText w:val=""/>
      <w:lvlJc w:val="left"/>
      <w:pPr>
        <w:tabs>
          <w:tab w:val="num" w:pos="2664"/>
        </w:tabs>
        <w:ind w:left="2664" w:hanging="360"/>
      </w:pPr>
      <w:rPr>
        <w:rFonts w:ascii="Symbol" w:hAnsi="Symbol" w:hint="default"/>
      </w:rPr>
    </w:lvl>
    <w:lvl w:ilvl="4" w:tplc="08090003" w:tentative="1">
      <w:start w:val="1"/>
      <w:numFmt w:val="bullet"/>
      <w:lvlText w:val="o"/>
      <w:lvlJc w:val="left"/>
      <w:pPr>
        <w:tabs>
          <w:tab w:val="num" w:pos="3384"/>
        </w:tabs>
        <w:ind w:left="3384" w:hanging="360"/>
      </w:pPr>
      <w:rPr>
        <w:rFonts w:ascii="Courier New" w:hAnsi="Courier New" w:cs="Courier New" w:hint="default"/>
      </w:rPr>
    </w:lvl>
    <w:lvl w:ilvl="5" w:tplc="08090005" w:tentative="1">
      <w:start w:val="1"/>
      <w:numFmt w:val="bullet"/>
      <w:lvlText w:val=""/>
      <w:lvlJc w:val="left"/>
      <w:pPr>
        <w:tabs>
          <w:tab w:val="num" w:pos="4104"/>
        </w:tabs>
        <w:ind w:left="4104" w:hanging="360"/>
      </w:pPr>
      <w:rPr>
        <w:rFonts w:ascii="Wingdings" w:hAnsi="Wingdings" w:hint="default"/>
      </w:rPr>
    </w:lvl>
    <w:lvl w:ilvl="6" w:tplc="08090001" w:tentative="1">
      <w:start w:val="1"/>
      <w:numFmt w:val="bullet"/>
      <w:lvlText w:val=""/>
      <w:lvlJc w:val="left"/>
      <w:pPr>
        <w:tabs>
          <w:tab w:val="num" w:pos="4824"/>
        </w:tabs>
        <w:ind w:left="4824" w:hanging="360"/>
      </w:pPr>
      <w:rPr>
        <w:rFonts w:ascii="Symbol" w:hAnsi="Symbol" w:hint="default"/>
      </w:rPr>
    </w:lvl>
    <w:lvl w:ilvl="7" w:tplc="08090003" w:tentative="1">
      <w:start w:val="1"/>
      <w:numFmt w:val="bullet"/>
      <w:lvlText w:val="o"/>
      <w:lvlJc w:val="left"/>
      <w:pPr>
        <w:tabs>
          <w:tab w:val="num" w:pos="5544"/>
        </w:tabs>
        <w:ind w:left="5544" w:hanging="360"/>
      </w:pPr>
      <w:rPr>
        <w:rFonts w:ascii="Courier New" w:hAnsi="Courier New" w:cs="Courier New" w:hint="default"/>
      </w:rPr>
    </w:lvl>
    <w:lvl w:ilvl="8" w:tplc="08090005" w:tentative="1">
      <w:start w:val="1"/>
      <w:numFmt w:val="bullet"/>
      <w:lvlText w:val=""/>
      <w:lvlJc w:val="left"/>
      <w:pPr>
        <w:tabs>
          <w:tab w:val="num" w:pos="6264"/>
        </w:tabs>
        <w:ind w:left="6264" w:hanging="360"/>
      </w:pPr>
      <w:rPr>
        <w:rFonts w:ascii="Wingdings" w:hAnsi="Wingdings" w:hint="default"/>
      </w:rPr>
    </w:lvl>
  </w:abstractNum>
  <w:abstractNum w:abstractNumId="28" w15:restartNumberingAfterBreak="0">
    <w:nsid w:val="781352F0"/>
    <w:multiLevelType w:val="hybridMultilevel"/>
    <w:tmpl w:val="AD10E762"/>
    <w:lvl w:ilvl="0" w:tplc="23FAA4B8">
      <w:start w:val="1"/>
      <w:numFmt w:val="bullet"/>
      <w:pStyle w:val="Question4"/>
      <w:lvlText w:val=""/>
      <w:lvlJc w:val="left"/>
      <w:pPr>
        <w:tabs>
          <w:tab w:val="num" w:pos="717"/>
        </w:tabs>
        <w:ind w:left="717" w:hanging="360"/>
      </w:pPr>
      <w:rPr>
        <w:rFonts w:ascii="Wingdings" w:hAnsi="Wingdings" w:hint="default"/>
        <w:b w:val="0"/>
        <w:i w:val="0"/>
        <w:color w:val="0060A9"/>
        <w:spacing w:val="0"/>
        <w:w w:val="100"/>
        <w:kern w:val="0"/>
        <w:position w:val="0"/>
        <w:sz w:val="16"/>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7E7D5FDF"/>
    <w:multiLevelType w:val="hybridMultilevel"/>
    <w:tmpl w:val="3864BCDA"/>
    <w:lvl w:ilvl="0" w:tplc="2848CCF6">
      <w:start w:val="1"/>
      <w:numFmt w:val="bullet"/>
      <w:pStyle w:val="TableBullet1"/>
      <w:lvlText w:val=""/>
      <w:lvlJc w:val="left"/>
      <w:pPr>
        <w:tabs>
          <w:tab w:val="num" w:pos="199"/>
        </w:tabs>
        <w:ind w:left="199" w:hanging="199"/>
      </w:pPr>
      <w:rPr>
        <w:rFonts w:ascii="Wingdings" w:hAnsi="Wingdings" w:hint="default"/>
        <w:b w:val="0"/>
        <w:i w:val="0"/>
        <w:color w:val="0060A9"/>
        <w:spacing w:val="0"/>
        <w:w w:val="100"/>
        <w:kern w:val="0"/>
        <w:position w:val="0"/>
        <w:sz w:val="16"/>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427312510">
    <w:abstractNumId w:val="5"/>
  </w:num>
  <w:num w:numId="2" w16cid:durableId="852454433">
    <w:abstractNumId w:val="20"/>
  </w:num>
  <w:num w:numId="3" w16cid:durableId="566645358">
    <w:abstractNumId w:val="22"/>
  </w:num>
  <w:num w:numId="4" w16cid:durableId="1560744490">
    <w:abstractNumId w:val="13"/>
  </w:num>
  <w:num w:numId="5" w16cid:durableId="1339965497">
    <w:abstractNumId w:val="6"/>
  </w:num>
  <w:num w:numId="6" w16cid:durableId="1127940101">
    <w:abstractNumId w:val="26"/>
  </w:num>
  <w:num w:numId="7" w16cid:durableId="1757052199">
    <w:abstractNumId w:val="18"/>
  </w:num>
  <w:num w:numId="8" w16cid:durableId="1754928951">
    <w:abstractNumId w:val="14"/>
  </w:num>
  <w:num w:numId="9" w16cid:durableId="1535315163">
    <w:abstractNumId w:val="27"/>
  </w:num>
  <w:num w:numId="10" w16cid:durableId="467743230">
    <w:abstractNumId w:val="7"/>
  </w:num>
  <w:num w:numId="11" w16cid:durableId="1309743998">
    <w:abstractNumId w:val="12"/>
  </w:num>
  <w:num w:numId="12" w16cid:durableId="1266378007">
    <w:abstractNumId w:val="4"/>
  </w:num>
  <w:num w:numId="13" w16cid:durableId="800852164">
    <w:abstractNumId w:val="3"/>
  </w:num>
  <w:num w:numId="14" w16cid:durableId="1426344960">
    <w:abstractNumId w:val="9"/>
  </w:num>
  <w:num w:numId="15" w16cid:durableId="1433628472">
    <w:abstractNumId w:val="2"/>
  </w:num>
  <w:num w:numId="16" w16cid:durableId="1892493986">
    <w:abstractNumId w:val="1"/>
  </w:num>
  <w:num w:numId="17" w16cid:durableId="1138762159">
    <w:abstractNumId w:val="0"/>
  </w:num>
  <w:num w:numId="18" w16cid:durableId="190581992">
    <w:abstractNumId w:val="23"/>
  </w:num>
  <w:num w:numId="19" w16cid:durableId="577138269">
    <w:abstractNumId w:val="24"/>
  </w:num>
  <w:num w:numId="20" w16cid:durableId="363868840">
    <w:abstractNumId w:val="11"/>
    <w:lvlOverride w:ilvl="1">
      <w:lvl w:ilvl="1">
        <w:start w:val="1"/>
        <w:numFmt w:val="decimal"/>
        <w:isLgl/>
        <w:lvlText w:val="%1.%2."/>
        <w:lvlJc w:val="left"/>
        <w:pPr>
          <w:tabs>
            <w:tab w:val="num" w:pos="1008"/>
          </w:tabs>
          <w:ind w:left="1008" w:hanging="1008"/>
        </w:pPr>
        <w:rPr>
          <w:rFonts w:cs="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2">
      <w:lvl w:ilvl="2">
        <w:start w:val="1"/>
        <w:numFmt w:val="decimal"/>
        <w:isLgl/>
        <w:lvlText w:val="%1.%2.%3."/>
        <w:lvlJc w:val="left"/>
        <w:pPr>
          <w:tabs>
            <w:tab w:val="num" w:pos="1008"/>
          </w:tabs>
          <w:ind w:left="1008" w:hanging="1008"/>
        </w:pPr>
        <w:rPr>
          <w:rFonts w:ascii="Arial" w:hAnsi="Arial" w:hint="default"/>
          <w:b w:val="0"/>
          <w:i w:val="0"/>
          <w:color w:val="0060A9"/>
          <w:sz w:val="22"/>
          <w:szCs w:val="20"/>
        </w:rPr>
      </w:lvl>
    </w:lvlOverride>
    <w:lvlOverride w:ilvl="3">
      <w:lvl w:ilvl="3">
        <w:start w:val="1"/>
        <w:numFmt w:val="decimal"/>
        <w:isLgl/>
        <w:lvlText w:val="%1.%2.%3.%4."/>
        <w:lvlJc w:val="left"/>
        <w:pPr>
          <w:tabs>
            <w:tab w:val="num" w:pos="1008"/>
          </w:tabs>
          <w:ind w:left="1008" w:hanging="1008"/>
        </w:pPr>
        <w:rPr>
          <w:rFonts w:cs="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decimal"/>
        <w:isLgl/>
        <w:lvlText w:val="%1.%2.%3.%4.%5."/>
        <w:lvlJc w:val="left"/>
        <w:pPr>
          <w:tabs>
            <w:tab w:val="num" w:pos="1008"/>
          </w:tabs>
          <w:ind w:left="1008" w:hanging="1008"/>
        </w:pPr>
        <w:rPr>
          <w:rFonts w:ascii="Arial" w:hAnsi="Arial" w:hint="default"/>
          <w:color w:val="0060A9"/>
          <w:sz w:val="20"/>
          <w:szCs w:val="20"/>
        </w:rPr>
      </w:lvl>
    </w:lvlOverride>
  </w:num>
  <w:num w:numId="21" w16cid:durableId="1114445120">
    <w:abstractNumId w:val="16"/>
    <w:lvlOverride w:ilvl="0">
      <w:startOverride w:val="1"/>
    </w:lvlOverride>
  </w:num>
  <w:num w:numId="22" w16cid:durableId="579868872">
    <w:abstractNumId w:val="25"/>
    <w:lvlOverride w:ilvl="0">
      <w:startOverride w:val="1"/>
    </w:lvlOverride>
  </w:num>
  <w:num w:numId="23" w16cid:durableId="2054889922">
    <w:abstractNumId w:val="28"/>
  </w:num>
  <w:num w:numId="24" w16cid:durableId="647057666">
    <w:abstractNumId w:val="10"/>
  </w:num>
  <w:num w:numId="25" w16cid:durableId="2080127381">
    <w:abstractNumId w:val="29"/>
  </w:num>
  <w:num w:numId="26" w16cid:durableId="356465705">
    <w:abstractNumId w:val="21"/>
  </w:num>
  <w:num w:numId="27" w16cid:durableId="899249079">
    <w:abstractNumId w:val="15"/>
  </w:num>
  <w:num w:numId="28" w16cid:durableId="2040088058">
    <w:abstractNumId w:val="19"/>
  </w:num>
  <w:num w:numId="29" w16cid:durableId="1780565830">
    <w:abstractNumId w:val="11"/>
  </w:num>
  <w:num w:numId="30" w16cid:durableId="405763411">
    <w:abstractNumId w:val="17"/>
  </w:num>
  <w:num w:numId="31" w16cid:durableId="1614172259">
    <w:abstractNumId w:val="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1"/>
  <w:embedTrueType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80"/>
  <w:drawingGridHorizontalSpacing w:val="43"/>
  <w:noPunctuationKerning/>
  <w:characterSpacingControl w:val="doNotCompress"/>
  <w:hdrShapeDefaults>
    <o:shapedefaults v:ext="edit" spidmax="2050">
      <o:colormru v:ext="edit" colors="#eaeaea,#005daa,#13b5ea,#c9c1b8,#ebd722,#002b5c,black,#808184"/>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randing" w:val="Deutsche Bank"/>
    <w:docVar w:name="CreatorVersion" w:val="3.0"/>
    <w:docVar w:name="DocType" w:val="Portrait Book"/>
    <w:docVar w:name="NewDoc" w:val="False"/>
  </w:docVars>
  <w:rsids>
    <w:rsidRoot w:val="008A4165"/>
    <w:rsid w:val="000007C4"/>
    <w:rsid w:val="00003C0C"/>
    <w:rsid w:val="00004213"/>
    <w:rsid w:val="000050E9"/>
    <w:rsid w:val="0000570B"/>
    <w:rsid w:val="00011066"/>
    <w:rsid w:val="000121EF"/>
    <w:rsid w:val="000122CD"/>
    <w:rsid w:val="00012B5F"/>
    <w:rsid w:val="00014743"/>
    <w:rsid w:val="0001642A"/>
    <w:rsid w:val="0001753A"/>
    <w:rsid w:val="000225AB"/>
    <w:rsid w:val="00022A0E"/>
    <w:rsid w:val="0002312F"/>
    <w:rsid w:val="0002317B"/>
    <w:rsid w:val="00023D60"/>
    <w:rsid w:val="000259C0"/>
    <w:rsid w:val="0002629E"/>
    <w:rsid w:val="000268D0"/>
    <w:rsid w:val="000310D5"/>
    <w:rsid w:val="00031D31"/>
    <w:rsid w:val="00032802"/>
    <w:rsid w:val="000366CF"/>
    <w:rsid w:val="00037870"/>
    <w:rsid w:val="000410ED"/>
    <w:rsid w:val="0004154E"/>
    <w:rsid w:val="00042048"/>
    <w:rsid w:val="00042A27"/>
    <w:rsid w:val="00043BAD"/>
    <w:rsid w:val="00044595"/>
    <w:rsid w:val="00045EDB"/>
    <w:rsid w:val="000526FE"/>
    <w:rsid w:val="00055935"/>
    <w:rsid w:val="00057E3B"/>
    <w:rsid w:val="00061671"/>
    <w:rsid w:val="0006318A"/>
    <w:rsid w:val="000632F5"/>
    <w:rsid w:val="000641A7"/>
    <w:rsid w:val="000646AC"/>
    <w:rsid w:val="00064A90"/>
    <w:rsid w:val="00067651"/>
    <w:rsid w:val="00071984"/>
    <w:rsid w:val="00077257"/>
    <w:rsid w:val="00077A21"/>
    <w:rsid w:val="00077BD4"/>
    <w:rsid w:val="00080654"/>
    <w:rsid w:val="00081CA6"/>
    <w:rsid w:val="0008352D"/>
    <w:rsid w:val="000839ED"/>
    <w:rsid w:val="00083BA5"/>
    <w:rsid w:val="00083DE3"/>
    <w:rsid w:val="00084C8A"/>
    <w:rsid w:val="00085AB8"/>
    <w:rsid w:val="00087308"/>
    <w:rsid w:val="000876FE"/>
    <w:rsid w:val="00094184"/>
    <w:rsid w:val="0009622C"/>
    <w:rsid w:val="00096C86"/>
    <w:rsid w:val="000A38F2"/>
    <w:rsid w:val="000A3F61"/>
    <w:rsid w:val="000B0E1D"/>
    <w:rsid w:val="000B291C"/>
    <w:rsid w:val="000B3D2C"/>
    <w:rsid w:val="000B50A9"/>
    <w:rsid w:val="000B5590"/>
    <w:rsid w:val="000B7A3E"/>
    <w:rsid w:val="000C57F6"/>
    <w:rsid w:val="000D0EBE"/>
    <w:rsid w:val="000D23AD"/>
    <w:rsid w:val="000D249A"/>
    <w:rsid w:val="000D29AB"/>
    <w:rsid w:val="000D7508"/>
    <w:rsid w:val="000D7DAE"/>
    <w:rsid w:val="000E20FA"/>
    <w:rsid w:val="000E2D2A"/>
    <w:rsid w:val="000E455F"/>
    <w:rsid w:val="000E47F9"/>
    <w:rsid w:val="000E6197"/>
    <w:rsid w:val="000F475F"/>
    <w:rsid w:val="000F486B"/>
    <w:rsid w:val="000F4C2C"/>
    <w:rsid w:val="000F4CCF"/>
    <w:rsid w:val="000F4FD3"/>
    <w:rsid w:val="001011AC"/>
    <w:rsid w:val="00105B09"/>
    <w:rsid w:val="001075C4"/>
    <w:rsid w:val="00107933"/>
    <w:rsid w:val="001104AE"/>
    <w:rsid w:val="00110932"/>
    <w:rsid w:val="00111831"/>
    <w:rsid w:val="00111CA8"/>
    <w:rsid w:val="00112CE6"/>
    <w:rsid w:val="0011412F"/>
    <w:rsid w:val="00115814"/>
    <w:rsid w:val="00116F21"/>
    <w:rsid w:val="00116FFF"/>
    <w:rsid w:val="001212D6"/>
    <w:rsid w:val="00122076"/>
    <w:rsid w:val="00123298"/>
    <w:rsid w:val="00124420"/>
    <w:rsid w:val="001248B8"/>
    <w:rsid w:val="001303DF"/>
    <w:rsid w:val="00130ADC"/>
    <w:rsid w:val="0013170B"/>
    <w:rsid w:val="00131FA0"/>
    <w:rsid w:val="001333E9"/>
    <w:rsid w:val="0013406E"/>
    <w:rsid w:val="00136AB8"/>
    <w:rsid w:val="001413C2"/>
    <w:rsid w:val="00141791"/>
    <w:rsid w:val="001438E4"/>
    <w:rsid w:val="00144A34"/>
    <w:rsid w:val="0014553D"/>
    <w:rsid w:val="00146229"/>
    <w:rsid w:val="00146EA2"/>
    <w:rsid w:val="00147E12"/>
    <w:rsid w:val="00150B66"/>
    <w:rsid w:val="00150F43"/>
    <w:rsid w:val="00152B5E"/>
    <w:rsid w:val="00153538"/>
    <w:rsid w:val="001543B6"/>
    <w:rsid w:val="00155280"/>
    <w:rsid w:val="00155323"/>
    <w:rsid w:val="00155D44"/>
    <w:rsid w:val="0015790E"/>
    <w:rsid w:val="00161CEE"/>
    <w:rsid w:val="00162219"/>
    <w:rsid w:val="00163B5B"/>
    <w:rsid w:val="001670F3"/>
    <w:rsid w:val="00170088"/>
    <w:rsid w:val="00171173"/>
    <w:rsid w:val="001725FE"/>
    <w:rsid w:val="00172E2E"/>
    <w:rsid w:val="00173806"/>
    <w:rsid w:val="00173B69"/>
    <w:rsid w:val="001748C7"/>
    <w:rsid w:val="00175434"/>
    <w:rsid w:val="001754CF"/>
    <w:rsid w:val="00176B4A"/>
    <w:rsid w:val="00181BC5"/>
    <w:rsid w:val="001833FF"/>
    <w:rsid w:val="001858D9"/>
    <w:rsid w:val="00185FA9"/>
    <w:rsid w:val="00187009"/>
    <w:rsid w:val="001875BF"/>
    <w:rsid w:val="001878FF"/>
    <w:rsid w:val="0019025A"/>
    <w:rsid w:val="00193527"/>
    <w:rsid w:val="0019791B"/>
    <w:rsid w:val="001A2D88"/>
    <w:rsid w:val="001A4C79"/>
    <w:rsid w:val="001A66C2"/>
    <w:rsid w:val="001B0846"/>
    <w:rsid w:val="001B2BEE"/>
    <w:rsid w:val="001B2DF8"/>
    <w:rsid w:val="001B788E"/>
    <w:rsid w:val="001C07E6"/>
    <w:rsid w:val="001C08D3"/>
    <w:rsid w:val="001C1B6D"/>
    <w:rsid w:val="001C256F"/>
    <w:rsid w:val="001C4478"/>
    <w:rsid w:val="001C746F"/>
    <w:rsid w:val="001D0A4F"/>
    <w:rsid w:val="001D0EB0"/>
    <w:rsid w:val="001D16D8"/>
    <w:rsid w:val="001D1FFE"/>
    <w:rsid w:val="001D2867"/>
    <w:rsid w:val="001D341D"/>
    <w:rsid w:val="001D6616"/>
    <w:rsid w:val="001D6A4C"/>
    <w:rsid w:val="001D6BB3"/>
    <w:rsid w:val="001E19C3"/>
    <w:rsid w:val="001E3270"/>
    <w:rsid w:val="001F5613"/>
    <w:rsid w:val="001F662F"/>
    <w:rsid w:val="001F6DA2"/>
    <w:rsid w:val="001F7CAA"/>
    <w:rsid w:val="00200F0F"/>
    <w:rsid w:val="00201273"/>
    <w:rsid w:val="00201CB6"/>
    <w:rsid w:val="002021F0"/>
    <w:rsid w:val="00203DF5"/>
    <w:rsid w:val="00210BF9"/>
    <w:rsid w:val="0021305B"/>
    <w:rsid w:val="00215D4B"/>
    <w:rsid w:val="00216056"/>
    <w:rsid w:val="00217A23"/>
    <w:rsid w:val="00220C0A"/>
    <w:rsid w:val="00221F0F"/>
    <w:rsid w:val="0022325A"/>
    <w:rsid w:val="00223F30"/>
    <w:rsid w:val="0022753D"/>
    <w:rsid w:val="00230536"/>
    <w:rsid w:val="002305AA"/>
    <w:rsid w:val="0023351A"/>
    <w:rsid w:val="00233AA1"/>
    <w:rsid w:val="0023470B"/>
    <w:rsid w:val="00234717"/>
    <w:rsid w:val="002430B9"/>
    <w:rsid w:val="00252325"/>
    <w:rsid w:val="00253517"/>
    <w:rsid w:val="00253632"/>
    <w:rsid w:val="00255C13"/>
    <w:rsid w:val="00256495"/>
    <w:rsid w:val="002643AB"/>
    <w:rsid w:val="002648CF"/>
    <w:rsid w:val="0026619A"/>
    <w:rsid w:val="00266C64"/>
    <w:rsid w:val="00267F35"/>
    <w:rsid w:val="0027070B"/>
    <w:rsid w:val="00273260"/>
    <w:rsid w:val="00274797"/>
    <w:rsid w:val="00276825"/>
    <w:rsid w:val="00280B20"/>
    <w:rsid w:val="00283865"/>
    <w:rsid w:val="00284A35"/>
    <w:rsid w:val="00285286"/>
    <w:rsid w:val="002877E7"/>
    <w:rsid w:val="002944A8"/>
    <w:rsid w:val="002A5950"/>
    <w:rsid w:val="002A5A99"/>
    <w:rsid w:val="002A785B"/>
    <w:rsid w:val="002A7E00"/>
    <w:rsid w:val="002B098C"/>
    <w:rsid w:val="002B1128"/>
    <w:rsid w:val="002B1887"/>
    <w:rsid w:val="002B311B"/>
    <w:rsid w:val="002B36E1"/>
    <w:rsid w:val="002B5ADC"/>
    <w:rsid w:val="002B6824"/>
    <w:rsid w:val="002C03B4"/>
    <w:rsid w:val="002C1C26"/>
    <w:rsid w:val="002C3FA6"/>
    <w:rsid w:val="002C4A09"/>
    <w:rsid w:val="002D2DF3"/>
    <w:rsid w:val="002D427C"/>
    <w:rsid w:val="002D5DB2"/>
    <w:rsid w:val="002D5DD6"/>
    <w:rsid w:val="002D6110"/>
    <w:rsid w:val="002D6246"/>
    <w:rsid w:val="002D6DE6"/>
    <w:rsid w:val="002D7C30"/>
    <w:rsid w:val="002E0D36"/>
    <w:rsid w:val="002E1696"/>
    <w:rsid w:val="002E2274"/>
    <w:rsid w:val="002E3544"/>
    <w:rsid w:val="002E7028"/>
    <w:rsid w:val="002F1594"/>
    <w:rsid w:val="002F2D08"/>
    <w:rsid w:val="002F3E27"/>
    <w:rsid w:val="003000B1"/>
    <w:rsid w:val="00300DBA"/>
    <w:rsid w:val="00301EA4"/>
    <w:rsid w:val="00302C35"/>
    <w:rsid w:val="00306043"/>
    <w:rsid w:val="00306D73"/>
    <w:rsid w:val="003073DA"/>
    <w:rsid w:val="0030752F"/>
    <w:rsid w:val="00310237"/>
    <w:rsid w:val="003109CF"/>
    <w:rsid w:val="0031609F"/>
    <w:rsid w:val="003172E1"/>
    <w:rsid w:val="00320C34"/>
    <w:rsid w:val="00321100"/>
    <w:rsid w:val="00323A87"/>
    <w:rsid w:val="00324579"/>
    <w:rsid w:val="00324987"/>
    <w:rsid w:val="00324EB1"/>
    <w:rsid w:val="00325FEC"/>
    <w:rsid w:val="003278BD"/>
    <w:rsid w:val="00330CAF"/>
    <w:rsid w:val="0033128B"/>
    <w:rsid w:val="00333BFF"/>
    <w:rsid w:val="00335705"/>
    <w:rsid w:val="003359F8"/>
    <w:rsid w:val="0034095B"/>
    <w:rsid w:val="00340D0B"/>
    <w:rsid w:val="00342129"/>
    <w:rsid w:val="003437F4"/>
    <w:rsid w:val="00344BD9"/>
    <w:rsid w:val="003475B3"/>
    <w:rsid w:val="003476D5"/>
    <w:rsid w:val="00350012"/>
    <w:rsid w:val="00350945"/>
    <w:rsid w:val="00351746"/>
    <w:rsid w:val="00352E52"/>
    <w:rsid w:val="00353E9C"/>
    <w:rsid w:val="003545BE"/>
    <w:rsid w:val="00356FEA"/>
    <w:rsid w:val="00360193"/>
    <w:rsid w:val="00362288"/>
    <w:rsid w:val="003631C7"/>
    <w:rsid w:val="0036385B"/>
    <w:rsid w:val="00363F17"/>
    <w:rsid w:val="00365FE0"/>
    <w:rsid w:val="003678E8"/>
    <w:rsid w:val="00370F3C"/>
    <w:rsid w:val="00372480"/>
    <w:rsid w:val="00377163"/>
    <w:rsid w:val="003773CE"/>
    <w:rsid w:val="00380ABE"/>
    <w:rsid w:val="003820F3"/>
    <w:rsid w:val="00382176"/>
    <w:rsid w:val="00384D68"/>
    <w:rsid w:val="003856F0"/>
    <w:rsid w:val="00385A2B"/>
    <w:rsid w:val="0039086D"/>
    <w:rsid w:val="0039100E"/>
    <w:rsid w:val="0039392B"/>
    <w:rsid w:val="0039548C"/>
    <w:rsid w:val="003954E7"/>
    <w:rsid w:val="00395A9D"/>
    <w:rsid w:val="0039607A"/>
    <w:rsid w:val="0039620E"/>
    <w:rsid w:val="0039777B"/>
    <w:rsid w:val="003A0C05"/>
    <w:rsid w:val="003A5CEA"/>
    <w:rsid w:val="003A6BD8"/>
    <w:rsid w:val="003A6F41"/>
    <w:rsid w:val="003B02B4"/>
    <w:rsid w:val="003B09E2"/>
    <w:rsid w:val="003B3702"/>
    <w:rsid w:val="003B5125"/>
    <w:rsid w:val="003B52F0"/>
    <w:rsid w:val="003C0E6B"/>
    <w:rsid w:val="003C29F9"/>
    <w:rsid w:val="003C2C66"/>
    <w:rsid w:val="003C341E"/>
    <w:rsid w:val="003C38A3"/>
    <w:rsid w:val="003C3B70"/>
    <w:rsid w:val="003C3E74"/>
    <w:rsid w:val="003C5DDA"/>
    <w:rsid w:val="003C6125"/>
    <w:rsid w:val="003C613D"/>
    <w:rsid w:val="003C62A8"/>
    <w:rsid w:val="003C6FB6"/>
    <w:rsid w:val="003C6FC0"/>
    <w:rsid w:val="003D655B"/>
    <w:rsid w:val="003D6788"/>
    <w:rsid w:val="003D7033"/>
    <w:rsid w:val="003E5470"/>
    <w:rsid w:val="003E7BD3"/>
    <w:rsid w:val="003E7F01"/>
    <w:rsid w:val="003F017A"/>
    <w:rsid w:val="003F1AAB"/>
    <w:rsid w:val="003F2417"/>
    <w:rsid w:val="003F26A8"/>
    <w:rsid w:val="003F3180"/>
    <w:rsid w:val="003F495B"/>
    <w:rsid w:val="003F7470"/>
    <w:rsid w:val="00404911"/>
    <w:rsid w:val="00404D36"/>
    <w:rsid w:val="00405562"/>
    <w:rsid w:val="00406975"/>
    <w:rsid w:val="004111C6"/>
    <w:rsid w:val="004114D6"/>
    <w:rsid w:val="0041335F"/>
    <w:rsid w:val="00413E83"/>
    <w:rsid w:val="004140B2"/>
    <w:rsid w:val="00415D02"/>
    <w:rsid w:val="00415F69"/>
    <w:rsid w:val="00417450"/>
    <w:rsid w:val="00420AB0"/>
    <w:rsid w:val="00431C35"/>
    <w:rsid w:val="00433309"/>
    <w:rsid w:val="00433503"/>
    <w:rsid w:val="00437D11"/>
    <w:rsid w:val="004402DE"/>
    <w:rsid w:val="0044561F"/>
    <w:rsid w:val="00446787"/>
    <w:rsid w:val="00447CE7"/>
    <w:rsid w:val="00453018"/>
    <w:rsid w:val="00454742"/>
    <w:rsid w:val="00455DDE"/>
    <w:rsid w:val="004572B8"/>
    <w:rsid w:val="0045770D"/>
    <w:rsid w:val="00460478"/>
    <w:rsid w:val="00463FEC"/>
    <w:rsid w:val="0046488A"/>
    <w:rsid w:val="00464C4C"/>
    <w:rsid w:val="00465DD3"/>
    <w:rsid w:val="00466A0C"/>
    <w:rsid w:val="00466FB5"/>
    <w:rsid w:val="004670CE"/>
    <w:rsid w:val="00472A45"/>
    <w:rsid w:val="00472F15"/>
    <w:rsid w:val="004764E9"/>
    <w:rsid w:val="0047767C"/>
    <w:rsid w:val="00481A6D"/>
    <w:rsid w:val="00482C6E"/>
    <w:rsid w:val="00486AD0"/>
    <w:rsid w:val="00490D4A"/>
    <w:rsid w:val="00490D7A"/>
    <w:rsid w:val="00491FA5"/>
    <w:rsid w:val="004938AF"/>
    <w:rsid w:val="00494966"/>
    <w:rsid w:val="00494BDE"/>
    <w:rsid w:val="00496B6C"/>
    <w:rsid w:val="0049775F"/>
    <w:rsid w:val="004A0891"/>
    <w:rsid w:val="004A0A0A"/>
    <w:rsid w:val="004A21A3"/>
    <w:rsid w:val="004A2B98"/>
    <w:rsid w:val="004A3343"/>
    <w:rsid w:val="004A355D"/>
    <w:rsid w:val="004A397C"/>
    <w:rsid w:val="004A5D16"/>
    <w:rsid w:val="004A6AB5"/>
    <w:rsid w:val="004A78BD"/>
    <w:rsid w:val="004B0E58"/>
    <w:rsid w:val="004B2E02"/>
    <w:rsid w:val="004B4FF3"/>
    <w:rsid w:val="004B51A4"/>
    <w:rsid w:val="004B5B0C"/>
    <w:rsid w:val="004B6A18"/>
    <w:rsid w:val="004B78AF"/>
    <w:rsid w:val="004C20F3"/>
    <w:rsid w:val="004C3E47"/>
    <w:rsid w:val="004C7CB8"/>
    <w:rsid w:val="004D2DE5"/>
    <w:rsid w:val="004D647B"/>
    <w:rsid w:val="004D7881"/>
    <w:rsid w:val="004D7ECE"/>
    <w:rsid w:val="004E0B1D"/>
    <w:rsid w:val="004E2AF6"/>
    <w:rsid w:val="004E4536"/>
    <w:rsid w:val="004E6360"/>
    <w:rsid w:val="004E78F3"/>
    <w:rsid w:val="004E7FCB"/>
    <w:rsid w:val="004F0DC9"/>
    <w:rsid w:val="004F0E14"/>
    <w:rsid w:val="004F1175"/>
    <w:rsid w:val="004F26FC"/>
    <w:rsid w:val="004F28CE"/>
    <w:rsid w:val="004F2A8D"/>
    <w:rsid w:val="004F2B69"/>
    <w:rsid w:val="004F38E1"/>
    <w:rsid w:val="004F3B64"/>
    <w:rsid w:val="004F494C"/>
    <w:rsid w:val="004F5306"/>
    <w:rsid w:val="004F6715"/>
    <w:rsid w:val="004F69A5"/>
    <w:rsid w:val="004F69BC"/>
    <w:rsid w:val="00504A3B"/>
    <w:rsid w:val="00504FE7"/>
    <w:rsid w:val="00505960"/>
    <w:rsid w:val="00506819"/>
    <w:rsid w:val="00511491"/>
    <w:rsid w:val="00511CE6"/>
    <w:rsid w:val="0051240C"/>
    <w:rsid w:val="00512586"/>
    <w:rsid w:val="00513209"/>
    <w:rsid w:val="00517244"/>
    <w:rsid w:val="00526FA5"/>
    <w:rsid w:val="00527FEC"/>
    <w:rsid w:val="005310E3"/>
    <w:rsid w:val="005346AD"/>
    <w:rsid w:val="00534856"/>
    <w:rsid w:val="00535DC7"/>
    <w:rsid w:val="00535FB1"/>
    <w:rsid w:val="00541410"/>
    <w:rsid w:val="00542623"/>
    <w:rsid w:val="00542C59"/>
    <w:rsid w:val="00542D94"/>
    <w:rsid w:val="00544D0E"/>
    <w:rsid w:val="00545040"/>
    <w:rsid w:val="00545B49"/>
    <w:rsid w:val="00547AB8"/>
    <w:rsid w:val="00547CD5"/>
    <w:rsid w:val="00552AA8"/>
    <w:rsid w:val="00552C09"/>
    <w:rsid w:val="005532E9"/>
    <w:rsid w:val="0055606D"/>
    <w:rsid w:val="00560E73"/>
    <w:rsid w:val="00563BB8"/>
    <w:rsid w:val="005657B7"/>
    <w:rsid w:val="005676DA"/>
    <w:rsid w:val="005703DC"/>
    <w:rsid w:val="005713DB"/>
    <w:rsid w:val="00572E80"/>
    <w:rsid w:val="00575479"/>
    <w:rsid w:val="00580A72"/>
    <w:rsid w:val="0058109D"/>
    <w:rsid w:val="0058171E"/>
    <w:rsid w:val="00581F91"/>
    <w:rsid w:val="00582191"/>
    <w:rsid w:val="0058407E"/>
    <w:rsid w:val="00586BB8"/>
    <w:rsid w:val="005943CC"/>
    <w:rsid w:val="00595CB1"/>
    <w:rsid w:val="00595DE4"/>
    <w:rsid w:val="005A03C8"/>
    <w:rsid w:val="005A06A4"/>
    <w:rsid w:val="005A2001"/>
    <w:rsid w:val="005A5883"/>
    <w:rsid w:val="005A5E69"/>
    <w:rsid w:val="005A7071"/>
    <w:rsid w:val="005A74F1"/>
    <w:rsid w:val="005B0008"/>
    <w:rsid w:val="005B062D"/>
    <w:rsid w:val="005B149C"/>
    <w:rsid w:val="005B2F0F"/>
    <w:rsid w:val="005B48C6"/>
    <w:rsid w:val="005B4B43"/>
    <w:rsid w:val="005B6AB4"/>
    <w:rsid w:val="005C222E"/>
    <w:rsid w:val="005C23D1"/>
    <w:rsid w:val="005C2B1C"/>
    <w:rsid w:val="005C2D5B"/>
    <w:rsid w:val="005C2F53"/>
    <w:rsid w:val="005C4306"/>
    <w:rsid w:val="005C524E"/>
    <w:rsid w:val="005C755C"/>
    <w:rsid w:val="005C7EB9"/>
    <w:rsid w:val="005D0C61"/>
    <w:rsid w:val="005D5E1E"/>
    <w:rsid w:val="005D64E0"/>
    <w:rsid w:val="005E112C"/>
    <w:rsid w:val="005E12C5"/>
    <w:rsid w:val="005E212D"/>
    <w:rsid w:val="005E31A3"/>
    <w:rsid w:val="005E46DB"/>
    <w:rsid w:val="005E5DA1"/>
    <w:rsid w:val="005F3E4A"/>
    <w:rsid w:val="005F561E"/>
    <w:rsid w:val="005F605E"/>
    <w:rsid w:val="005F7D49"/>
    <w:rsid w:val="0060050C"/>
    <w:rsid w:val="00600952"/>
    <w:rsid w:val="00600D23"/>
    <w:rsid w:val="00601890"/>
    <w:rsid w:val="00603703"/>
    <w:rsid w:val="00604540"/>
    <w:rsid w:val="00604E08"/>
    <w:rsid w:val="006057F9"/>
    <w:rsid w:val="00610C21"/>
    <w:rsid w:val="0061233C"/>
    <w:rsid w:val="00613DA1"/>
    <w:rsid w:val="0061515B"/>
    <w:rsid w:val="00616258"/>
    <w:rsid w:val="00621D43"/>
    <w:rsid w:val="00624C2E"/>
    <w:rsid w:val="006261A5"/>
    <w:rsid w:val="0062670D"/>
    <w:rsid w:val="0063557E"/>
    <w:rsid w:val="0064025C"/>
    <w:rsid w:val="00641837"/>
    <w:rsid w:val="0064314A"/>
    <w:rsid w:val="00643FE6"/>
    <w:rsid w:val="00644C10"/>
    <w:rsid w:val="006463E5"/>
    <w:rsid w:val="006466E2"/>
    <w:rsid w:val="00647F9D"/>
    <w:rsid w:val="00650E32"/>
    <w:rsid w:val="00650FC8"/>
    <w:rsid w:val="00652C41"/>
    <w:rsid w:val="00653CBB"/>
    <w:rsid w:val="00653F82"/>
    <w:rsid w:val="006545F5"/>
    <w:rsid w:val="00654C18"/>
    <w:rsid w:val="00654DE7"/>
    <w:rsid w:val="0065561B"/>
    <w:rsid w:val="006602B9"/>
    <w:rsid w:val="00662F3A"/>
    <w:rsid w:val="0066417F"/>
    <w:rsid w:val="00665740"/>
    <w:rsid w:val="006660B9"/>
    <w:rsid w:val="006671E2"/>
    <w:rsid w:val="00670A11"/>
    <w:rsid w:val="006715B1"/>
    <w:rsid w:val="00671C0D"/>
    <w:rsid w:val="0067230D"/>
    <w:rsid w:val="00677137"/>
    <w:rsid w:val="00680D37"/>
    <w:rsid w:val="00681600"/>
    <w:rsid w:val="00681FFA"/>
    <w:rsid w:val="0068345C"/>
    <w:rsid w:val="00685363"/>
    <w:rsid w:val="006853A5"/>
    <w:rsid w:val="00685813"/>
    <w:rsid w:val="00685FCF"/>
    <w:rsid w:val="0069103C"/>
    <w:rsid w:val="0069104E"/>
    <w:rsid w:val="00691E10"/>
    <w:rsid w:val="00693041"/>
    <w:rsid w:val="00693558"/>
    <w:rsid w:val="006941CE"/>
    <w:rsid w:val="006947E6"/>
    <w:rsid w:val="00695D4A"/>
    <w:rsid w:val="00696384"/>
    <w:rsid w:val="00696B9B"/>
    <w:rsid w:val="006A3E15"/>
    <w:rsid w:val="006A3FB6"/>
    <w:rsid w:val="006A5BA0"/>
    <w:rsid w:val="006A6A3F"/>
    <w:rsid w:val="006A6A98"/>
    <w:rsid w:val="006A7267"/>
    <w:rsid w:val="006B0B1F"/>
    <w:rsid w:val="006B0D6F"/>
    <w:rsid w:val="006B2528"/>
    <w:rsid w:val="006B3F60"/>
    <w:rsid w:val="006B77D4"/>
    <w:rsid w:val="006C2C10"/>
    <w:rsid w:val="006C5A62"/>
    <w:rsid w:val="006D1CC2"/>
    <w:rsid w:val="006D264B"/>
    <w:rsid w:val="006D2BB4"/>
    <w:rsid w:val="006D31DB"/>
    <w:rsid w:val="006D3781"/>
    <w:rsid w:val="006D4774"/>
    <w:rsid w:val="006D5774"/>
    <w:rsid w:val="006D586B"/>
    <w:rsid w:val="006E1D84"/>
    <w:rsid w:val="006E2B0C"/>
    <w:rsid w:val="006E3ABD"/>
    <w:rsid w:val="006E51A6"/>
    <w:rsid w:val="006E57D1"/>
    <w:rsid w:val="006E5A68"/>
    <w:rsid w:val="006F0FD0"/>
    <w:rsid w:val="006F4066"/>
    <w:rsid w:val="006F77AE"/>
    <w:rsid w:val="00701C19"/>
    <w:rsid w:val="007021EC"/>
    <w:rsid w:val="007044C6"/>
    <w:rsid w:val="0070459C"/>
    <w:rsid w:val="00712431"/>
    <w:rsid w:val="00712849"/>
    <w:rsid w:val="00714631"/>
    <w:rsid w:val="007162C2"/>
    <w:rsid w:val="0071638E"/>
    <w:rsid w:val="00720B4B"/>
    <w:rsid w:val="00721BAA"/>
    <w:rsid w:val="0072263F"/>
    <w:rsid w:val="00722882"/>
    <w:rsid w:val="00726827"/>
    <w:rsid w:val="00730C0C"/>
    <w:rsid w:val="00730CE8"/>
    <w:rsid w:val="00731D21"/>
    <w:rsid w:val="00732334"/>
    <w:rsid w:val="0074061E"/>
    <w:rsid w:val="00740D78"/>
    <w:rsid w:val="00741FF9"/>
    <w:rsid w:val="0074494C"/>
    <w:rsid w:val="00751421"/>
    <w:rsid w:val="0075447D"/>
    <w:rsid w:val="00755239"/>
    <w:rsid w:val="00756E9D"/>
    <w:rsid w:val="00757664"/>
    <w:rsid w:val="0076075E"/>
    <w:rsid w:val="007618EC"/>
    <w:rsid w:val="00764716"/>
    <w:rsid w:val="00767554"/>
    <w:rsid w:val="00770353"/>
    <w:rsid w:val="00771504"/>
    <w:rsid w:val="007718E6"/>
    <w:rsid w:val="007735A6"/>
    <w:rsid w:val="00773C72"/>
    <w:rsid w:val="00774093"/>
    <w:rsid w:val="0077467D"/>
    <w:rsid w:val="007812C9"/>
    <w:rsid w:val="0078211E"/>
    <w:rsid w:val="007868DB"/>
    <w:rsid w:val="007907BD"/>
    <w:rsid w:val="00791655"/>
    <w:rsid w:val="007953F5"/>
    <w:rsid w:val="007A0165"/>
    <w:rsid w:val="007A03DC"/>
    <w:rsid w:val="007A16B3"/>
    <w:rsid w:val="007A1DF8"/>
    <w:rsid w:val="007A4905"/>
    <w:rsid w:val="007A6749"/>
    <w:rsid w:val="007A6C23"/>
    <w:rsid w:val="007A6D01"/>
    <w:rsid w:val="007B04E9"/>
    <w:rsid w:val="007B14F0"/>
    <w:rsid w:val="007B3B2B"/>
    <w:rsid w:val="007B58E6"/>
    <w:rsid w:val="007B5F79"/>
    <w:rsid w:val="007B6B4A"/>
    <w:rsid w:val="007C1773"/>
    <w:rsid w:val="007C1A48"/>
    <w:rsid w:val="007C30CD"/>
    <w:rsid w:val="007C38E4"/>
    <w:rsid w:val="007C4083"/>
    <w:rsid w:val="007C464D"/>
    <w:rsid w:val="007C509F"/>
    <w:rsid w:val="007C50FA"/>
    <w:rsid w:val="007C5BC1"/>
    <w:rsid w:val="007C77AD"/>
    <w:rsid w:val="007C7C6E"/>
    <w:rsid w:val="007D20EF"/>
    <w:rsid w:val="007D2BEE"/>
    <w:rsid w:val="007D3637"/>
    <w:rsid w:val="007D38D9"/>
    <w:rsid w:val="007D3CA1"/>
    <w:rsid w:val="007D5B36"/>
    <w:rsid w:val="007D7724"/>
    <w:rsid w:val="007D7FB6"/>
    <w:rsid w:val="007E1D0B"/>
    <w:rsid w:val="007E20F8"/>
    <w:rsid w:val="007E535B"/>
    <w:rsid w:val="007E6046"/>
    <w:rsid w:val="007E6319"/>
    <w:rsid w:val="007F29A8"/>
    <w:rsid w:val="007F2B8B"/>
    <w:rsid w:val="007F2C43"/>
    <w:rsid w:val="007F47F4"/>
    <w:rsid w:val="007F6283"/>
    <w:rsid w:val="007F659A"/>
    <w:rsid w:val="007F77FA"/>
    <w:rsid w:val="008005A0"/>
    <w:rsid w:val="008013EF"/>
    <w:rsid w:val="008027C9"/>
    <w:rsid w:val="00802FE3"/>
    <w:rsid w:val="00803B42"/>
    <w:rsid w:val="00805DF1"/>
    <w:rsid w:val="00806F52"/>
    <w:rsid w:val="008073D8"/>
    <w:rsid w:val="008074AE"/>
    <w:rsid w:val="008109FB"/>
    <w:rsid w:val="008113FC"/>
    <w:rsid w:val="00811650"/>
    <w:rsid w:val="00815AC0"/>
    <w:rsid w:val="00816E12"/>
    <w:rsid w:val="0082292A"/>
    <w:rsid w:val="008229B6"/>
    <w:rsid w:val="00825014"/>
    <w:rsid w:val="008279A8"/>
    <w:rsid w:val="00836463"/>
    <w:rsid w:val="008406BA"/>
    <w:rsid w:val="008439C9"/>
    <w:rsid w:val="00844660"/>
    <w:rsid w:val="008452C9"/>
    <w:rsid w:val="00851358"/>
    <w:rsid w:val="00851A1B"/>
    <w:rsid w:val="008531F1"/>
    <w:rsid w:val="008543C9"/>
    <w:rsid w:val="008549AC"/>
    <w:rsid w:val="0086033D"/>
    <w:rsid w:val="00860ABB"/>
    <w:rsid w:val="00861385"/>
    <w:rsid w:val="008616B8"/>
    <w:rsid w:val="00861979"/>
    <w:rsid w:val="0086202E"/>
    <w:rsid w:val="00863067"/>
    <w:rsid w:val="008653E7"/>
    <w:rsid w:val="00865456"/>
    <w:rsid w:val="00866041"/>
    <w:rsid w:val="0086671C"/>
    <w:rsid w:val="00867682"/>
    <w:rsid w:val="00870A3F"/>
    <w:rsid w:val="00873800"/>
    <w:rsid w:val="0087409F"/>
    <w:rsid w:val="0087670B"/>
    <w:rsid w:val="008819D5"/>
    <w:rsid w:val="00883BD7"/>
    <w:rsid w:val="008850E6"/>
    <w:rsid w:val="00887BA1"/>
    <w:rsid w:val="00887EF9"/>
    <w:rsid w:val="0089356B"/>
    <w:rsid w:val="00894EF6"/>
    <w:rsid w:val="008959DC"/>
    <w:rsid w:val="00895CBE"/>
    <w:rsid w:val="008A0B26"/>
    <w:rsid w:val="008A0F78"/>
    <w:rsid w:val="008A11AE"/>
    <w:rsid w:val="008A22C1"/>
    <w:rsid w:val="008A4165"/>
    <w:rsid w:val="008A7681"/>
    <w:rsid w:val="008B229C"/>
    <w:rsid w:val="008B5885"/>
    <w:rsid w:val="008B6F94"/>
    <w:rsid w:val="008C02F5"/>
    <w:rsid w:val="008C1C38"/>
    <w:rsid w:val="008C3509"/>
    <w:rsid w:val="008C3C07"/>
    <w:rsid w:val="008C4F58"/>
    <w:rsid w:val="008D365B"/>
    <w:rsid w:val="008D4B40"/>
    <w:rsid w:val="008D4BA5"/>
    <w:rsid w:val="008D4DCB"/>
    <w:rsid w:val="008D5AB8"/>
    <w:rsid w:val="008E11FC"/>
    <w:rsid w:val="008E2BFC"/>
    <w:rsid w:val="008E4080"/>
    <w:rsid w:val="008E7CA9"/>
    <w:rsid w:val="008E7E3B"/>
    <w:rsid w:val="008F112C"/>
    <w:rsid w:val="008F37C0"/>
    <w:rsid w:val="008F5C71"/>
    <w:rsid w:val="008F7073"/>
    <w:rsid w:val="008F73B1"/>
    <w:rsid w:val="008F7CDD"/>
    <w:rsid w:val="00901225"/>
    <w:rsid w:val="00902619"/>
    <w:rsid w:val="00902660"/>
    <w:rsid w:val="00903CC4"/>
    <w:rsid w:val="00903E3C"/>
    <w:rsid w:val="0090546E"/>
    <w:rsid w:val="00907565"/>
    <w:rsid w:val="00910D7D"/>
    <w:rsid w:val="00912587"/>
    <w:rsid w:val="009150DD"/>
    <w:rsid w:val="0091687F"/>
    <w:rsid w:val="0091694C"/>
    <w:rsid w:val="0091755C"/>
    <w:rsid w:val="009206DC"/>
    <w:rsid w:val="009211C3"/>
    <w:rsid w:val="009222A9"/>
    <w:rsid w:val="00924C2D"/>
    <w:rsid w:val="0093393C"/>
    <w:rsid w:val="00933E25"/>
    <w:rsid w:val="0093431D"/>
    <w:rsid w:val="00934472"/>
    <w:rsid w:val="009357F1"/>
    <w:rsid w:val="00935CDD"/>
    <w:rsid w:val="00941845"/>
    <w:rsid w:val="00941F20"/>
    <w:rsid w:val="009430EA"/>
    <w:rsid w:val="0094391A"/>
    <w:rsid w:val="00945323"/>
    <w:rsid w:val="00945424"/>
    <w:rsid w:val="00945B6B"/>
    <w:rsid w:val="00947795"/>
    <w:rsid w:val="00950A54"/>
    <w:rsid w:val="00951FB8"/>
    <w:rsid w:val="00954E9C"/>
    <w:rsid w:val="00956115"/>
    <w:rsid w:val="009562AA"/>
    <w:rsid w:val="0096098D"/>
    <w:rsid w:val="009614F8"/>
    <w:rsid w:val="009644C1"/>
    <w:rsid w:val="00967555"/>
    <w:rsid w:val="0097011E"/>
    <w:rsid w:val="00970A82"/>
    <w:rsid w:val="009739E5"/>
    <w:rsid w:val="00974A57"/>
    <w:rsid w:val="00975F54"/>
    <w:rsid w:val="009777A9"/>
    <w:rsid w:val="00980391"/>
    <w:rsid w:val="00981B90"/>
    <w:rsid w:val="00981F04"/>
    <w:rsid w:val="00982326"/>
    <w:rsid w:val="00982A23"/>
    <w:rsid w:val="00982BE4"/>
    <w:rsid w:val="00986D3E"/>
    <w:rsid w:val="00987B2F"/>
    <w:rsid w:val="00992314"/>
    <w:rsid w:val="00993DBB"/>
    <w:rsid w:val="00994D7C"/>
    <w:rsid w:val="0099586A"/>
    <w:rsid w:val="00995CD6"/>
    <w:rsid w:val="00996821"/>
    <w:rsid w:val="009A1308"/>
    <w:rsid w:val="009A1C4D"/>
    <w:rsid w:val="009A29A5"/>
    <w:rsid w:val="009A3661"/>
    <w:rsid w:val="009A3EA8"/>
    <w:rsid w:val="009A4123"/>
    <w:rsid w:val="009A565E"/>
    <w:rsid w:val="009A650B"/>
    <w:rsid w:val="009A7380"/>
    <w:rsid w:val="009A7B37"/>
    <w:rsid w:val="009B03BA"/>
    <w:rsid w:val="009B18F0"/>
    <w:rsid w:val="009B2A0A"/>
    <w:rsid w:val="009B2C59"/>
    <w:rsid w:val="009B391E"/>
    <w:rsid w:val="009B4987"/>
    <w:rsid w:val="009B5848"/>
    <w:rsid w:val="009B5B88"/>
    <w:rsid w:val="009B5CF4"/>
    <w:rsid w:val="009C0B58"/>
    <w:rsid w:val="009C517B"/>
    <w:rsid w:val="009C5A50"/>
    <w:rsid w:val="009C5B80"/>
    <w:rsid w:val="009D2162"/>
    <w:rsid w:val="009D2803"/>
    <w:rsid w:val="009D3260"/>
    <w:rsid w:val="009D38EC"/>
    <w:rsid w:val="009D532E"/>
    <w:rsid w:val="009D5AF3"/>
    <w:rsid w:val="009E191F"/>
    <w:rsid w:val="009E1D8D"/>
    <w:rsid w:val="009E28C0"/>
    <w:rsid w:val="009E298F"/>
    <w:rsid w:val="009E37FF"/>
    <w:rsid w:val="009E5797"/>
    <w:rsid w:val="009E6BD8"/>
    <w:rsid w:val="009E74A3"/>
    <w:rsid w:val="009F1268"/>
    <w:rsid w:val="009F13A9"/>
    <w:rsid w:val="009F30C5"/>
    <w:rsid w:val="009F4CA0"/>
    <w:rsid w:val="009F4D74"/>
    <w:rsid w:val="009F5FF3"/>
    <w:rsid w:val="00A016D2"/>
    <w:rsid w:val="00A01D4C"/>
    <w:rsid w:val="00A03E20"/>
    <w:rsid w:val="00A046D1"/>
    <w:rsid w:val="00A04708"/>
    <w:rsid w:val="00A05A0B"/>
    <w:rsid w:val="00A12482"/>
    <w:rsid w:val="00A12727"/>
    <w:rsid w:val="00A134FE"/>
    <w:rsid w:val="00A13544"/>
    <w:rsid w:val="00A15DC1"/>
    <w:rsid w:val="00A17736"/>
    <w:rsid w:val="00A200CB"/>
    <w:rsid w:val="00A207D2"/>
    <w:rsid w:val="00A2175E"/>
    <w:rsid w:val="00A24B83"/>
    <w:rsid w:val="00A2626B"/>
    <w:rsid w:val="00A310FD"/>
    <w:rsid w:val="00A3189B"/>
    <w:rsid w:val="00A31A42"/>
    <w:rsid w:val="00A32D05"/>
    <w:rsid w:val="00A32D89"/>
    <w:rsid w:val="00A33016"/>
    <w:rsid w:val="00A33D8C"/>
    <w:rsid w:val="00A361D8"/>
    <w:rsid w:val="00A37A24"/>
    <w:rsid w:val="00A402BC"/>
    <w:rsid w:val="00A41435"/>
    <w:rsid w:val="00A42062"/>
    <w:rsid w:val="00A42AC0"/>
    <w:rsid w:val="00A45F36"/>
    <w:rsid w:val="00A47E77"/>
    <w:rsid w:val="00A51617"/>
    <w:rsid w:val="00A516D0"/>
    <w:rsid w:val="00A52785"/>
    <w:rsid w:val="00A55349"/>
    <w:rsid w:val="00A57E72"/>
    <w:rsid w:val="00A61276"/>
    <w:rsid w:val="00A627C0"/>
    <w:rsid w:val="00A62E7D"/>
    <w:rsid w:val="00A646CF"/>
    <w:rsid w:val="00A65D16"/>
    <w:rsid w:val="00A667A5"/>
    <w:rsid w:val="00A66EF4"/>
    <w:rsid w:val="00A6730A"/>
    <w:rsid w:val="00A67D87"/>
    <w:rsid w:val="00A70D0F"/>
    <w:rsid w:val="00A7343F"/>
    <w:rsid w:val="00A742CD"/>
    <w:rsid w:val="00A76D1B"/>
    <w:rsid w:val="00A824D5"/>
    <w:rsid w:val="00A83827"/>
    <w:rsid w:val="00A838AC"/>
    <w:rsid w:val="00A83E08"/>
    <w:rsid w:val="00A84B83"/>
    <w:rsid w:val="00A86E17"/>
    <w:rsid w:val="00A8798A"/>
    <w:rsid w:val="00A932C6"/>
    <w:rsid w:val="00A93895"/>
    <w:rsid w:val="00A96170"/>
    <w:rsid w:val="00A96BEF"/>
    <w:rsid w:val="00A974A0"/>
    <w:rsid w:val="00AA1CCF"/>
    <w:rsid w:val="00AA32AC"/>
    <w:rsid w:val="00AA3776"/>
    <w:rsid w:val="00AA5067"/>
    <w:rsid w:val="00AA52F5"/>
    <w:rsid w:val="00AA7AA2"/>
    <w:rsid w:val="00AB06B2"/>
    <w:rsid w:val="00AB0984"/>
    <w:rsid w:val="00AB1D37"/>
    <w:rsid w:val="00AB2137"/>
    <w:rsid w:val="00AB410D"/>
    <w:rsid w:val="00AB43BA"/>
    <w:rsid w:val="00AB7181"/>
    <w:rsid w:val="00AB77DE"/>
    <w:rsid w:val="00AC04AE"/>
    <w:rsid w:val="00AC22AD"/>
    <w:rsid w:val="00AC36FC"/>
    <w:rsid w:val="00AC37DC"/>
    <w:rsid w:val="00AC7355"/>
    <w:rsid w:val="00AD1903"/>
    <w:rsid w:val="00AD1C5A"/>
    <w:rsid w:val="00AD3A9B"/>
    <w:rsid w:val="00AD4107"/>
    <w:rsid w:val="00AD5653"/>
    <w:rsid w:val="00AD76F9"/>
    <w:rsid w:val="00AD787F"/>
    <w:rsid w:val="00AE0F88"/>
    <w:rsid w:val="00AE3C53"/>
    <w:rsid w:val="00AE4621"/>
    <w:rsid w:val="00AE5140"/>
    <w:rsid w:val="00AE5D4F"/>
    <w:rsid w:val="00AE5FAA"/>
    <w:rsid w:val="00AF5793"/>
    <w:rsid w:val="00AF5FE2"/>
    <w:rsid w:val="00AF6235"/>
    <w:rsid w:val="00B007DC"/>
    <w:rsid w:val="00B0111B"/>
    <w:rsid w:val="00B03311"/>
    <w:rsid w:val="00B04B6B"/>
    <w:rsid w:val="00B05DDF"/>
    <w:rsid w:val="00B1236D"/>
    <w:rsid w:val="00B14470"/>
    <w:rsid w:val="00B167E1"/>
    <w:rsid w:val="00B20EA9"/>
    <w:rsid w:val="00B22D2F"/>
    <w:rsid w:val="00B22EF0"/>
    <w:rsid w:val="00B27C3E"/>
    <w:rsid w:val="00B30367"/>
    <w:rsid w:val="00B306E5"/>
    <w:rsid w:val="00B31321"/>
    <w:rsid w:val="00B32E3F"/>
    <w:rsid w:val="00B335BB"/>
    <w:rsid w:val="00B346EF"/>
    <w:rsid w:val="00B3656D"/>
    <w:rsid w:val="00B36F20"/>
    <w:rsid w:val="00B37F26"/>
    <w:rsid w:val="00B462E4"/>
    <w:rsid w:val="00B463BD"/>
    <w:rsid w:val="00B50EBD"/>
    <w:rsid w:val="00B54C49"/>
    <w:rsid w:val="00B55A24"/>
    <w:rsid w:val="00B55B01"/>
    <w:rsid w:val="00B5658A"/>
    <w:rsid w:val="00B57D4B"/>
    <w:rsid w:val="00B6233C"/>
    <w:rsid w:val="00B628A4"/>
    <w:rsid w:val="00B63245"/>
    <w:rsid w:val="00B64484"/>
    <w:rsid w:val="00B652F1"/>
    <w:rsid w:val="00B65585"/>
    <w:rsid w:val="00B6729E"/>
    <w:rsid w:val="00B720D9"/>
    <w:rsid w:val="00B72CB0"/>
    <w:rsid w:val="00B731B4"/>
    <w:rsid w:val="00B73F97"/>
    <w:rsid w:val="00B75A9A"/>
    <w:rsid w:val="00B766CB"/>
    <w:rsid w:val="00B77452"/>
    <w:rsid w:val="00B80E1F"/>
    <w:rsid w:val="00B81FC5"/>
    <w:rsid w:val="00B84D59"/>
    <w:rsid w:val="00B85499"/>
    <w:rsid w:val="00B8615D"/>
    <w:rsid w:val="00B86BC1"/>
    <w:rsid w:val="00B87194"/>
    <w:rsid w:val="00B874D6"/>
    <w:rsid w:val="00B90CB6"/>
    <w:rsid w:val="00B94FAC"/>
    <w:rsid w:val="00B95AAA"/>
    <w:rsid w:val="00B96998"/>
    <w:rsid w:val="00BA0B27"/>
    <w:rsid w:val="00BA165A"/>
    <w:rsid w:val="00BA26BC"/>
    <w:rsid w:val="00BA322E"/>
    <w:rsid w:val="00BA54F3"/>
    <w:rsid w:val="00BA6021"/>
    <w:rsid w:val="00BA68A7"/>
    <w:rsid w:val="00BA6D79"/>
    <w:rsid w:val="00BB2177"/>
    <w:rsid w:val="00BB410A"/>
    <w:rsid w:val="00BB4F5D"/>
    <w:rsid w:val="00BB5571"/>
    <w:rsid w:val="00BB5C92"/>
    <w:rsid w:val="00BB5CDE"/>
    <w:rsid w:val="00BB6B59"/>
    <w:rsid w:val="00BB6E2E"/>
    <w:rsid w:val="00BB7709"/>
    <w:rsid w:val="00BC0299"/>
    <w:rsid w:val="00BC14D8"/>
    <w:rsid w:val="00BC3FD1"/>
    <w:rsid w:val="00BC4BAB"/>
    <w:rsid w:val="00BC4BE6"/>
    <w:rsid w:val="00BC546C"/>
    <w:rsid w:val="00BC6E1F"/>
    <w:rsid w:val="00BD11B7"/>
    <w:rsid w:val="00BD17CD"/>
    <w:rsid w:val="00BD3197"/>
    <w:rsid w:val="00BD6C8B"/>
    <w:rsid w:val="00BD7020"/>
    <w:rsid w:val="00BD7056"/>
    <w:rsid w:val="00BD70D8"/>
    <w:rsid w:val="00BD7509"/>
    <w:rsid w:val="00BE0274"/>
    <w:rsid w:val="00BE0B02"/>
    <w:rsid w:val="00BE2985"/>
    <w:rsid w:val="00BE4744"/>
    <w:rsid w:val="00BE6021"/>
    <w:rsid w:val="00BE6350"/>
    <w:rsid w:val="00BE6E5D"/>
    <w:rsid w:val="00BF0709"/>
    <w:rsid w:val="00BF0B68"/>
    <w:rsid w:val="00BF18B8"/>
    <w:rsid w:val="00BF2206"/>
    <w:rsid w:val="00BF40BD"/>
    <w:rsid w:val="00BF5D87"/>
    <w:rsid w:val="00BF675C"/>
    <w:rsid w:val="00BF7C8E"/>
    <w:rsid w:val="00BF7CC4"/>
    <w:rsid w:val="00C01B59"/>
    <w:rsid w:val="00C01C76"/>
    <w:rsid w:val="00C02A6A"/>
    <w:rsid w:val="00C10BC3"/>
    <w:rsid w:val="00C11569"/>
    <w:rsid w:val="00C150B2"/>
    <w:rsid w:val="00C1599A"/>
    <w:rsid w:val="00C15A7D"/>
    <w:rsid w:val="00C17302"/>
    <w:rsid w:val="00C205C8"/>
    <w:rsid w:val="00C20A85"/>
    <w:rsid w:val="00C21BD8"/>
    <w:rsid w:val="00C21E04"/>
    <w:rsid w:val="00C2368C"/>
    <w:rsid w:val="00C24C12"/>
    <w:rsid w:val="00C25B4C"/>
    <w:rsid w:val="00C308BA"/>
    <w:rsid w:val="00C3096D"/>
    <w:rsid w:val="00C312D9"/>
    <w:rsid w:val="00C32DBF"/>
    <w:rsid w:val="00C32FD3"/>
    <w:rsid w:val="00C330D4"/>
    <w:rsid w:val="00C331F9"/>
    <w:rsid w:val="00C34806"/>
    <w:rsid w:val="00C403BF"/>
    <w:rsid w:val="00C420C5"/>
    <w:rsid w:val="00C43EE1"/>
    <w:rsid w:val="00C44066"/>
    <w:rsid w:val="00C47E6D"/>
    <w:rsid w:val="00C51554"/>
    <w:rsid w:val="00C51CF6"/>
    <w:rsid w:val="00C629BC"/>
    <w:rsid w:val="00C63BFF"/>
    <w:rsid w:val="00C710A1"/>
    <w:rsid w:val="00C719D1"/>
    <w:rsid w:val="00C75EEB"/>
    <w:rsid w:val="00C77FC6"/>
    <w:rsid w:val="00C8448C"/>
    <w:rsid w:val="00C87F60"/>
    <w:rsid w:val="00C90918"/>
    <w:rsid w:val="00C928AB"/>
    <w:rsid w:val="00C95928"/>
    <w:rsid w:val="00C95F53"/>
    <w:rsid w:val="00C9627C"/>
    <w:rsid w:val="00C96665"/>
    <w:rsid w:val="00C971E2"/>
    <w:rsid w:val="00CA076B"/>
    <w:rsid w:val="00CA1BC9"/>
    <w:rsid w:val="00CA1FA6"/>
    <w:rsid w:val="00CA46FD"/>
    <w:rsid w:val="00CA5450"/>
    <w:rsid w:val="00CA5F16"/>
    <w:rsid w:val="00CB096F"/>
    <w:rsid w:val="00CB0F81"/>
    <w:rsid w:val="00CB1232"/>
    <w:rsid w:val="00CB1BEF"/>
    <w:rsid w:val="00CB5D27"/>
    <w:rsid w:val="00CB6395"/>
    <w:rsid w:val="00CC49BA"/>
    <w:rsid w:val="00CC4B56"/>
    <w:rsid w:val="00CC5F77"/>
    <w:rsid w:val="00CC6D57"/>
    <w:rsid w:val="00CD0C58"/>
    <w:rsid w:val="00CD34C8"/>
    <w:rsid w:val="00CD6237"/>
    <w:rsid w:val="00CE5024"/>
    <w:rsid w:val="00CE605D"/>
    <w:rsid w:val="00CE7403"/>
    <w:rsid w:val="00CE7FDE"/>
    <w:rsid w:val="00CF19FC"/>
    <w:rsid w:val="00CF5176"/>
    <w:rsid w:val="00CF6661"/>
    <w:rsid w:val="00CF6F8E"/>
    <w:rsid w:val="00CF6F9C"/>
    <w:rsid w:val="00D01CF8"/>
    <w:rsid w:val="00D023CD"/>
    <w:rsid w:val="00D02B42"/>
    <w:rsid w:val="00D03E9F"/>
    <w:rsid w:val="00D049E5"/>
    <w:rsid w:val="00D04C37"/>
    <w:rsid w:val="00D0590D"/>
    <w:rsid w:val="00D05F2C"/>
    <w:rsid w:val="00D0632B"/>
    <w:rsid w:val="00D0736F"/>
    <w:rsid w:val="00D1007B"/>
    <w:rsid w:val="00D10727"/>
    <w:rsid w:val="00D14C49"/>
    <w:rsid w:val="00D15A12"/>
    <w:rsid w:val="00D20283"/>
    <w:rsid w:val="00D2087B"/>
    <w:rsid w:val="00D21695"/>
    <w:rsid w:val="00D24274"/>
    <w:rsid w:val="00D25A21"/>
    <w:rsid w:val="00D33835"/>
    <w:rsid w:val="00D3540A"/>
    <w:rsid w:val="00D36127"/>
    <w:rsid w:val="00D361A8"/>
    <w:rsid w:val="00D36624"/>
    <w:rsid w:val="00D36CE3"/>
    <w:rsid w:val="00D3788F"/>
    <w:rsid w:val="00D429DB"/>
    <w:rsid w:val="00D44038"/>
    <w:rsid w:val="00D446C1"/>
    <w:rsid w:val="00D458C3"/>
    <w:rsid w:val="00D469B9"/>
    <w:rsid w:val="00D52567"/>
    <w:rsid w:val="00D57004"/>
    <w:rsid w:val="00D577FC"/>
    <w:rsid w:val="00D61340"/>
    <w:rsid w:val="00D61341"/>
    <w:rsid w:val="00D61BA2"/>
    <w:rsid w:val="00D63163"/>
    <w:rsid w:val="00D63F94"/>
    <w:rsid w:val="00D64A12"/>
    <w:rsid w:val="00D65BCC"/>
    <w:rsid w:val="00D66CD5"/>
    <w:rsid w:val="00D673D6"/>
    <w:rsid w:val="00D67AE0"/>
    <w:rsid w:val="00D67F57"/>
    <w:rsid w:val="00D67FDE"/>
    <w:rsid w:val="00D70709"/>
    <w:rsid w:val="00D74857"/>
    <w:rsid w:val="00D802F8"/>
    <w:rsid w:val="00D81B67"/>
    <w:rsid w:val="00D834CE"/>
    <w:rsid w:val="00D83C80"/>
    <w:rsid w:val="00D86F14"/>
    <w:rsid w:val="00D90113"/>
    <w:rsid w:val="00D910B3"/>
    <w:rsid w:val="00D94094"/>
    <w:rsid w:val="00D947DD"/>
    <w:rsid w:val="00D95E99"/>
    <w:rsid w:val="00D9624A"/>
    <w:rsid w:val="00D962EE"/>
    <w:rsid w:val="00D97441"/>
    <w:rsid w:val="00DA03C5"/>
    <w:rsid w:val="00DA3CF3"/>
    <w:rsid w:val="00DA5A64"/>
    <w:rsid w:val="00DA6C2E"/>
    <w:rsid w:val="00DB2EC1"/>
    <w:rsid w:val="00DB376C"/>
    <w:rsid w:val="00DB43F0"/>
    <w:rsid w:val="00DB4E0E"/>
    <w:rsid w:val="00DB67C9"/>
    <w:rsid w:val="00DB72BE"/>
    <w:rsid w:val="00DB7CC4"/>
    <w:rsid w:val="00DC0473"/>
    <w:rsid w:val="00DC09C4"/>
    <w:rsid w:val="00DC2376"/>
    <w:rsid w:val="00DC273A"/>
    <w:rsid w:val="00DC3FDE"/>
    <w:rsid w:val="00DC436E"/>
    <w:rsid w:val="00DC4892"/>
    <w:rsid w:val="00DC6D1E"/>
    <w:rsid w:val="00DD31CE"/>
    <w:rsid w:val="00DD4430"/>
    <w:rsid w:val="00DD4B21"/>
    <w:rsid w:val="00DD4E06"/>
    <w:rsid w:val="00DD5856"/>
    <w:rsid w:val="00DD682F"/>
    <w:rsid w:val="00DD6E76"/>
    <w:rsid w:val="00DE0022"/>
    <w:rsid w:val="00DE0CDC"/>
    <w:rsid w:val="00DE0D62"/>
    <w:rsid w:val="00DE3AC4"/>
    <w:rsid w:val="00DE57DE"/>
    <w:rsid w:val="00DE5F58"/>
    <w:rsid w:val="00DE682D"/>
    <w:rsid w:val="00DF3A10"/>
    <w:rsid w:val="00DF439C"/>
    <w:rsid w:val="00E01D4B"/>
    <w:rsid w:val="00E03FE5"/>
    <w:rsid w:val="00E0760D"/>
    <w:rsid w:val="00E100F4"/>
    <w:rsid w:val="00E12353"/>
    <w:rsid w:val="00E12CFE"/>
    <w:rsid w:val="00E13235"/>
    <w:rsid w:val="00E15B30"/>
    <w:rsid w:val="00E16882"/>
    <w:rsid w:val="00E17F8B"/>
    <w:rsid w:val="00E200C1"/>
    <w:rsid w:val="00E2080A"/>
    <w:rsid w:val="00E23127"/>
    <w:rsid w:val="00E26E5E"/>
    <w:rsid w:val="00E30DB7"/>
    <w:rsid w:val="00E30EF5"/>
    <w:rsid w:val="00E32DBC"/>
    <w:rsid w:val="00E34413"/>
    <w:rsid w:val="00E34859"/>
    <w:rsid w:val="00E3500F"/>
    <w:rsid w:val="00E36B20"/>
    <w:rsid w:val="00E4290C"/>
    <w:rsid w:val="00E4395A"/>
    <w:rsid w:val="00E43DA4"/>
    <w:rsid w:val="00E44468"/>
    <w:rsid w:val="00E4676C"/>
    <w:rsid w:val="00E50167"/>
    <w:rsid w:val="00E501DF"/>
    <w:rsid w:val="00E51861"/>
    <w:rsid w:val="00E53007"/>
    <w:rsid w:val="00E544FE"/>
    <w:rsid w:val="00E54B01"/>
    <w:rsid w:val="00E54FE1"/>
    <w:rsid w:val="00E56672"/>
    <w:rsid w:val="00E5763E"/>
    <w:rsid w:val="00E61FEC"/>
    <w:rsid w:val="00E668F4"/>
    <w:rsid w:val="00E67BAD"/>
    <w:rsid w:val="00E67C02"/>
    <w:rsid w:val="00E67F69"/>
    <w:rsid w:val="00E705FF"/>
    <w:rsid w:val="00E71C96"/>
    <w:rsid w:val="00E72BED"/>
    <w:rsid w:val="00E74FE1"/>
    <w:rsid w:val="00E75F0D"/>
    <w:rsid w:val="00E76C21"/>
    <w:rsid w:val="00E77774"/>
    <w:rsid w:val="00E824D8"/>
    <w:rsid w:val="00E826B3"/>
    <w:rsid w:val="00E8309E"/>
    <w:rsid w:val="00E836A4"/>
    <w:rsid w:val="00E83D6D"/>
    <w:rsid w:val="00E84592"/>
    <w:rsid w:val="00E849BF"/>
    <w:rsid w:val="00E85A17"/>
    <w:rsid w:val="00E9051C"/>
    <w:rsid w:val="00E93228"/>
    <w:rsid w:val="00E93A97"/>
    <w:rsid w:val="00E9484A"/>
    <w:rsid w:val="00E97A59"/>
    <w:rsid w:val="00E97B03"/>
    <w:rsid w:val="00EA09F5"/>
    <w:rsid w:val="00EA0A14"/>
    <w:rsid w:val="00EA29A4"/>
    <w:rsid w:val="00EB21FB"/>
    <w:rsid w:val="00EB221C"/>
    <w:rsid w:val="00EC5AF8"/>
    <w:rsid w:val="00EC6413"/>
    <w:rsid w:val="00EC6CF2"/>
    <w:rsid w:val="00ED110A"/>
    <w:rsid w:val="00ED4427"/>
    <w:rsid w:val="00ED464A"/>
    <w:rsid w:val="00ED6C38"/>
    <w:rsid w:val="00ED7573"/>
    <w:rsid w:val="00ED7686"/>
    <w:rsid w:val="00EE295C"/>
    <w:rsid w:val="00EE2E94"/>
    <w:rsid w:val="00EE3817"/>
    <w:rsid w:val="00EE693D"/>
    <w:rsid w:val="00EF0711"/>
    <w:rsid w:val="00EF100C"/>
    <w:rsid w:val="00EF617F"/>
    <w:rsid w:val="00EF6BFB"/>
    <w:rsid w:val="00EF722C"/>
    <w:rsid w:val="00F0153E"/>
    <w:rsid w:val="00F04F18"/>
    <w:rsid w:val="00F05F68"/>
    <w:rsid w:val="00F074C3"/>
    <w:rsid w:val="00F106F0"/>
    <w:rsid w:val="00F10AD3"/>
    <w:rsid w:val="00F11642"/>
    <w:rsid w:val="00F12071"/>
    <w:rsid w:val="00F126D2"/>
    <w:rsid w:val="00F15B30"/>
    <w:rsid w:val="00F1679B"/>
    <w:rsid w:val="00F2152D"/>
    <w:rsid w:val="00F2392A"/>
    <w:rsid w:val="00F25378"/>
    <w:rsid w:val="00F25609"/>
    <w:rsid w:val="00F26D84"/>
    <w:rsid w:val="00F27941"/>
    <w:rsid w:val="00F31CA2"/>
    <w:rsid w:val="00F32EA9"/>
    <w:rsid w:val="00F33246"/>
    <w:rsid w:val="00F336D6"/>
    <w:rsid w:val="00F34047"/>
    <w:rsid w:val="00F34E59"/>
    <w:rsid w:val="00F3784D"/>
    <w:rsid w:val="00F37B47"/>
    <w:rsid w:val="00F408F6"/>
    <w:rsid w:val="00F40C7E"/>
    <w:rsid w:val="00F40D7A"/>
    <w:rsid w:val="00F42AEA"/>
    <w:rsid w:val="00F43B31"/>
    <w:rsid w:val="00F4630F"/>
    <w:rsid w:val="00F472BE"/>
    <w:rsid w:val="00F5059B"/>
    <w:rsid w:val="00F50C5F"/>
    <w:rsid w:val="00F51965"/>
    <w:rsid w:val="00F52D20"/>
    <w:rsid w:val="00F556DF"/>
    <w:rsid w:val="00F56398"/>
    <w:rsid w:val="00F602FA"/>
    <w:rsid w:val="00F64C44"/>
    <w:rsid w:val="00F673DD"/>
    <w:rsid w:val="00F673DF"/>
    <w:rsid w:val="00F67CE8"/>
    <w:rsid w:val="00F70E0D"/>
    <w:rsid w:val="00F713B9"/>
    <w:rsid w:val="00F71A1F"/>
    <w:rsid w:val="00F7540F"/>
    <w:rsid w:val="00F801CB"/>
    <w:rsid w:val="00F806B9"/>
    <w:rsid w:val="00F82ED1"/>
    <w:rsid w:val="00F850F3"/>
    <w:rsid w:val="00F8548B"/>
    <w:rsid w:val="00F86287"/>
    <w:rsid w:val="00F869D0"/>
    <w:rsid w:val="00F87F28"/>
    <w:rsid w:val="00F91C04"/>
    <w:rsid w:val="00F94BD1"/>
    <w:rsid w:val="00F961B1"/>
    <w:rsid w:val="00F9648B"/>
    <w:rsid w:val="00F968A1"/>
    <w:rsid w:val="00F97D09"/>
    <w:rsid w:val="00FA372E"/>
    <w:rsid w:val="00FA5342"/>
    <w:rsid w:val="00FA6B81"/>
    <w:rsid w:val="00FA6FB5"/>
    <w:rsid w:val="00FA7F7D"/>
    <w:rsid w:val="00FB1014"/>
    <w:rsid w:val="00FB1732"/>
    <w:rsid w:val="00FB304E"/>
    <w:rsid w:val="00FB3D47"/>
    <w:rsid w:val="00FB4601"/>
    <w:rsid w:val="00FB54A6"/>
    <w:rsid w:val="00FB77DC"/>
    <w:rsid w:val="00FC0DFB"/>
    <w:rsid w:val="00FC1091"/>
    <w:rsid w:val="00FC1B34"/>
    <w:rsid w:val="00FC2E5B"/>
    <w:rsid w:val="00FC3CFF"/>
    <w:rsid w:val="00FC52E7"/>
    <w:rsid w:val="00FC6E35"/>
    <w:rsid w:val="00FC7C55"/>
    <w:rsid w:val="00FD0FF2"/>
    <w:rsid w:val="00FD10BA"/>
    <w:rsid w:val="00FD1B70"/>
    <w:rsid w:val="00FD3A4D"/>
    <w:rsid w:val="00FD486E"/>
    <w:rsid w:val="00FD6575"/>
    <w:rsid w:val="00FE0D71"/>
    <w:rsid w:val="00FE1837"/>
    <w:rsid w:val="00FE3E11"/>
    <w:rsid w:val="00FE4EB7"/>
    <w:rsid w:val="00FE7FBE"/>
    <w:rsid w:val="00FF01F6"/>
    <w:rsid w:val="00FF072D"/>
    <w:rsid w:val="00FF1189"/>
    <w:rsid w:val="00FF2396"/>
    <w:rsid w:val="00FF52EB"/>
    <w:rsid w:val="00FF79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aeaea,#005daa,#13b5ea,#c9c1b8,#ebd722,#002b5c,black,#808184"/>
    </o:shapedefaults>
    <o:shapelayout v:ext="edit">
      <o:idmap v:ext="edit" data="2"/>
    </o:shapelayout>
  </w:shapeDefaults>
  <w:doNotEmbedSmartTags/>
  <w:decimalSymbol w:val="."/>
  <w:listSeparator w:val=","/>
  <w14:docId w14:val="4E278BDE"/>
  <w15:docId w15:val="{9CC9375E-68CE-4976-A676-F2061FC7C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4290C"/>
    <w:pPr>
      <w:adjustRightInd w:val="0"/>
      <w:spacing w:before="180" w:after="180" w:line="240" w:lineRule="atLeast"/>
    </w:pPr>
    <w:rPr>
      <w:rFonts w:ascii="Arial" w:eastAsia="MS Mincho" w:hAnsi="Arial"/>
      <w:kern w:val="16"/>
      <w:lang w:eastAsia="ja-JP"/>
    </w:rPr>
  </w:style>
  <w:style w:type="paragraph" w:styleId="Heading1">
    <w:name w:val="heading 1"/>
    <w:basedOn w:val="Normal"/>
    <w:next w:val="BodyText"/>
    <w:link w:val="Heading1Char"/>
    <w:qFormat/>
    <w:rsid w:val="00E4290C"/>
    <w:pPr>
      <w:keepLines/>
      <w:pageBreakBefore/>
      <w:pBdr>
        <w:bottom w:val="single" w:sz="2" w:space="2" w:color="003263"/>
      </w:pBdr>
      <w:spacing w:before="0" w:after="1080" w:line="360" w:lineRule="atLeast"/>
      <w:outlineLvl w:val="0"/>
    </w:pPr>
    <w:rPr>
      <w:color w:val="003263"/>
      <w:sz w:val="32"/>
      <w:szCs w:val="32"/>
    </w:rPr>
  </w:style>
  <w:style w:type="paragraph" w:styleId="Heading2">
    <w:name w:val="heading 2"/>
    <w:basedOn w:val="Heading1"/>
    <w:next w:val="BodyText"/>
    <w:link w:val="Heading2Char"/>
    <w:qFormat/>
    <w:rsid w:val="00E4290C"/>
    <w:pPr>
      <w:pageBreakBefore w:val="0"/>
      <w:pBdr>
        <w:bottom w:val="none" w:sz="0" w:space="0" w:color="auto"/>
      </w:pBdr>
      <w:spacing w:before="360" w:after="80" w:line="240" w:lineRule="auto"/>
      <w:outlineLvl w:val="1"/>
    </w:pPr>
    <w:rPr>
      <w:color w:val="0060A9"/>
      <w:sz w:val="25"/>
      <w:szCs w:val="25"/>
    </w:rPr>
  </w:style>
  <w:style w:type="paragraph" w:styleId="Heading3">
    <w:name w:val="heading 3"/>
    <w:basedOn w:val="Heading2"/>
    <w:next w:val="BodyText"/>
    <w:qFormat/>
    <w:rsid w:val="00E4290C"/>
    <w:pPr>
      <w:outlineLvl w:val="2"/>
    </w:pPr>
    <w:rPr>
      <w:sz w:val="23"/>
      <w:szCs w:val="23"/>
    </w:rPr>
  </w:style>
  <w:style w:type="paragraph" w:styleId="Heading4">
    <w:name w:val="heading 4"/>
    <w:basedOn w:val="Heading3"/>
    <w:next w:val="BodyText"/>
    <w:qFormat/>
    <w:rsid w:val="00E4290C"/>
    <w:pPr>
      <w:outlineLvl w:val="3"/>
    </w:pPr>
    <w:rPr>
      <w:sz w:val="21"/>
    </w:rPr>
  </w:style>
  <w:style w:type="paragraph" w:styleId="Heading5">
    <w:name w:val="heading 5"/>
    <w:basedOn w:val="Heading4"/>
    <w:next w:val="BodyText"/>
    <w:qFormat/>
    <w:rsid w:val="00E4290C"/>
    <w:pPr>
      <w:outlineLvl w:val="4"/>
    </w:pPr>
    <w:rPr>
      <w:b/>
      <w:sz w:val="20"/>
    </w:rPr>
  </w:style>
  <w:style w:type="paragraph" w:styleId="Heading6">
    <w:name w:val="heading 6"/>
    <w:basedOn w:val="Heading5"/>
    <w:next w:val="BodyText"/>
    <w:qFormat/>
    <w:rsid w:val="00E4290C"/>
    <w:pPr>
      <w:outlineLvl w:val="5"/>
    </w:pPr>
    <w:rPr>
      <w:bCs/>
      <w:sz w:val="18"/>
      <w:szCs w:val="18"/>
    </w:rPr>
  </w:style>
  <w:style w:type="paragraph" w:styleId="Heading7">
    <w:name w:val="heading 7"/>
    <w:basedOn w:val="Heading5"/>
    <w:next w:val="Normal"/>
    <w:qFormat/>
    <w:rsid w:val="00E4290C"/>
    <w:pPr>
      <w:outlineLvl w:val="6"/>
    </w:pPr>
  </w:style>
  <w:style w:type="paragraph" w:styleId="Heading8">
    <w:name w:val="heading 8"/>
    <w:basedOn w:val="Heading4"/>
    <w:next w:val="Heading9"/>
    <w:qFormat/>
    <w:rsid w:val="00E4290C"/>
    <w:pPr>
      <w:numPr>
        <w:ilvl w:val="7"/>
        <w:numId w:val="4"/>
      </w:numPr>
      <w:outlineLvl w:val="7"/>
    </w:pPr>
    <w:rPr>
      <w:iCs/>
    </w:rPr>
  </w:style>
  <w:style w:type="paragraph" w:styleId="Heading9">
    <w:name w:val="heading 9"/>
    <w:basedOn w:val="Heading7"/>
    <w:next w:val="Normal"/>
    <w:qFormat/>
    <w:rsid w:val="00E4290C"/>
    <w:pPr>
      <w:outlineLvl w:val="8"/>
    </w:pPr>
    <w:rPr>
      <w:rFonts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E4290C"/>
    <w:rPr>
      <w:rFonts w:ascii="Tahoma" w:hAnsi="Tahoma" w:cs="Tahoma"/>
      <w:sz w:val="16"/>
      <w:szCs w:val="16"/>
    </w:rPr>
  </w:style>
  <w:style w:type="paragraph" w:styleId="Caption">
    <w:name w:val="caption"/>
    <w:basedOn w:val="Normal"/>
    <w:next w:val="Normal"/>
    <w:qFormat/>
    <w:rsid w:val="00E4290C"/>
    <w:pPr>
      <w:spacing w:before="120"/>
    </w:pPr>
    <w:rPr>
      <w:b/>
      <w:bCs/>
    </w:rPr>
  </w:style>
  <w:style w:type="character" w:styleId="CommentReference">
    <w:name w:val="annotation reference"/>
    <w:basedOn w:val="DefaultParagraphFont"/>
    <w:semiHidden/>
    <w:rsid w:val="00E4290C"/>
    <w:rPr>
      <w:rFonts w:ascii="Arial" w:hAnsi="Arial"/>
      <w:kern w:val="0"/>
      <w:sz w:val="16"/>
      <w:szCs w:val="16"/>
      <w:lang w:val="en-GB"/>
    </w:rPr>
  </w:style>
  <w:style w:type="paragraph" w:styleId="CommentText">
    <w:name w:val="annotation text"/>
    <w:basedOn w:val="Normal"/>
    <w:semiHidden/>
    <w:rsid w:val="00E4290C"/>
  </w:style>
  <w:style w:type="paragraph" w:styleId="CommentSubject">
    <w:name w:val="annotation subject"/>
    <w:basedOn w:val="CommentText"/>
    <w:next w:val="CommentText"/>
    <w:semiHidden/>
    <w:rsid w:val="00E4290C"/>
    <w:rPr>
      <w:b/>
      <w:bCs/>
    </w:rPr>
  </w:style>
  <w:style w:type="paragraph" w:styleId="DocumentMap">
    <w:name w:val="Document Map"/>
    <w:basedOn w:val="Normal"/>
    <w:semiHidden/>
    <w:rsid w:val="00E4290C"/>
    <w:pPr>
      <w:shd w:val="clear" w:color="auto" w:fill="000080"/>
    </w:pPr>
    <w:rPr>
      <w:rFonts w:ascii="Tahoma" w:hAnsi="Tahoma" w:cs="Tahoma"/>
    </w:rPr>
  </w:style>
  <w:style w:type="character" w:styleId="EndnoteReference">
    <w:name w:val="endnote reference"/>
    <w:basedOn w:val="DefaultParagraphFont"/>
    <w:semiHidden/>
    <w:rsid w:val="00E4290C"/>
    <w:rPr>
      <w:vertAlign w:val="superscript"/>
      <w:lang w:val="en-GB"/>
    </w:rPr>
  </w:style>
  <w:style w:type="paragraph" w:styleId="EndnoteText">
    <w:name w:val="endnote text"/>
    <w:basedOn w:val="Normal"/>
    <w:semiHidden/>
    <w:rsid w:val="00E4290C"/>
  </w:style>
  <w:style w:type="paragraph" w:styleId="Header">
    <w:name w:val="header"/>
    <w:basedOn w:val="Normal"/>
    <w:semiHidden/>
    <w:rsid w:val="00E4290C"/>
    <w:pPr>
      <w:tabs>
        <w:tab w:val="center" w:pos="4320"/>
        <w:tab w:val="right" w:pos="8640"/>
      </w:tabs>
    </w:pPr>
  </w:style>
  <w:style w:type="paragraph" w:styleId="Footer">
    <w:name w:val="footer"/>
    <w:basedOn w:val="Normal"/>
    <w:link w:val="FooterChar"/>
    <w:rsid w:val="00887BA1"/>
    <w:pPr>
      <w:tabs>
        <w:tab w:val="right" w:pos="8944"/>
      </w:tabs>
      <w:adjustRightInd/>
      <w:spacing w:before="0" w:after="60" w:line="240" w:lineRule="auto"/>
    </w:pPr>
    <w:rPr>
      <w:caps/>
      <w:noProof/>
      <w:snapToGrid w:val="0"/>
      <w:color w:val="003263"/>
      <w:spacing w:val="20"/>
      <w:kern w:val="12"/>
      <w:sz w:val="12"/>
      <w:szCs w:val="12"/>
    </w:rPr>
  </w:style>
  <w:style w:type="paragraph" w:styleId="Index1">
    <w:name w:val="index 1"/>
    <w:basedOn w:val="Normal"/>
    <w:next w:val="Normal"/>
    <w:semiHidden/>
    <w:rsid w:val="00E4290C"/>
    <w:pPr>
      <w:ind w:left="240" w:hanging="240"/>
    </w:pPr>
  </w:style>
  <w:style w:type="paragraph" w:styleId="Index2">
    <w:name w:val="index 2"/>
    <w:basedOn w:val="Normal"/>
    <w:next w:val="Normal"/>
    <w:semiHidden/>
    <w:rsid w:val="00E4290C"/>
    <w:pPr>
      <w:ind w:left="480" w:hanging="240"/>
    </w:pPr>
  </w:style>
  <w:style w:type="paragraph" w:styleId="Index3">
    <w:name w:val="index 3"/>
    <w:basedOn w:val="Normal"/>
    <w:next w:val="Normal"/>
    <w:semiHidden/>
    <w:rsid w:val="00E4290C"/>
    <w:pPr>
      <w:ind w:left="720" w:hanging="240"/>
    </w:pPr>
  </w:style>
  <w:style w:type="paragraph" w:styleId="Index4">
    <w:name w:val="index 4"/>
    <w:basedOn w:val="Normal"/>
    <w:next w:val="Normal"/>
    <w:semiHidden/>
    <w:rsid w:val="00E4290C"/>
    <w:pPr>
      <w:ind w:left="960" w:hanging="240"/>
    </w:pPr>
  </w:style>
  <w:style w:type="paragraph" w:styleId="Index5">
    <w:name w:val="index 5"/>
    <w:basedOn w:val="Normal"/>
    <w:next w:val="Normal"/>
    <w:semiHidden/>
    <w:rsid w:val="00E4290C"/>
    <w:pPr>
      <w:ind w:left="1200" w:hanging="240"/>
    </w:pPr>
  </w:style>
  <w:style w:type="paragraph" w:styleId="Index6">
    <w:name w:val="index 6"/>
    <w:basedOn w:val="Normal"/>
    <w:next w:val="Normal"/>
    <w:semiHidden/>
    <w:rsid w:val="00E4290C"/>
    <w:pPr>
      <w:ind w:left="1440" w:hanging="240"/>
    </w:pPr>
  </w:style>
  <w:style w:type="paragraph" w:styleId="Index7">
    <w:name w:val="index 7"/>
    <w:basedOn w:val="Normal"/>
    <w:next w:val="Normal"/>
    <w:semiHidden/>
    <w:rsid w:val="00E4290C"/>
    <w:pPr>
      <w:ind w:left="1680" w:hanging="240"/>
    </w:pPr>
  </w:style>
  <w:style w:type="paragraph" w:styleId="Index8">
    <w:name w:val="index 8"/>
    <w:basedOn w:val="Normal"/>
    <w:next w:val="Normal"/>
    <w:semiHidden/>
    <w:rsid w:val="00E4290C"/>
    <w:pPr>
      <w:ind w:left="1920" w:hanging="240"/>
    </w:pPr>
  </w:style>
  <w:style w:type="paragraph" w:styleId="Index9">
    <w:name w:val="index 9"/>
    <w:basedOn w:val="Normal"/>
    <w:next w:val="Normal"/>
    <w:semiHidden/>
    <w:rsid w:val="00E4290C"/>
    <w:pPr>
      <w:ind w:left="2160" w:hanging="240"/>
    </w:pPr>
  </w:style>
  <w:style w:type="paragraph" w:styleId="IndexHeading">
    <w:name w:val="index heading"/>
    <w:basedOn w:val="Normal"/>
    <w:next w:val="Index1"/>
    <w:semiHidden/>
    <w:rsid w:val="00E4290C"/>
    <w:rPr>
      <w:rFonts w:cs="Arial"/>
      <w:b/>
      <w:bCs/>
    </w:rPr>
  </w:style>
  <w:style w:type="paragraph" w:styleId="MacroText">
    <w:name w:val="macro"/>
    <w:semiHidden/>
    <w:rsid w:val="00E4290C"/>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lang w:val="en-GB" w:eastAsia="en-GB"/>
    </w:rPr>
  </w:style>
  <w:style w:type="paragraph" w:styleId="TableofAuthorities">
    <w:name w:val="table of authorities"/>
    <w:basedOn w:val="Normal"/>
    <w:next w:val="Normal"/>
    <w:semiHidden/>
    <w:rsid w:val="00E4290C"/>
    <w:pPr>
      <w:ind w:left="240" w:hanging="240"/>
    </w:pPr>
  </w:style>
  <w:style w:type="paragraph" w:customStyle="1" w:styleId="Draft">
    <w:name w:val="Draft"/>
    <w:basedOn w:val="BodyText"/>
    <w:rsid w:val="00E4290C"/>
    <w:pPr>
      <w:spacing w:after="160"/>
      <w:ind w:left="-101" w:right="-101"/>
      <w:jc w:val="center"/>
    </w:pPr>
    <w:rPr>
      <w:b/>
      <w:color w:val="AAAAAA"/>
      <w:sz w:val="40"/>
      <w:szCs w:val="28"/>
    </w:rPr>
  </w:style>
  <w:style w:type="paragraph" w:styleId="TOAHeading">
    <w:name w:val="toa heading"/>
    <w:basedOn w:val="Normal"/>
    <w:next w:val="Normal"/>
    <w:semiHidden/>
    <w:rsid w:val="00E4290C"/>
    <w:pPr>
      <w:spacing w:before="120"/>
    </w:pPr>
    <w:rPr>
      <w:rFonts w:cs="Arial"/>
      <w:b/>
      <w:bCs/>
    </w:rPr>
  </w:style>
  <w:style w:type="paragraph" w:styleId="TOC1">
    <w:name w:val="toc 1"/>
    <w:basedOn w:val="Normal"/>
    <w:rsid w:val="00E4290C"/>
    <w:pPr>
      <w:tabs>
        <w:tab w:val="left" w:pos="473"/>
        <w:tab w:val="right" w:pos="9761"/>
      </w:tabs>
      <w:spacing w:before="480" w:after="120"/>
      <w:ind w:left="45" w:right="28"/>
    </w:pPr>
    <w:rPr>
      <w:rFonts w:cs="Arial"/>
      <w:noProof/>
      <w:color w:val="003263"/>
      <w:sz w:val="22"/>
      <w:szCs w:val="22"/>
    </w:rPr>
  </w:style>
  <w:style w:type="paragraph" w:styleId="TOC2">
    <w:name w:val="toc 2"/>
    <w:basedOn w:val="Normal"/>
    <w:rsid w:val="00E4290C"/>
    <w:pPr>
      <w:tabs>
        <w:tab w:val="left" w:pos="1032"/>
        <w:tab w:val="right" w:pos="9761"/>
      </w:tabs>
      <w:spacing w:before="60" w:after="120" w:line="200" w:lineRule="atLeast"/>
      <w:ind w:left="516" w:right="-6"/>
    </w:pPr>
    <w:rPr>
      <w:rFonts w:cs="Arial"/>
      <w:noProof/>
      <w:color w:val="0060A9"/>
      <w:sz w:val="21"/>
      <w:szCs w:val="21"/>
      <w:lang w:val="en-CA"/>
    </w:rPr>
  </w:style>
  <w:style w:type="paragraph" w:styleId="TOC3">
    <w:name w:val="toc 3"/>
    <w:basedOn w:val="TOC2"/>
    <w:rsid w:val="00E4290C"/>
    <w:pPr>
      <w:tabs>
        <w:tab w:val="clear" w:pos="1032"/>
        <w:tab w:val="left" w:pos="1806"/>
      </w:tabs>
      <w:ind w:left="1049"/>
    </w:pPr>
  </w:style>
  <w:style w:type="paragraph" w:styleId="TOC4">
    <w:name w:val="toc 4"/>
    <w:basedOn w:val="TOC3"/>
    <w:next w:val="Normal"/>
    <w:semiHidden/>
    <w:rsid w:val="00E4290C"/>
  </w:style>
  <w:style w:type="paragraph" w:styleId="TOC5">
    <w:name w:val="toc 5"/>
    <w:basedOn w:val="TOC4"/>
    <w:next w:val="Normal"/>
    <w:semiHidden/>
    <w:rsid w:val="00E4290C"/>
  </w:style>
  <w:style w:type="paragraph" w:styleId="TOC6">
    <w:name w:val="toc 6"/>
    <w:basedOn w:val="Normal"/>
    <w:next w:val="Normal"/>
    <w:semiHidden/>
    <w:rsid w:val="00E4290C"/>
    <w:pPr>
      <w:tabs>
        <w:tab w:val="right" w:leader="dot" w:pos="9019"/>
      </w:tabs>
      <w:ind w:left="1300"/>
    </w:pPr>
    <w:rPr>
      <w:noProof/>
    </w:rPr>
  </w:style>
  <w:style w:type="paragraph" w:styleId="TOC7">
    <w:name w:val="toc 7"/>
    <w:basedOn w:val="Normal"/>
    <w:next w:val="Normal"/>
    <w:semiHidden/>
    <w:rsid w:val="00E4290C"/>
    <w:pPr>
      <w:ind w:left="1200"/>
    </w:pPr>
  </w:style>
  <w:style w:type="paragraph" w:styleId="TOC8">
    <w:name w:val="toc 8"/>
    <w:basedOn w:val="Normal"/>
    <w:next w:val="Normal"/>
    <w:semiHidden/>
    <w:rsid w:val="00E4290C"/>
    <w:pPr>
      <w:ind w:left="1400"/>
    </w:pPr>
  </w:style>
  <w:style w:type="paragraph" w:styleId="TOC9">
    <w:name w:val="toc 9"/>
    <w:basedOn w:val="Normal"/>
    <w:next w:val="Normal"/>
    <w:semiHidden/>
    <w:rsid w:val="00E4290C"/>
    <w:pPr>
      <w:ind w:left="1600"/>
    </w:pPr>
  </w:style>
  <w:style w:type="table" w:styleId="TableGrid">
    <w:name w:val="Table Grid"/>
    <w:basedOn w:val="TableNormal"/>
    <w:rsid w:val="00E4290C"/>
    <w:pPr>
      <w:spacing w:line="220" w:lineRule="atLeast"/>
    </w:pPr>
    <w:rPr>
      <w:rFonts w:ascii="Arial" w:hAnsi="Arial"/>
      <w:sz w:val="18"/>
    </w:rPr>
    <w:tblPr>
      <w:tblBorders>
        <w:top w:val="single" w:sz="6" w:space="0" w:color="8499A6"/>
        <w:bottom w:val="single" w:sz="6" w:space="0" w:color="8499A6"/>
        <w:insideH w:val="single" w:sz="6" w:space="0" w:color="8499A6"/>
      </w:tblBorders>
      <w:tblCellMar>
        <w:left w:w="102" w:type="dxa"/>
        <w:right w:w="102" w:type="dxa"/>
      </w:tblCellMar>
    </w:tblPr>
    <w:trPr>
      <w:cantSplit/>
    </w:trPr>
    <w:tcPr>
      <w:shd w:val="clear" w:color="auto" w:fill="auto"/>
    </w:tcPr>
    <w:tblStylePr w:type="firstRow">
      <w:pPr>
        <w:wordWrap/>
        <w:spacing w:beforeLines="0" w:before="0" w:beforeAutospacing="0" w:afterLines="0" w:after="0" w:afterAutospacing="0" w:line="220" w:lineRule="atLeast"/>
        <w:contextualSpacing w:val="0"/>
      </w:pPr>
      <w:rPr>
        <w:rFonts w:ascii="Arial" w:hAnsi="Arial"/>
        <w:b w:val="0"/>
        <w:i w:val="0"/>
        <w:color w:val="auto"/>
        <w:sz w:val="18"/>
      </w:rPr>
      <w:tblPr/>
      <w:trPr>
        <w:cantSplit w:val="0"/>
      </w:trPr>
      <w:tcPr>
        <w:tcBorders>
          <w:top w:val="single" w:sz="2" w:space="0" w:color="8499A6"/>
          <w:left w:val="nil"/>
          <w:bottom w:val="single" w:sz="2" w:space="0" w:color="8499A6"/>
          <w:right w:val="nil"/>
          <w:insideH w:val="single" w:sz="2" w:space="0" w:color="B3C1C9"/>
          <w:insideV w:val="nil"/>
          <w:tl2br w:val="nil"/>
          <w:tr2bl w:val="nil"/>
        </w:tcBorders>
      </w:tcPr>
    </w:tblStylePr>
  </w:style>
  <w:style w:type="table" w:styleId="TableGrid1">
    <w:name w:val="Table Grid 1"/>
    <w:basedOn w:val="TableNormal"/>
    <w:semiHidden/>
    <w:rsid w:val="00E4290C"/>
    <w:rPr>
      <w:rFonts w:ascii="Verdana" w:hAnsi="Verdana"/>
      <w:color w:val="6F6E6F"/>
      <w:sz w:val="18"/>
    </w:rPr>
    <w:tblPr>
      <w:tblBorders>
        <w:top w:val="single" w:sz="6" w:space="0" w:color="6F6E6F"/>
        <w:bottom w:val="single" w:sz="6" w:space="0" w:color="6F6E6F"/>
        <w:insideH w:val="single" w:sz="6" w:space="0" w:color="6F6E6F"/>
        <w:insideV w:val="single" w:sz="6" w:space="0" w:color="6F6E6F"/>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E4290C"/>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E4290C"/>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E4290C"/>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E4290C"/>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E4290C"/>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E4290C"/>
    <w:rPr>
      <w:bCs/>
    </w:rP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E4290C"/>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NumHead1">
    <w:name w:val="NumHead 1"/>
    <w:basedOn w:val="Heading1"/>
    <w:next w:val="BodyText"/>
    <w:link w:val="NumHead1CharChar"/>
    <w:rsid w:val="00E4290C"/>
    <w:pPr>
      <w:numPr>
        <w:numId w:val="18"/>
      </w:numPr>
    </w:pPr>
  </w:style>
  <w:style w:type="character" w:customStyle="1" w:styleId="TableBullet1CharChar">
    <w:name w:val="Table Bullet 1 Char Char"/>
    <w:basedOn w:val="DefaultParagraphFont"/>
    <w:link w:val="TableBullet1"/>
    <w:rsid w:val="00E4290C"/>
    <w:rPr>
      <w:rFonts w:ascii="Arial" w:eastAsia="MS Mincho" w:hAnsi="Arial"/>
      <w:kern w:val="16"/>
      <w:sz w:val="16"/>
      <w:szCs w:val="18"/>
      <w:lang w:val="en-US" w:eastAsia="ja-JP" w:bidi="ar-SA"/>
    </w:rPr>
  </w:style>
  <w:style w:type="paragraph" w:customStyle="1" w:styleId="NumHead2">
    <w:name w:val="NumHead 2"/>
    <w:basedOn w:val="NumHead1"/>
    <w:next w:val="BodyText"/>
    <w:link w:val="NumHead2CharChar"/>
    <w:rsid w:val="00E4290C"/>
    <w:pPr>
      <w:pageBreakBefore w:val="0"/>
      <w:numPr>
        <w:ilvl w:val="1"/>
      </w:numPr>
      <w:pBdr>
        <w:bottom w:val="none" w:sz="0" w:space="0" w:color="auto"/>
      </w:pBdr>
      <w:spacing w:before="360" w:after="60" w:line="280" w:lineRule="atLeast"/>
    </w:pPr>
    <w:rPr>
      <w:rFonts w:cs="Arial"/>
      <w:color w:val="0060A9"/>
      <w:sz w:val="25"/>
      <w:szCs w:val="25"/>
    </w:rPr>
  </w:style>
  <w:style w:type="paragraph" w:customStyle="1" w:styleId="TableTitle">
    <w:name w:val="Table Title"/>
    <w:basedOn w:val="TableText"/>
    <w:autoRedefine/>
    <w:rsid w:val="000B291C"/>
    <w:pPr>
      <w:spacing w:before="120" w:line="240" w:lineRule="atLeast"/>
    </w:pPr>
    <w:rPr>
      <w:b/>
      <w:color w:val="0060A9"/>
      <w:lang w:eastAsia="zh-CN"/>
    </w:rPr>
  </w:style>
  <w:style w:type="paragraph" w:customStyle="1" w:styleId="TableSubtitle">
    <w:name w:val="Table Subtitle"/>
    <w:basedOn w:val="TableText"/>
    <w:next w:val="TableText"/>
    <w:rsid w:val="00E32DBC"/>
    <w:pPr>
      <w:spacing w:before="0"/>
    </w:pPr>
    <w:rPr>
      <w:rFonts w:cs="Arial"/>
      <w:b/>
      <w:i/>
      <w:color w:val="003263"/>
      <w:lang w:eastAsia="zh-CN"/>
    </w:rPr>
  </w:style>
  <w:style w:type="paragraph" w:customStyle="1" w:styleId="TableHeading">
    <w:name w:val="Table Heading"/>
    <w:basedOn w:val="TableText"/>
    <w:rsid w:val="00E4290C"/>
    <w:pPr>
      <w:spacing w:before="360"/>
    </w:pPr>
    <w:rPr>
      <w:b/>
    </w:rPr>
  </w:style>
  <w:style w:type="character" w:customStyle="1" w:styleId="Blue">
    <w:name w:val="Blue"/>
    <w:basedOn w:val="DefaultParagraphFont"/>
    <w:semiHidden/>
    <w:rsid w:val="00E4290C"/>
    <w:rPr>
      <w:rFonts w:ascii="Verdana" w:hAnsi="Verdana"/>
      <w:color w:val="0045A9"/>
      <w:kern w:val="0"/>
      <w:lang w:val="en-GB"/>
    </w:rPr>
  </w:style>
  <w:style w:type="paragraph" w:styleId="ListBullet">
    <w:name w:val="List Bullet"/>
    <w:basedOn w:val="List"/>
    <w:link w:val="ListBulletChar"/>
    <w:rsid w:val="00E4290C"/>
    <w:pPr>
      <w:numPr>
        <w:numId w:val="9"/>
      </w:numPr>
    </w:pPr>
    <w:rPr>
      <w:color w:val="000000"/>
    </w:rPr>
  </w:style>
  <w:style w:type="character" w:customStyle="1" w:styleId="Heading1Char">
    <w:name w:val="Heading 1 Char"/>
    <w:basedOn w:val="DefaultParagraphFont"/>
    <w:link w:val="Heading1"/>
    <w:rsid w:val="00E4290C"/>
    <w:rPr>
      <w:rFonts w:ascii="Arial" w:eastAsia="MS Mincho" w:hAnsi="Arial"/>
      <w:color w:val="003263"/>
      <w:kern w:val="16"/>
      <w:sz w:val="32"/>
      <w:szCs w:val="32"/>
      <w:lang w:val="en-US" w:eastAsia="ja-JP" w:bidi="ar-SA"/>
    </w:rPr>
  </w:style>
  <w:style w:type="paragraph" w:customStyle="1" w:styleId="NumHead3">
    <w:name w:val="NumHead 3"/>
    <w:basedOn w:val="NumHead2"/>
    <w:next w:val="BodyText"/>
    <w:link w:val="NumHead3CharChar"/>
    <w:rsid w:val="00E4290C"/>
    <w:pPr>
      <w:numPr>
        <w:ilvl w:val="2"/>
      </w:numPr>
      <w:tabs>
        <w:tab w:val="left" w:pos="851"/>
      </w:tabs>
      <w:spacing w:after="0" w:line="260" w:lineRule="atLeast"/>
    </w:pPr>
    <w:rPr>
      <w:sz w:val="22"/>
    </w:rPr>
  </w:style>
  <w:style w:type="paragraph" w:styleId="BodyText">
    <w:name w:val="Body Text"/>
    <w:basedOn w:val="Normal"/>
    <w:link w:val="BodyTextChar"/>
    <w:rsid w:val="00E4290C"/>
    <w:pPr>
      <w:spacing w:before="120" w:after="120" w:line="260" w:lineRule="atLeast"/>
    </w:pPr>
  </w:style>
  <w:style w:type="paragraph" w:styleId="ListBullet4">
    <w:name w:val="List Bullet 4"/>
    <w:basedOn w:val="Normal"/>
    <w:semiHidden/>
    <w:rsid w:val="00E4290C"/>
    <w:pPr>
      <w:numPr>
        <w:numId w:val="12"/>
      </w:numPr>
    </w:pPr>
  </w:style>
  <w:style w:type="paragraph" w:styleId="ListBullet5">
    <w:name w:val="List Bullet 5"/>
    <w:basedOn w:val="Normal"/>
    <w:semiHidden/>
    <w:rsid w:val="00E4290C"/>
    <w:pPr>
      <w:numPr>
        <w:numId w:val="13"/>
      </w:numPr>
    </w:pPr>
  </w:style>
  <w:style w:type="paragraph" w:customStyle="1" w:styleId="NumHeadI">
    <w:name w:val="NumHead I"/>
    <w:basedOn w:val="Normal"/>
    <w:next w:val="Normal"/>
    <w:semiHidden/>
    <w:rsid w:val="00E4290C"/>
    <w:pPr>
      <w:keepLines/>
      <w:tabs>
        <w:tab w:val="num" w:pos="1008"/>
      </w:tabs>
      <w:spacing w:before="360" w:line="270" w:lineRule="atLeast"/>
      <w:ind w:left="1008" w:hanging="1008"/>
    </w:pPr>
    <w:rPr>
      <w:b/>
      <w:vanish/>
      <w:color w:val="FF0000"/>
    </w:rPr>
  </w:style>
  <w:style w:type="paragraph" w:customStyle="1" w:styleId="NumHeadII">
    <w:name w:val="NumHead II"/>
    <w:basedOn w:val="Normal"/>
    <w:next w:val="Normal"/>
    <w:semiHidden/>
    <w:rsid w:val="00E4290C"/>
    <w:pPr>
      <w:keepNext/>
      <w:keepLines/>
      <w:tabs>
        <w:tab w:val="num" w:pos="1008"/>
      </w:tabs>
      <w:spacing w:before="360" w:line="270" w:lineRule="atLeast"/>
      <w:ind w:left="1008" w:hanging="1008"/>
    </w:pPr>
    <w:rPr>
      <w:b/>
    </w:rPr>
  </w:style>
  <w:style w:type="paragraph" w:customStyle="1" w:styleId="NumHeadIII">
    <w:name w:val="NumHead III"/>
    <w:basedOn w:val="Normal"/>
    <w:next w:val="Normal"/>
    <w:semiHidden/>
    <w:rsid w:val="00E4290C"/>
    <w:pPr>
      <w:keepNext/>
      <w:keepLines/>
      <w:tabs>
        <w:tab w:val="num" w:pos="1008"/>
      </w:tabs>
      <w:spacing w:before="360" w:line="270" w:lineRule="atLeast"/>
      <w:ind w:left="1008" w:hanging="1008"/>
    </w:pPr>
    <w:rPr>
      <w:b/>
    </w:rPr>
  </w:style>
  <w:style w:type="paragraph" w:customStyle="1" w:styleId="NumHeadIV">
    <w:name w:val="NumHead IV"/>
    <w:basedOn w:val="Normal"/>
    <w:next w:val="Normal"/>
    <w:semiHidden/>
    <w:rsid w:val="00E4290C"/>
    <w:pPr>
      <w:keepNext/>
      <w:keepLines/>
      <w:tabs>
        <w:tab w:val="num" w:pos="1008"/>
      </w:tabs>
      <w:spacing w:before="360" w:line="270" w:lineRule="atLeast"/>
      <w:ind w:left="1008" w:hanging="1008"/>
    </w:pPr>
    <w:rPr>
      <w:b/>
    </w:rPr>
  </w:style>
  <w:style w:type="paragraph" w:customStyle="1" w:styleId="NumHeadV">
    <w:name w:val="NumHead V"/>
    <w:basedOn w:val="Normal"/>
    <w:next w:val="Normal"/>
    <w:semiHidden/>
    <w:rsid w:val="00E4290C"/>
    <w:pPr>
      <w:keepNext/>
      <w:keepLines/>
      <w:tabs>
        <w:tab w:val="num" w:pos="1008"/>
      </w:tabs>
      <w:spacing w:before="360" w:line="270" w:lineRule="atLeast"/>
      <w:ind w:left="1008" w:hanging="1008"/>
    </w:pPr>
    <w:rPr>
      <w:b/>
    </w:rPr>
  </w:style>
  <w:style w:type="character" w:customStyle="1" w:styleId="TitleChar">
    <w:name w:val="Title Char"/>
    <w:basedOn w:val="DefaultParagraphFont"/>
    <w:link w:val="Title"/>
    <w:rsid w:val="00E4290C"/>
    <w:rPr>
      <w:rFonts w:ascii="Arial" w:eastAsia="MS Mincho" w:hAnsi="Arial" w:cs="Arial"/>
      <w:color w:val="FFFFFF"/>
      <w:kern w:val="16"/>
      <w:sz w:val="40"/>
      <w:szCs w:val="40"/>
      <w:lang w:val="en-US" w:eastAsia="ja-JP" w:bidi="ar-SA"/>
    </w:rPr>
  </w:style>
  <w:style w:type="paragraph" w:styleId="Subtitle">
    <w:name w:val="Subtitle"/>
    <w:basedOn w:val="Title"/>
    <w:link w:val="SubtitleChar"/>
    <w:qFormat/>
    <w:rsid w:val="0039777B"/>
    <w:pPr>
      <w:spacing w:after="100" w:afterAutospacing="1" w:line="360" w:lineRule="atLeast"/>
    </w:pPr>
    <w:rPr>
      <w:b/>
      <w:i/>
      <w:sz w:val="28"/>
      <w:szCs w:val="28"/>
    </w:rPr>
  </w:style>
  <w:style w:type="paragraph" w:styleId="Salutation">
    <w:name w:val="Salutation"/>
    <w:basedOn w:val="Normal"/>
    <w:next w:val="Normal"/>
    <w:semiHidden/>
    <w:rsid w:val="00E4290C"/>
  </w:style>
  <w:style w:type="paragraph" w:styleId="MessageHeader">
    <w:name w:val="Message Header"/>
    <w:basedOn w:val="Normal"/>
    <w:semiHidden/>
    <w:rsid w:val="00E4290C"/>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paragraph" w:customStyle="1" w:styleId="NumHead4">
    <w:name w:val="NumHead 4"/>
    <w:basedOn w:val="NumHead3"/>
    <w:next w:val="BodyText"/>
    <w:link w:val="NumHead4CharChar"/>
    <w:rsid w:val="00E4290C"/>
    <w:pPr>
      <w:numPr>
        <w:ilvl w:val="3"/>
      </w:numPr>
      <w:tabs>
        <w:tab w:val="clear" w:pos="851"/>
        <w:tab w:val="left" w:pos="907"/>
      </w:tabs>
    </w:pPr>
    <w:rPr>
      <w:sz w:val="21"/>
      <w:szCs w:val="21"/>
    </w:rPr>
  </w:style>
  <w:style w:type="character" w:customStyle="1" w:styleId="SubtitleChar">
    <w:name w:val="Subtitle Char"/>
    <w:basedOn w:val="TitleChar"/>
    <w:link w:val="Subtitle"/>
    <w:rsid w:val="0039777B"/>
    <w:rPr>
      <w:rFonts w:ascii="Arial" w:eastAsia="MS Mincho" w:hAnsi="Arial" w:cs="Arial"/>
      <w:b/>
      <w:i/>
      <w:color w:val="FFFFFF"/>
      <w:kern w:val="16"/>
      <w:sz w:val="28"/>
      <w:szCs w:val="28"/>
      <w:lang w:val="en-US" w:eastAsia="ja-JP" w:bidi="ar-SA"/>
    </w:rPr>
  </w:style>
  <w:style w:type="paragraph" w:customStyle="1" w:styleId="BodyTextBold">
    <w:name w:val="Body Text Bold"/>
    <w:basedOn w:val="BlockText"/>
    <w:next w:val="BodyText"/>
    <w:rsid w:val="00E4290C"/>
    <w:pPr>
      <w:ind w:left="0"/>
    </w:pPr>
    <w:rPr>
      <w:b/>
    </w:rPr>
  </w:style>
  <w:style w:type="paragraph" w:customStyle="1" w:styleId="NumHead5">
    <w:name w:val="NumHead 5"/>
    <w:basedOn w:val="NumHead4"/>
    <w:next w:val="BodyText"/>
    <w:link w:val="NumHead5CharChar"/>
    <w:rsid w:val="00E4290C"/>
    <w:pPr>
      <w:numPr>
        <w:ilvl w:val="4"/>
      </w:numPr>
      <w:tabs>
        <w:tab w:val="clear" w:pos="907"/>
        <w:tab w:val="left" w:pos="1021"/>
      </w:tabs>
      <w:spacing w:line="240" w:lineRule="atLeast"/>
    </w:pPr>
    <w:rPr>
      <w:szCs w:val="19"/>
    </w:rPr>
  </w:style>
  <w:style w:type="character" w:customStyle="1" w:styleId="NumHead1CharChar">
    <w:name w:val="NumHead 1 Char Char"/>
    <w:basedOn w:val="DefaultParagraphFont"/>
    <w:link w:val="NumHead1"/>
    <w:rsid w:val="00E4290C"/>
    <w:rPr>
      <w:rFonts w:ascii="Arial" w:eastAsia="MS Mincho" w:hAnsi="Arial"/>
      <w:color w:val="003263"/>
      <w:kern w:val="16"/>
      <w:sz w:val="32"/>
      <w:szCs w:val="32"/>
      <w:lang w:val="en-US" w:eastAsia="ja-JP" w:bidi="ar-SA"/>
    </w:rPr>
  </w:style>
  <w:style w:type="character" w:customStyle="1" w:styleId="NumHead2CharChar">
    <w:name w:val="NumHead 2 Char Char"/>
    <w:basedOn w:val="NumHead1CharChar"/>
    <w:link w:val="NumHead2"/>
    <w:rsid w:val="00E4290C"/>
    <w:rPr>
      <w:rFonts w:ascii="Arial" w:eastAsia="MS Mincho" w:hAnsi="Arial" w:cs="Arial"/>
      <w:color w:val="0060A9"/>
      <w:kern w:val="16"/>
      <w:sz w:val="25"/>
      <w:szCs w:val="25"/>
      <w:lang w:val="en-US" w:eastAsia="ja-JP" w:bidi="ar-SA"/>
    </w:rPr>
  </w:style>
  <w:style w:type="paragraph" w:customStyle="1" w:styleId="Question1">
    <w:name w:val="Question 1"/>
    <w:basedOn w:val="Normal"/>
    <w:next w:val="BodyText"/>
    <w:rsid w:val="00E4290C"/>
    <w:pPr>
      <w:keepNext/>
      <w:keepLines/>
      <w:numPr>
        <w:numId w:val="21"/>
      </w:numPr>
      <w:pBdr>
        <w:bottom w:val="single" w:sz="2" w:space="4" w:color="8499A6"/>
      </w:pBdr>
      <w:adjustRightInd/>
      <w:spacing w:before="600" w:after="60"/>
    </w:pPr>
    <w:rPr>
      <w:color w:val="0060A9"/>
      <w:lang w:val="en-CA" w:eastAsia="en-US"/>
    </w:rPr>
  </w:style>
  <w:style w:type="paragraph" w:customStyle="1" w:styleId="Question2">
    <w:name w:val="Question 2"/>
    <w:basedOn w:val="Question1"/>
    <w:next w:val="BodyText"/>
    <w:rsid w:val="00E4290C"/>
    <w:pPr>
      <w:numPr>
        <w:numId w:val="0"/>
      </w:numPr>
    </w:pPr>
  </w:style>
  <w:style w:type="paragraph" w:styleId="List">
    <w:name w:val="List"/>
    <w:basedOn w:val="BodyText"/>
    <w:link w:val="ListChar"/>
    <w:rsid w:val="00E4290C"/>
    <w:pPr>
      <w:numPr>
        <w:numId w:val="5"/>
      </w:numPr>
      <w:spacing w:line="240" w:lineRule="atLeast"/>
    </w:pPr>
    <w:rPr>
      <w:sz w:val="19"/>
      <w:szCs w:val="19"/>
      <w:lang w:val="en-CA"/>
    </w:rPr>
  </w:style>
  <w:style w:type="paragraph" w:customStyle="1" w:styleId="DateFrontpage">
    <w:name w:val="Date Front page"/>
    <w:basedOn w:val="BodyText"/>
    <w:rsid w:val="00E4290C"/>
    <w:pPr>
      <w:framePr w:w="4043" w:h="357" w:hRule="exact" w:hSpace="181" w:wrap="notBeside" w:vAnchor="page" w:hAnchor="page" w:x="1231" w:y="5217" w:anchorLock="1"/>
      <w:spacing w:after="240"/>
    </w:pPr>
    <w:rPr>
      <w:smallCaps/>
      <w:color w:val="FFFFFF"/>
      <w:sz w:val="16"/>
      <w:szCs w:val="16"/>
    </w:rPr>
  </w:style>
  <w:style w:type="character" w:customStyle="1" w:styleId="NumHead3CharChar">
    <w:name w:val="NumHead 3 Char Char"/>
    <w:basedOn w:val="NumHead2CharChar"/>
    <w:link w:val="NumHead3"/>
    <w:rsid w:val="00E4290C"/>
    <w:rPr>
      <w:rFonts w:ascii="Arial" w:eastAsia="MS Mincho" w:hAnsi="Arial" w:cs="Arial"/>
      <w:color w:val="0060A9"/>
      <w:kern w:val="16"/>
      <w:sz w:val="22"/>
      <w:szCs w:val="25"/>
      <w:lang w:val="en-US" w:eastAsia="ja-JP" w:bidi="ar-SA"/>
    </w:rPr>
  </w:style>
  <w:style w:type="character" w:customStyle="1" w:styleId="NumHead4CharChar">
    <w:name w:val="NumHead 4 Char Char"/>
    <w:basedOn w:val="NumHead3CharChar"/>
    <w:link w:val="NumHead4"/>
    <w:rsid w:val="00E4290C"/>
    <w:rPr>
      <w:rFonts w:ascii="Arial" w:eastAsia="MS Mincho" w:hAnsi="Arial" w:cs="Arial"/>
      <w:color w:val="0060A9"/>
      <w:kern w:val="16"/>
      <w:sz w:val="21"/>
      <w:szCs w:val="21"/>
      <w:lang w:val="en-US" w:eastAsia="ja-JP" w:bidi="ar-SA"/>
    </w:rPr>
  </w:style>
  <w:style w:type="character" w:customStyle="1" w:styleId="BodyTextChar">
    <w:name w:val="Body Text Char"/>
    <w:basedOn w:val="DefaultParagraphFont"/>
    <w:link w:val="BodyText"/>
    <w:rsid w:val="00E4290C"/>
    <w:rPr>
      <w:rFonts w:ascii="Arial" w:eastAsia="MS Mincho" w:hAnsi="Arial"/>
      <w:kern w:val="16"/>
      <w:lang w:val="en-US" w:eastAsia="ja-JP" w:bidi="ar-SA"/>
    </w:rPr>
  </w:style>
  <w:style w:type="paragraph" w:styleId="PlainText">
    <w:name w:val="Plain Text"/>
    <w:basedOn w:val="Normal"/>
    <w:semiHidden/>
    <w:rsid w:val="00E4290C"/>
    <w:rPr>
      <w:rFonts w:ascii="Courier New" w:hAnsi="Courier New" w:cs="Courier New"/>
    </w:rPr>
  </w:style>
  <w:style w:type="numbering" w:styleId="111111">
    <w:name w:val="Outline List 2"/>
    <w:basedOn w:val="NoList"/>
    <w:semiHidden/>
    <w:rsid w:val="00E4290C"/>
    <w:pPr>
      <w:numPr>
        <w:numId w:val="1"/>
      </w:numPr>
    </w:pPr>
  </w:style>
  <w:style w:type="paragraph" w:styleId="BlockText">
    <w:name w:val="Block Text"/>
    <w:basedOn w:val="Normal"/>
    <w:semiHidden/>
    <w:rsid w:val="00E4290C"/>
    <w:pPr>
      <w:ind w:left="1440" w:right="1440"/>
    </w:pPr>
  </w:style>
  <w:style w:type="character" w:customStyle="1" w:styleId="NumHead5CharChar">
    <w:name w:val="NumHead 5 Char Char"/>
    <w:basedOn w:val="NumHead4CharChar"/>
    <w:link w:val="NumHead5"/>
    <w:rsid w:val="00E4290C"/>
    <w:rPr>
      <w:rFonts w:ascii="Arial" w:eastAsia="MS Mincho" w:hAnsi="Arial" w:cs="Arial"/>
      <w:color w:val="0060A9"/>
      <w:kern w:val="16"/>
      <w:sz w:val="21"/>
      <w:szCs w:val="19"/>
      <w:lang w:val="en-US" w:eastAsia="ja-JP" w:bidi="ar-SA"/>
    </w:rPr>
  </w:style>
  <w:style w:type="character" w:customStyle="1" w:styleId="Heading1CharChar">
    <w:name w:val="Heading 1 Char Char"/>
    <w:basedOn w:val="DefaultParagraphFont"/>
    <w:rsid w:val="00541410"/>
    <w:rPr>
      <w:rFonts w:ascii="Arial" w:eastAsia="MS Mincho" w:hAnsi="Arial"/>
      <w:color w:val="003263"/>
      <w:kern w:val="16"/>
      <w:sz w:val="32"/>
      <w:szCs w:val="32"/>
      <w:lang w:val="en-US" w:eastAsia="ja-JP" w:bidi="ar-SA"/>
    </w:rPr>
  </w:style>
  <w:style w:type="paragraph" w:customStyle="1" w:styleId="Question3">
    <w:name w:val="Question 3"/>
    <w:basedOn w:val="Question1"/>
    <w:next w:val="BodyText"/>
    <w:rsid w:val="00E4290C"/>
    <w:pPr>
      <w:numPr>
        <w:numId w:val="22"/>
      </w:numPr>
    </w:pPr>
  </w:style>
  <w:style w:type="paragraph" w:customStyle="1" w:styleId="Question5">
    <w:name w:val="Question 5"/>
    <w:basedOn w:val="Question1"/>
    <w:next w:val="BodyText"/>
    <w:rsid w:val="00E4290C"/>
    <w:pPr>
      <w:numPr>
        <w:numId w:val="24"/>
      </w:numPr>
    </w:pPr>
  </w:style>
  <w:style w:type="paragraph" w:customStyle="1" w:styleId="Question4">
    <w:name w:val="Question 4"/>
    <w:basedOn w:val="Question1"/>
    <w:next w:val="BodyText"/>
    <w:rsid w:val="00E4290C"/>
    <w:pPr>
      <w:numPr>
        <w:numId w:val="23"/>
      </w:numPr>
    </w:pPr>
  </w:style>
  <w:style w:type="character" w:customStyle="1" w:styleId="Heading2Char">
    <w:name w:val="Heading 2 Char"/>
    <w:basedOn w:val="Heading1Char"/>
    <w:link w:val="Heading2"/>
    <w:rsid w:val="00E4290C"/>
    <w:rPr>
      <w:rFonts w:ascii="Arial" w:eastAsia="MS Mincho" w:hAnsi="Arial"/>
      <w:color w:val="0060A9"/>
      <w:kern w:val="16"/>
      <w:sz w:val="25"/>
      <w:szCs w:val="25"/>
      <w:lang w:val="en-US" w:eastAsia="ja-JP" w:bidi="ar-SA"/>
    </w:rPr>
  </w:style>
  <w:style w:type="paragraph" w:customStyle="1" w:styleId="Redtext">
    <w:name w:val="Red text"/>
    <w:basedOn w:val="BodyText"/>
    <w:rsid w:val="00E4290C"/>
    <w:rPr>
      <w:i/>
      <w:color w:val="FF0000"/>
    </w:rPr>
  </w:style>
  <w:style w:type="paragraph" w:customStyle="1" w:styleId="TitleDisclaimer">
    <w:name w:val="Title Disclaimer"/>
    <w:basedOn w:val="Heading1"/>
    <w:rsid w:val="00E4290C"/>
  </w:style>
  <w:style w:type="paragraph" w:customStyle="1" w:styleId="Quotation">
    <w:name w:val="Quotation"/>
    <w:basedOn w:val="SubHeading"/>
    <w:rsid w:val="0039777B"/>
    <w:pPr>
      <w:spacing w:after="120" w:line="280" w:lineRule="atLeast"/>
    </w:pPr>
    <w:rPr>
      <w:sz w:val="18"/>
    </w:rPr>
  </w:style>
  <w:style w:type="character" w:customStyle="1" w:styleId="ListChar">
    <w:name w:val="List Char"/>
    <w:basedOn w:val="DefaultParagraphFont"/>
    <w:link w:val="List"/>
    <w:rsid w:val="00E4290C"/>
    <w:rPr>
      <w:rFonts w:ascii="Arial" w:eastAsia="MS Mincho" w:hAnsi="Arial"/>
      <w:kern w:val="16"/>
      <w:sz w:val="19"/>
      <w:szCs w:val="19"/>
      <w:lang w:val="en-CA" w:eastAsia="ja-JP" w:bidi="ar-SA"/>
    </w:rPr>
  </w:style>
  <w:style w:type="character" w:customStyle="1" w:styleId="ListBulletChar">
    <w:name w:val="List Bullet Char"/>
    <w:basedOn w:val="DefaultParagraphFont"/>
    <w:link w:val="ListBullet"/>
    <w:rsid w:val="004A21A3"/>
    <w:rPr>
      <w:rFonts w:ascii="Arial" w:eastAsia="MS Mincho" w:hAnsi="Arial"/>
      <w:color w:val="000000"/>
      <w:kern w:val="16"/>
      <w:sz w:val="19"/>
      <w:szCs w:val="19"/>
      <w:lang w:val="en-CA" w:eastAsia="ja-JP" w:bidi="ar-SA"/>
    </w:rPr>
  </w:style>
  <w:style w:type="numbering" w:customStyle="1" w:styleId="NumHeadListChapter">
    <w:name w:val="NumHead List Chapter"/>
    <w:basedOn w:val="NoList"/>
    <w:semiHidden/>
    <w:rsid w:val="00E4290C"/>
    <w:pPr>
      <w:numPr>
        <w:numId w:val="29"/>
      </w:numPr>
    </w:pPr>
  </w:style>
  <w:style w:type="numbering" w:customStyle="1" w:styleId="NumHeadListAppendix">
    <w:name w:val="NumHead List Appendix"/>
    <w:basedOn w:val="NoList"/>
    <w:semiHidden/>
    <w:rsid w:val="00E4290C"/>
    <w:pPr>
      <w:numPr>
        <w:numId w:val="19"/>
      </w:numPr>
    </w:pPr>
  </w:style>
  <w:style w:type="character" w:customStyle="1" w:styleId="ListBullet2Char">
    <w:name w:val="List Bullet 2 Char"/>
    <w:basedOn w:val="ListBulletChar"/>
    <w:link w:val="ListBullet2"/>
    <w:rsid w:val="00E4290C"/>
    <w:rPr>
      <w:rFonts w:ascii="Arial" w:eastAsia="MS Mincho" w:hAnsi="Arial"/>
      <w:color w:val="000000"/>
      <w:kern w:val="16"/>
      <w:sz w:val="19"/>
      <w:szCs w:val="19"/>
      <w:lang w:val="en-CA" w:eastAsia="ja-JP" w:bidi="ar-SA"/>
    </w:rPr>
  </w:style>
  <w:style w:type="character" w:customStyle="1" w:styleId="TableTextCharChar">
    <w:name w:val="Table Text Char Char"/>
    <w:basedOn w:val="DefaultParagraphFont"/>
    <w:link w:val="TableText"/>
    <w:rsid w:val="00E4290C"/>
    <w:rPr>
      <w:rFonts w:ascii="Arial" w:eastAsia="MS Mincho" w:hAnsi="Arial"/>
      <w:kern w:val="16"/>
      <w:sz w:val="18"/>
      <w:szCs w:val="18"/>
      <w:lang w:val="en-US" w:eastAsia="ja-JP" w:bidi="ar-SA"/>
    </w:rPr>
  </w:style>
  <w:style w:type="paragraph" w:customStyle="1" w:styleId="SubHeading">
    <w:name w:val="Sub Heading"/>
    <w:next w:val="BodyText"/>
    <w:rsid w:val="0039777B"/>
    <w:pPr>
      <w:spacing w:before="120" w:after="1080" w:line="260" w:lineRule="atLeast"/>
    </w:pPr>
    <w:rPr>
      <w:rFonts w:ascii="Arial" w:eastAsia="MS Mincho" w:hAnsi="Arial"/>
      <w:b/>
      <w:i/>
      <w:color w:val="0060A9"/>
      <w:kern w:val="16"/>
      <w:sz w:val="24"/>
      <w:szCs w:val="24"/>
      <w:lang w:eastAsia="ja-JP"/>
    </w:rPr>
  </w:style>
  <w:style w:type="paragraph" w:customStyle="1" w:styleId="FootnoteSeparator">
    <w:name w:val="Footnote Separator"/>
    <w:basedOn w:val="Normal"/>
    <w:semiHidden/>
    <w:rsid w:val="00E4290C"/>
    <w:pPr>
      <w:keepLines/>
    </w:pPr>
    <w:rPr>
      <w:rFonts w:cs="Arial"/>
      <w:noProof/>
      <w:sz w:val="10"/>
      <w:szCs w:val="10"/>
      <w:lang w:eastAsia="en-GB"/>
    </w:rPr>
  </w:style>
  <w:style w:type="paragraph" w:customStyle="1" w:styleId="Default">
    <w:name w:val="Default"/>
    <w:semiHidden/>
    <w:rsid w:val="00E4290C"/>
    <w:pPr>
      <w:autoSpaceDE w:val="0"/>
      <w:autoSpaceDN w:val="0"/>
      <w:adjustRightInd w:val="0"/>
    </w:pPr>
    <w:rPr>
      <w:rFonts w:ascii="Arial" w:eastAsia="Times New Roman" w:hAnsi="Arial" w:cs="Arial"/>
      <w:color w:val="000000"/>
      <w:sz w:val="24"/>
      <w:szCs w:val="24"/>
    </w:rPr>
  </w:style>
  <w:style w:type="paragraph" w:customStyle="1" w:styleId="Heading1Spacer">
    <w:name w:val="Heading 1_Spacer"/>
    <w:basedOn w:val="Heading1"/>
    <w:next w:val="BodyText"/>
    <w:rsid w:val="00E4290C"/>
    <w:pPr>
      <w:pBdr>
        <w:bottom w:val="none" w:sz="0" w:space="0" w:color="auto"/>
      </w:pBdr>
      <w:ind w:left="578" w:hanging="578"/>
    </w:pPr>
    <w:rPr>
      <w:color w:val="FFFFFF"/>
      <w:sz w:val="36"/>
    </w:rPr>
  </w:style>
  <w:style w:type="character" w:styleId="Hyperlink">
    <w:name w:val="Hyperlink"/>
    <w:basedOn w:val="DefaultParagraphFont"/>
    <w:rsid w:val="00E4290C"/>
    <w:rPr>
      <w:rFonts w:ascii="Arial" w:hAnsi="Arial"/>
      <w:b/>
      <w:color w:val="000000"/>
      <w:sz w:val="20"/>
      <w:u w:val="none"/>
      <w:lang w:val="en-GB"/>
    </w:rPr>
  </w:style>
  <w:style w:type="character" w:customStyle="1" w:styleId="FooterChar">
    <w:name w:val="Footer Char"/>
    <w:basedOn w:val="DefaultParagraphFont"/>
    <w:link w:val="Footer"/>
    <w:rsid w:val="00887BA1"/>
    <w:rPr>
      <w:rFonts w:ascii="Arial" w:eastAsia="MS Mincho" w:hAnsi="Arial"/>
      <w:caps/>
      <w:noProof/>
      <w:snapToGrid w:val="0"/>
      <w:color w:val="003263"/>
      <w:spacing w:val="20"/>
      <w:kern w:val="12"/>
      <w:sz w:val="12"/>
      <w:szCs w:val="12"/>
      <w:lang w:eastAsia="ja-JP"/>
    </w:rPr>
  </w:style>
  <w:style w:type="paragraph" w:styleId="ListBullet2">
    <w:name w:val="List Bullet 2"/>
    <w:basedOn w:val="ListBullet"/>
    <w:link w:val="ListBullet2Char"/>
    <w:rsid w:val="00E4290C"/>
    <w:pPr>
      <w:numPr>
        <w:numId w:val="10"/>
      </w:numPr>
    </w:pPr>
  </w:style>
  <w:style w:type="paragraph" w:styleId="ListBullet3">
    <w:name w:val="List Bullet 3"/>
    <w:basedOn w:val="ListBullet2"/>
    <w:rsid w:val="00E4290C"/>
    <w:pPr>
      <w:numPr>
        <w:numId w:val="11"/>
      </w:numPr>
    </w:pPr>
    <w:rPr>
      <w:color w:val="auto"/>
    </w:rPr>
  </w:style>
  <w:style w:type="character" w:styleId="PageNumber">
    <w:name w:val="page number"/>
    <w:semiHidden/>
    <w:rsid w:val="00E4290C"/>
  </w:style>
  <w:style w:type="paragraph" w:customStyle="1" w:styleId="TableMultipleColumnTitle">
    <w:name w:val="Table Multiple Column Title"/>
    <w:basedOn w:val="Normal"/>
    <w:semiHidden/>
    <w:rsid w:val="00E4290C"/>
    <w:pPr>
      <w:keepNext/>
      <w:keepLines/>
      <w:spacing w:before="50" w:after="30"/>
      <w:jc w:val="center"/>
    </w:pPr>
    <w:rPr>
      <w:b/>
      <w:sz w:val="17"/>
      <w:szCs w:val="17"/>
    </w:rPr>
  </w:style>
  <w:style w:type="paragraph" w:customStyle="1" w:styleId="TableHeaderRowBlue">
    <w:name w:val="Table Header Row Blue"/>
    <w:basedOn w:val="TableHeaderRowBrightBlue"/>
    <w:next w:val="TableText"/>
    <w:link w:val="TableHeaderRowBlueChar"/>
    <w:rsid w:val="00E32DBC"/>
    <w:rPr>
      <w:bCs/>
      <w:color w:val="003263"/>
      <w:lang w:eastAsia="ja-JP"/>
    </w:rPr>
  </w:style>
  <w:style w:type="paragraph" w:customStyle="1" w:styleId="TableHeaderRowBrightBlue">
    <w:name w:val="Table Header Row Bright Blue"/>
    <w:next w:val="TableText"/>
    <w:link w:val="TableHeaderRowBrightBlueChar"/>
    <w:rsid w:val="00E32DBC"/>
    <w:pPr>
      <w:spacing w:before="40" w:after="40" w:line="200" w:lineRule="atLeast"/>
      <w:jc w:val="center"/>
    </w:pPr>
    <w:rPr>
      <w:rFonts w:ascii="Arial" w:eastAsia="MS Mincho" w:hAnsi="Arial" w:cs="Arial"/>
      <w:b/>
      <w:color w:val="0060A9"/>
      <w:kern w:val="16"/>
      <w:sz w:val="16"/>
      <w:szCs w:val="18"/>
      <w:lang w:eastAsia="zh-CN"/>
    </w:rPr>
  </w:style>
  <w:style w:type="paragraph" w:customStyle="1" w:styleId="Disclaimer">
    <w:name w:val="Disclaimer"/>
    <w:basedOn w:val="BodyText"/>
    <w:rsid w:val="00E4290C"/>
    <w:pPr>
      <w:framePr w:hSpace="181" w:wrap="around" w:vAnchor="page" w:hAnchor="text" w:y="13402"/>
      <w:spacing w:before="80" w:after="80" w:line="240" w:lineRule="auto"/>
      <w:jc w:val="both"/>
    </w:pPr>
    <w:rPr>
      <w:rFonts w:eastAsia="Times New Roman"/>
      <w:sz w:val="13"/>
      <w:szCs w:val="13"/>
    </w:rPr>
  </w:style>
  <w:style w:type="paragraph" w:customStyle="1" w:styleId="FooterCopyright">
    <w:name w:val="Footer Copyright"/>
    <w:basedOn w:val="FooterBackcover"/>
    <w:rsid w:val="00E4290C"/>
    <w:pPr>
      <w:jc w:val="right"/>
    </w:pPr>
    <w:rPr>
      <w:sz w:val="18"/>
    </w:rPr>
  </w:style>
  <w:style w:type="paragraph" w:customStyle="1" w:styleId="TableMultipleTitle">
    <w:name w:val="Table Multiple Title"/>
    <w:basedOn w:val="Normal"/>
    <w:next w:val="EndnoteText"/>
    <w:semiHidden/>
    <w:rsid w:val="00E4290C"/>
    <w:pPr>
      <w:keepNext/>
      <w:spacing w:before="300" w:after="30" w:line="230" w:lineRule="atLeast"/>
      <w:jc w:val="center"/>
    </w:pPr>
    <w:rPr>
      <w:b/>
      <w:szCs w:val="18"/>
    </w:rPr>
  </w:style>
  <w:style w:type="paragraph" w:customStyle="1" w:styleId="Heading1Sub-Heading">
    <w:name w:val="Heading 1 + Sub-Heading"/>
    <w:basedOn w:val="Heading1"/>
    <w:rsid w:val="00E4290C"/>
    <w:pPr>
      <w:spacing w:after="120"/>
    </w:pPr>
  </w:style>
  <w:style w:type="character" w:customStyle="1" w:styleId="Lead-inEmphasis">
    <w:name w:val="Lead-in Emphasis"/>
    <w:rsid w:val="00E4290C"/>
    <w:rPr>
      <w:rFonts w:ascii="Arial Black" w:hAnsi="Arial Black"/>
      <w:spacing w:val="-4"/>
      <w:sz w:val="18"/>
    </w:rPr>
  </w:style>
  <w:style w:type="paragraph" w:customStyle="1" w:styleId="RAGRed">
    <w:name w:val="RAG Red"/>
    <w:rsid w:val="00E4290C"/>
    <w:rPr>
      <w:rFonts w:ascii="Wingdings" w:eastAsia="MS Mincho" w:hAnsi="Wingdings"/>
      <w:color w:val="F93F26"/>
      <w:kern w:val="16"/>
      <w:szCs w:val="18"/>
      <w:lang w:eastAsia="ja-JP"/>
    </w:rPr>
  </w:style>
  <w:style w:type="paragraph" w:customStyle="1" w:styleId="RAGAmber">
    <w:name w:val="RAG Amber"/>
    <w:basedOn w:val="RAGRed"/>
    <w:rsid w:val="00E4290C"/>
    <w:rPr>
      <w:color w:val="FCA311"/>
    </w:rPr>
  </w:style>
  <w:style w:type="paragraph" w:customStyle="1" w:styleId="RAGGreen">
    <w:name w:val="RAG Green"/>
    <w:basedOn w:val="RAGAmber"/>
    <w:rsid w:val="00E4290C"/>
    <w:rPr>
      <w:color w:val="C0D30B"/>
    </w:rPr>
  </w:style>
  <w:style w:type="character" w:styleId="FootnoteReference">
    <w:name w:val="footnote reference"/>
    <w:basedOn w:val="DefaultParagraphFont"/>
    <w:semiHidden/>
    <w:rsid w:val="00E4290C"/>
    <w:rPr>
      <w:vertAlign w:val="superscript"/>
      <w:lang w:val="en-GB"/>
    </w:rPr>
  </w:style>
  <w:style w:type="table" w:customStyle="1" w:styleId="RBCFigureTable">
    <w:name w:val="RBC Figure Table"/>
    <w:basedOn w:val="TableNormal"/>
    <w:rsid w:val="00E4290C"/>
    <w:pPr>
      <w:spacing w:before="60" w:after="60"/>
    </w:pPr>
    <w:rPr>
      <w:rFonts w:ascii="Arial" w:eastAsia="Times New Roman" w:hAnsi="Arial"/>
    </w:rPr>
    <w:tblPr>
      <w:tblStyleRowBandSize w:val="1"/>
      <w:tblStyleColBandSize w:val="3"/>
    </w:tblPr>
    <w:tcPr>
      <w:shd w:val="clear" w:color="auto" w:fill="auto"/>
    </w:tcPr>
    <w:tblStylePr w:type="firstRow">
      <w:pPr>
        <w:jc w:val="left"/>
      </w:pPr>
      <w:rPr>
        <w:rFonts w:ascii="Arial" w:hAnsi="Arial"/>
        <w:b/>
        <w:color w:val="FFFFFF"/>
        <w:sz w:val="18"/>
      </w:rPr>
      <w:tblPr/>
      <w:tcPr>
        <w:tcBorders>
          <w:top w:val="nil"/>
          <w:left w:val="nil"/>
          <w:bottom w:val="nil"/>
          <w:right w:val="nil"/>
          <w:insideH w:val="nil"/>
          <w:insideV w:val="nil"/>
          <w:tl2br w:val="nil"/>
          <w:tr2bl w:val="nil"/>
        </w:tcBorders>
        <w:shd w:val="clear" w:color="auto" w:fill="00254B"/>
      </w:tcPr>
    </w:tblStylePr>
    <w:tblStylePr w:type="lastRow">
      <w:pPr>
        <w:wordWrap/>
        <w:spacing w:beforeLines="0" w:before="0" w:beforeAutospacing="0"/>
        <w:ind w:leftChars="0" w:left="0" w:rightChars="0" w:right="0"/>
      </w:pPr>
      <w:rPr>
        <w:rFonts w:ascii="Arial" w:hAnsi="Arial"/>
        <w:b/>
        <w:sz w:val="18"/>
      </w:rPr>
      <w:tblPr/>
      <w:tcPr>
        <w:tcBorders>
          <w:top w:val="single" w:sz="6" w:space="0" w:color="A29989"/>
          <w:bottom w:val="single" w:sz="6" w:space="0" w:color="auto"/>
        </w:tcBorders>
        <w:shd w:val="clear" w:color="auto" w:fill="auto"/>
      </w:tcPr>
    </w:tblStylePr>
    <w:tblStylePr w:type="firstCol">
      <w:tblPr/>
      <w:tcPr>
        <w:tcBorders>
          <w:top w:val="nil"/>
          <w:left w:val="nil"/>
          <w:bottom w:val="nil"/>
          <w:right w:val="nil"/>
          <w:insideH w:val="nil"/>
          <w:insideV w:val="nil"/>
        </w:tcBorders>
        <w:shd w:val="clear" w:color="auto" w:fill="auto"/>
      </w:tcPr>
    </w:tblStylePr>
  </w:style>
  <w:style w:type="character" w:customStyle="1" w:styleId="TableBullet2CharChar">
    <w:name w:val="Table Bullet 2 Char Char"/>
    <w:basedOn w:val="TableBullet1CharChar"/>
    <w:link w:val="TableBullet2"/>
    <w:rsid w:val="00E4290C"/>
    <w:rPr>
      <w:rFonts w:ascii="Arial" w:eastAsia="MS Mincho" w:hAnsi="Arial"/>
      <w:kern w:val="16"/>
      <w:sz w:val="16"/>
      <w:szCs w:val="18"/>
      <w:lang w:val="en-CA" w:eastAsia="ja-JP" w:bidi="ar-SA"/>
    </w:rPr>
  </w:style>
  <w:style w:type="numbering" w:styleId="1ai">
    <w:name w:val="Outline List 1"/>
    <w:basedOn w:val="NoList"/>
    <w:semiHidden/>
    <w:rsid w:val="00E4290C"/>
    <w:pPr>
      <w:numPr>
        <w:numId w:val="2"/>
      </w:numPr>
    </w:pPr>
  </w:style>
  <w:style w:type="numbering" w:styleId="ArticleSection">
    <w:name w:val="Outline List 3"/>
    <w:basedOn w:val="NoList"/>
    <w:semiHidden/>
    <w:rsid w:val="00E4290C"/>
    <w:pPr>
      <w:numPr>
        <w:numId w:val="3"/>
      </w:numPr>
    </w:pPr>
  </w:style>
  <w:style w:type="paragraph" w:styleId="BodyText2">
    <w:name w:val="Body Text 2"/>
    <w:basedOn w:val="Normal"/>
    <w:semiHidden/>
    <w:rsid w:val="00E4290C"/>
    <w:pPr>
      <w:spacing w:line="480" w:lineRule="auto"/>
    </w:pPr>
  </w:style>
  <w:style w:type="paragraph" w:styleId="BodyText3">
    <w:name w:val="Body Text 3"/>
    <w:basedOn w:val="Normal"/>
    <w:semiHidden/>
    <w:rsid w:val="00E4290C"/>
    <w:rPr>
      <w:sz w:val="16"/>
      <w:szCs w:val="16"/>
    </w:rPr>
  </w:style>
  <w:style w:type="paragraph" w:styleId="BodyTextFirstIndent">
    <w:name w:val="Body Text First Indent"/>
    <w:basedOn w:val="BodyText"/>
    <w:semiHidden/>
    <w:rsid w:val="00E4290C"/>
    <w:pPr>
      <w:ind w:firstLine="210"/>
    </w:pPr>
  </w:style>
  <w:style w:type="paragraph" w:styleId="BodyTextIndent">
    <w:name w:val="Body Text Indent"/>
    <w:basedOn w:val="Normal"/>
    <w:semiHidden/>
    <w:rsid w:val="00E4290C"/>
    <w:pPr>
      <w:ind w:left="283"/>
    </w:pPr>
  </w:style>
  <w:style w:type="paragraph" w:styleId="BodyTextFirstIndent2">
    <w:name w:val="Body Text First Indent 2"/>
    <w:basedOn w:val="BodyTextIndent"/>
    <w:semiHidden/>
    <w:rsid w:val="00E4290C"/>
    <w:pPr>
      <w:ind w:firstLine="210"/>
    </w:pPr>
  </w:style>
  <w:style w:type="paragraph" w:styleId="BodyTextIndent2">
    <w:name w:val="Body Text Indent 2"/>
    <w:basedOn w:val="Normal"/>
    <w:semiHidden/>
    <w:rsid w:val="00E4290C"/>
    <w:pPr>
      <w:spacing w:line="480" w:lineRule="auto"/>
      <w:ind w:left="283"/>
    </w:pPr>
  </w:style>
  <w:style w:type="paragraph" w:styleId="BodyTextIndent3">
    <w:name w:val="Body Text Indent 3"/>
    <w:basedOn w:val="Normal"/>
    <w:semiHidden/>
    <w:rsid w:val="00E4290C"/>
    <w:pPr>
      <w:ind w:left="283"/>
    </w:pPr>
    <w:rPr>
      <w:sz w:val="16"/>
      <w:szCs w:val="16"/>
    </w:rPr>
  </w:style>
  <w:style w:type="paragraph" w:styleId="Closing">
    <w:name w:val="Closing"/>
    <w:basedOn w:val="Normal"/>
    <w:semiHidden/>
    <w:rsid w:val="00E4290C"/>
    <w:pPr>
      <w:ind w:left="4252"/>
    </w:pPr>
  </w:style>
  <w:style w:type="paragraph" w:styleId="Date">
    <w:name w:val="Date"/>
    <w:basedOn w:val="Normal"/>
    <w:next w:val="Normal"/>
    <w:semiHidden/>
    <w:rsid w:val="00E4290C"/>
  </w:style>
  <w:style w:type="paragraph" w:styleId="E-mailSignature">
    <w:name w:val="E-mail Signature"/>
    <w:basedOn w:val="Normal"/>
    <w:semiHidden/>
    <w:rsid w:val="00E4290C"/>
  </w:style>
  <w:style w:type="character" w:styleId="Emphasis">
    <w:name w:val="Emphasis"/>
    <w:basedOn w:val="DefaultParagraphFont"/>
    <w:qFormat/>
    <w:rsid w:val="00E4290C"/>
    <w:rPr>
      <w:i/>
      <w:iCs/>
      <w:lang w:val="en-GB"/>
    </w:rPr>
  </w:style>
  <w:style w:type="paragraph" w:styleId="EnvelopeAddress">
    <w:name w:val="envelope address"/>
    <w:basedOn w:val="Normal"/>
    <w:semiHidden/>
    <w:rsid w:val="00E4290C"/>
    <w:pPr>
      <w:framePr w:w="7920" w:h="1980" w:hRule="exact" w:hSpace="180" w:wrap="auto" w:hAnchor="page" w:xAlign="center" w:yAlign="bottom"/>
      <w:ind w:left="2880"/>
    </w:pPr>
    <w:rPr>
      <w:rFonts w:cs="Arial"/>
    </w:rPr>
  </w:style>
  <w:style w:type="paragraph" w:styleId="EnvelopeReturn">
    <w:name w:val="envelope return"/>
    <w:basedOn w:val="Normal"/>
    <w:semiHidden/>
    <w:rsid w:val="00E4290C"/>
    <w:rPr>
      <w:rFonts w:cs="Arial"/>
    </w:rPr>
  </w:style>
  <w:style w:type="character" w:styleId="FollowedHyperlink">
    <w:name w:val="FollowedHyperlink"/>
    <w:basedOn w:val="DefaultParagraphFont"/>
    <w:semiHidden/>
    <w:rsid w:val="00E4290C"/>
    <w:rPr>
      <w:color w:val="800080"/>
      <w:u w:val="single"/>
      <w:lang w:val="en-GB"/>
    </w:rPr>
  </w:style>
  <w:style w:type="character" w:styleId="HTMLAcronym">
    <w:name w:val="HTML Acronym"/>
    <w:basedOn w:val="DefaultParagraphFont"/>
    <w:semiHidden/>
    <w:rsid w:val="00E4290C"/>
    <w:rPr>
      <w:lang w:val="en-GB"/>
    </w:rPr>
  </w:style>
  <w:style w:type="paragraph" w:styleId="HTMLAddress">
    <w:name w:val="HTML Address"/>
    <w:basedOn w:val="Normal"/>
    <w:semiHidden/>
    <w:rsid w:val="00E4290C"/>
    <w:rPr>
      <w:i/>
      <w:iCs/>
    </w:rPr>
  </w:style>
  <w:style w:type="character" w:styleId="HTMLCite">
    <w:name w:val="HTML Cite"/>
    <w:basedOn w:val="DefaultParagraphFont"/>
    <w:semiHidden/>
    <w:rsid w:val="00E4290C"/>
    <w:rPr>
      <w:i/>
      <w:iCs/>
      <w:lang w:val="en-GB"/>
    </w:rPr>
  </w:style>
  <w:style w:type="character" w:styleId="HTMLCode">
    <w:name w:val="HTML Code"/>
    <w:basedOn w:val="DefaultParagraphFont"/>
    <w:semiHidden/>
    <w:rsid w:val="00E4290C"/>
    <w:rPr>
      <w:rFonts w:ascii="Courier New" w:hAnsi="Courier New" w:cs="Courier New"/>
      <w:sz w:val="20"/>
      <w:szCs w:val="20"/>
      <w:lang w:val="en-GB"/>
    </w:rPr>
  </w:style>
  <w:style w:type="character" w:styleId="HTMLDefinition">
    <w:name w:val="HTML Definition"/>
    <w:basedOn w:val="DefaultParagraphFont"/>
    <w:semiHidden/>
    <w:rsid w:val="00E4290C"/>
    <w:rPr>
      <w:i/>
      <w:iCs/>
      <w:lang w:val="en-GB"/>
    </w:rPr>
  </w:style>
  <w:style w:type="character" w:styleId="HTMLKeyboard">
    <w:name w:val="HTML Keyboard"/>
    <w:basedOn w:val="DefaultParagraphFont"/>
    <w:semiHidden/>
    <w:rsid w:val="00E4290C"/>
    <w:rPr>
      <w:rFonts w:ascii="Courier New" w:hAnsi="Courier New" w:cs="Courier New"/>
      <w:sz w:val="20"/>
      <w:szCs w:val="20"/>
      <w:lang w:val="en-GB"/>
    </w:rPr>
  </w:style>
  <w:style w:type="paragraph" w:styleId="HTMLPreformatted">
    <w:name w:val="HTML Preformatted"/>
    <w:basedOn w:val="Normal"/>
    <w:semiHidden/>
    <w:rsid w:val="00E4290C"/>
    <w:rPr>
      <w:rFonts w:ascii="Courier New" w:hAnsi="Courier New" w:cs="Courier New"/>
    </w:rPr>
  </w:style>
  <w:style w:type="character" w:styleId="HTMLSample">
    <w:name w:val="HTML Sample"/>
    <w:basedOn w:val="DefaultParagraphFont"/>
    <w:semiHidden/>
    <w:rsid w:val="00E4290C"/>
    <w:rPr>
      <w:rFonts w:ascii="Courier New" w:hAnsi="Courier New" w:cs="Courier New"/>
      <w:lang w:val="en-GB"/>
    </w:rPr>
  </w:style>
  <w:style w:type="character" w:styleId="HTMLTypewriter">
    <w:name w:val="HTML Typewriter"/>
    <w:basedOn w:val="DefaultParagraphFont"/>
    <w:semiHidden/>
    <w:rsid w:val="00E4290C"/>
    <w:rPr>
      <w:rFonts w:ascii="Courier New" w:hAnsi="Courier New" w:cs="Courier New"/>
      <w:sz w:val="20"/>
      <w:szCs w:val="20"/>
      <w:lang w:val="en-GB"/>
    </w:rPr>
  </w:style>
  <w:style w:type="character" w:styleId="HTMLVariable">
    <w:name w:val="HTML Variable"/>
    <w:basedOn w:val="DefaultParagraphFont"/>
    <w:semiHidden/>
    <w:rsid w:val="00E4290C"/>
    <w:rPr>
      <w:i/>
      <w:iCs/>
      <w:lang w:val="en-GB"/>
    </w:rPr>
  </w:style>
  <w:style w:type="character" w:styleId="LineNumber">
    <w:name w:val="line number"/>
    <w:basedOn w:val="DefaultParagraphFont"/>
    <w:semiHidden/>
    <w:rsid w:val="00E4290C"/>
    <w:rPr>
      <w:lang w:val="en-GB"/>
    </w:rPr>
  </w:style>
  <w:style w:type="paragraph" w:styleId="List2">
    <w:name w:val="List 2"/>
    <w:basedOn w:val="List"/>
    <w:rsid w:val="00E4290C"/>
    <w:pPr>
      <w:numPr>
        <w:numId w:val="6"/>
      </w:numPr>
    </w:pPr>
  </w:style>
  <w:style w:type="paragraph" w:styleId="List3">
    <w:name w:val="List 3"/>
    <w:basedOn w:val="List2"/>
    <w:rsid w:val="00E4290C"/>
    <w:pPr>
      <w:numPr>
        <w:numId w:val="7"/>
      </w:numPr>
    </w:pPr>
  </w:style>
  <w:style w:type="paragraph" w:styleId="List4">
    <w:name w:val="List 4"/>
    <w:basedOn w:val="List3"/>
    <w:rsid w:val="00E4290C"/>
    <w:pPr>
      <w:numPr>
        <w:numId w:val="8"/>
      </w:numPr>
    </w:pPr>
    <w:rPr>
      <w:rFonts w:cs="Arial"/>
    </w:rPr>
  </w:style>
  <w:style w:type="paragraph" w:styleId="List5">
    <w:name w:val="List 5"/>
    <w:basedOn w:val="Normal"/>
    <w:semiHidden/>
    <w:rsid w:val="00E4290C"/>
    <w:pPr>
      <w:ind w:left="1415" w:hanging="283"/>
    </w:pPr>
  </w:style>
  <w:style w:type="paragraph" w:styleId="ListContinue">
    <w:name w:val="List Continue"/>
    <w:basedOn w:val="Normal"/>
    <w:semiHidden/>
    <w:rsid w:val="00E4290C"/>
    <w:pPr>
      <w:ind w:left="283"/>
    </w:pPr>
  </w:style>
  <w:style w:type="paragraph" w:styleId="ListContinue2">
    <w:name w:val="List Continue 2"/>
    <w:basedOn w:val="Normal"/>
    <w:semiHidden/>
    <w:rsid w:val="00E4290C"/>
    <w:pPr>
      <w:ind w:left="566"/>
    </w:pPr>
  </w:style>
  <w:style w:type="paragraph" w:styleId="ListContinue3">
    <w:name w:val="List Continue 3"/>
    <w:basedOn w:val="Normal"/>
    <w:semiHidden/>
    <w:rsid w:val="00E4290C"/>
    <w:pPr>
      <w:ind w:left="849"/>
    </w:pPr>
  </w:style>
  <w:style w:type="paragraph" w:styleId="ListContinue4">
    <w:name w:val="List Continue 4"/>
    <w:basedOn w:val="Normal"/>
    <w:semiHidden/>
    <w:rsid w:val="00E4290C"/>
    <w:pPr>
      <w:ind w:left="1132"/>
    </w:pPr>
  </w:style>
  <w:style w:type="paragraph" w:styleId="ListContinue5">
    <w:name w:val="List Continue 5"/>
    <w:basedOn w:val="Normal"/>
    <w:semiHidden/>
    <w:rsid w:val="00E4290C"/>
    <w:pPr>
      <w:ind w:left="1415"/>
    </w:pPr>
  </w:style>
  <w:style w:type="paragraph" w:styleId="ListNumber">
    <w:name w:val="List Number"/>
    <w:basedOn w:val="List"/>
    <w:rsid w:val="00E4290C"/>
    <w:pPr>
      <w:numPr>
        <w:numId w:val="14"/>
      </w:numPr>
      <w:spacing w:before="60"/>
    </w:pPr>
  </w:style>
  <w:style w:type="paragraph" w:styleId="ListNumber2">
    <w:name w:val="List Number 2"/>
    <w:basedOn w:val="Normal"/>
    <w:semiHidden/>
    <w:rsid w:val="00E4290C"/>
    <w:pPr>
      <w:numPr>
        <w:numId w:val="15"/>
      </w:numPr>
    </w:pPr>
  </w:style>
  <w:style w:type="paragraph" w:styleId="ListNumber3">
    <w:name w:val="List Number 3"/>
    <w:basedOn w:val="Normal"/>
    <w:semiHidden/>
    <w:rsid w:val="00E4290C"/>
    <w:pPr>
      <w:numPr>
        <w:numId w:val="16"/>
      </w:numPr>
    </w:pPr>
  </w:style>
  <w:style w:type="paragraph" w:styleId="ListNumber4">
    <w:name w:val="List Number 4"/>
    <w:basedOn w:val="Normal"/>
    <w:semiHidden/>
    <w:rsid w:val="00E4290C"/>
  </w:style>
  <w:style w:type="paragraph" w:styleId="ListNumber5">
    <w:name w:val="List Number 5"/>
    <w:basedOn w:val="Normal"/>
    <w:semiHidden/>
    <w:rsid w:val="00E4290C"/>
    <w:pPr>
      <w:numPr>
        <w:numId w:val="17"/>
      </w:numPr>
    </w:pPr>
  </w:style>
  <w:style w:type="paragraph" w:styleId="NormalWeb">
    <w:name w:val="Normal (Web)"/>
    <w:basedOn w:val="Normal"/>
    <w:semiHidden/>
    <w:rsid w:val="00E4290C"/>
  </w:style>
  <w:style w:type="paragraph" w:styleId="NormalIndent">
    <w:name w:val="Normal Indent"/>
    <w:basedOn w:val="Normal"/>
    <w:semiHidden/>
    <w:rsid w:val="00E4290C"/>
    <w:pPr>
      <w:ind w:left="720"/>
    </w:pPr>
  </w:style>
  <w:style w:type="paragraph" w:styleId="NoteHeading">
    <w:name w:val="Note Heading"/>
    <w:basedOn w:val="Normal"/>
    <w:next w:val="Normal"/>
    <w:semiHidden/>
    <w:rsid w:val="00E4290C"/>
  </w:style>
  <w:style w:type="paragraph" w:styleId="Signature">
    <w:name w:val="Signature"/>
    <w:basedOn w:val="Normal"/>
    <w:semiHidden/>
    <w:rsid w:val="00E4290C"/>
    <w:pPr>
      <w:ind w:left="4252"/>
    </w:pPr>
  </w:style>
  <w:style w:type="character" w:styleId="Strong">
    <w:name w:val="Strong"/>
    <w:basedOn w:val="DefaultParagraphFont"/>
    <w:qFormat/>
    <w:rsid w:val="00E4290C"/>
    <w:rPr>
      <w:rFonts w:ascii="Verdana" w:hAnsi="Verdana"/>
      <w:b/>
      <w:bCs/>
      <w:lang w:val="en-GB"/>
    </w:rPr>
  </w:style>
  <w:style w:type="table" w:styleId="Table3Deffects1">
    <w:name w:val="Table 3D effects 1"/>
    <w:basedOn w:val="TableNormal"/>
    <w:semiHidden/>
    <w:rsid w:val="00E4290C"/>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E4290C"/>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E4290C"/>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E4290C"/>
    <w:rPr>
      <w:rFonts w:ascii="Verdana" w:hAnsi="Verdana"/>
      <w:color w:val="6F6E6F"/>
      <w:sz w:val="18"/>
    </w:rPr>
    <w:tblPr>
      <w:tblBorders>
        <w:top w:val="single" w:sz="6" w:space="0" w:color="6F6E6F"/>
        <w:left w:val="single" w:sz="6" w:space="0" w:color="6F6E6F"/>
        <w:bottom w:val="single" w:sz="6" w:space="0" w:color="6F6E6F"/>
        <w:right w:val="single" w:sz="6" w:space="0" w:color="6F6E6F"/>
        <w:insideH w:val="single" w:sz="6" w:space="0" w:color="6F6E6F"/>
        <w:insideV w:val="single" w:sz="6" w:space="0" w:color="6F6E6F"/>
      </w:tblBorders>
      <w:tblCellMar>
        <w:left w:w="115" w:type="dxa"/>
        <w:right w:w="115"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E4290C"/>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E4290C"/>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E4290C"/>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E4290C"/>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E4290C"/>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E4290C"/>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E4290C"/>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E4290C"/>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E4290C"/>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E4290C"/>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E4290C"/>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E4290C"/>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E4290C"/>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List1">
    <w:name w:val="Table List 1"/>
    <w:basedOn w:val="TableNormal"/>
    <w:semiHidden/>
    <w:rsid w:val="00E4290C"/>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E4290C"/>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E4290C"/>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E4290C"/>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E4290C"/>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E4290C"/>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E4290C"/>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E4290C"/>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E4290C"/>
    <w:rPr>
      <w:rFonts w:ascii="Verdana" w:hAnsi="Verdana"/>
      <w:sz w:val="18"/>
    </w:rPr>
    <w:tblPr>
      <w:tblBorders>
        <w:top w:val="single" w:sz="6" w:space="0" w:color="6F6E6F"/>
        <w:bottom w:val="single" w:sz="6" w:space="0" w:color="6F6E6F"/>
        <w:insideH w:val="single" w:sz="6" w:space="0" w:color="6F6E6F"/>
        <w:insideV w:val="single" w:sz="6" w:space="0" w:color="6F6E6F"/>
      </w:tblBorders>
    </w:tblPr>
    <w:tcPr>
      <w:shd w:val="clear" w:color="auto" w:fill="FFFFFF"/>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E4290C"/>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E4290C"/>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E4290C"/>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E4290C"/>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E4290C"/>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Web1">
    <w:name w:val="Table Web 1"/>
    <w:basedOn w:val="TableNormal"/>
    <w:semiHidden/>
    <w:rsid w:val="00E4290C"/>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E4290C"/>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E4290C"/>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Subtitle"/>
    <w:link w:val="TitleChar"/>
    <w:qFormat/>
    <w:rsid w:val="00E4290C"/>
    <w:pPr>
      <w:spacing w:before="240" w:after="240" w:line="240" w:lineRule="auto"/>
      <w:ind w:right="5778"/>
    </w:pPr>
    <w:rPr>
      <w:rFonts w:cs="Arial"/>
      <w:color w:val="FFFFFF"/>
      <w:sz w:val="40"/>
      <w:szCs w:val="40"/>
    </w:rPr>
  </w:style>
  <w:style w:type="table" w:styleId="TableTheme">
    <w:name w:val="Table Theme"/>
    <w:basedOn w:val="TableNormal"/>
    <w:semiHidden/>
    <w:rsid w:val="00E429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ondlevelSubtitle">
    <w:name w:val="Second level Subtitle"/>
    <w:basedOn w:val="BodyText"/>
    <w:rsid w:val="00E4290C"/>
    <w:rPr>
      <w:rFonts w:ascii="Arial Bold" w:hAnsi="Arial Bold"/>
      <w:b/>
      <w:color w:val="FFFFFF"/>
    </w:rPr>
  </w:style>
  <w:style w:type="character" w:customStyle="1" w:styleId="SubtitleDateChar">
    <w:name w:val="Subtitle Date Char"/>
    <w:basedOn w:val="SubtitleChar"/>
    <w:link w:val="SubtitleDate"/>
    <w:rsid w:val="00E4290C"/>
    <w:rPr>
      <w:rFonts w:ascii="Georgia" w:eastAsia="MS Mincho" w:hAnsi="Georgia" w:cs="Arial"/>
      <w:b/>
      <w:i/>
      <w:color w:val="FFFFFF"/>
      <w:kern w:val="16"/>
      <w:sz w:val="28"/>
      <w:szCs w:val="28"/>
      <w:lang w:val="en-US" w:eastAsia="ja-JP" w:bidi="ar-SA"/>
    </w:rPr>
  </w:style>
  <w:style w:type="paragraph" w:customStyle="1" w:styleId="TableCharttitle">
    <w:name w:val="Table Chart title"/>
    <w:basedOn w:val="TableTitle"/>
    <w:rsid w:val="00E32DBC"/>
    <w:pPr>
      <w:spacing w:before="40"/>
      <w:jc w:val="center"/>
    </w:pPr>
  </w:style>
  <w:style w:type="character" w:customStyle="1" w:styleId="TableHeaderRowBlueChar">
    <w:name w:val="Table Header Row Blue Char"/>
    <w:basedOn w:val="TableTextCharChar"/>
    <w:link w:val="TableHeaderRowBlue"/>
    <w:rsid w:val="00E32DBC"/>
    <w:rPr>
      <w:rFonts w:ascii="Arial" w:eastAsia="MS Mincho" w:hAnsi="Arial" w:cs="Arial"/>
      <w:b/>
      <w:bCs/>
      <w:color w:val="003263"/>
      <w:kern w:val="16"/>
      <w:sz w:val="16"/>
      <w:szCs w:val="18"/>
      <w:lang w:val="en-US" w:eastAsia="ja-JP" w:bidi="ar-SA"/>
    </w:rPr>
  </w:style>
  <w:style w:type="character" w:customStyle="1" w:styleId="TableHeaderRowBrightBlueChar">
    <w:name w:val="Table Header Row Bright Blue Char"/>
    <w:basedOn w:val="TableTextCharChar"/>
    <w:link w:val="TableHeaderRowBrightBlue"/>
    <w:rsid w:val="00E32DBC"/>
    <w:rPr>
      <w:rFonts w:ascii="Arial" w:eastAsia="MS Mincho" w:hAnsi="Arial" w:cs="Arial"/>
      <w:b/>
      <w:color w:val="0060A9"/>
      <w:kern w:val="16"/>
      <w:sz w:val="16"/>
      <w:szCs w:val="18"/>
      <w:lang w:val="en-US" w:eastAsia="zh-CN" w:bidi="ar-SA"/>
    </w:rPr>
  </w:style>
  <w:style w:type="paragraph" w:customStyle="1" w:styleId="TableTextRightAlign">
    <w:name w:val="Table Text Right Align"/>
    <w:basedOn w:val="TableText"/>
    <w:rsid w:val="00E4290C"/>
    <w:pPr>
      <w:jc w:val="right"/>
    </w:pPr>
  </w:style>
  <w:style w:type="paragraph" w:customStyle="1" w:styleId="TableTitle1">
    <w:name w:val="Table Title 1"/>
    <w:basedOn w:val="TableText"/>
    <w:rsid w:val="00E4290C"/>
    <w:rPr>
      <w:b/>
      <w:color w:val="0060A9"/>
      <w:lang w:eastAsia="zh-CN"/>
    </w:rPr>
  </w:style>
  <w:style w:type="paragraph" w:customStyle="1" w:styleId="TableTitle2">
    <w:name w:val="Table Title 2"/>
    <w:basedOn w:val="TableTitle1"/>
    <w:rsid w:val="00E4290C"/>
    <w:rPr>
      <w:color w:val="FFFFFF"/>
    </w:rPr>
  </w:style>
  <w:style w:type="paragraph" w:customStyle="1" w:styleId="BioName">
    <w:name w:val="Bio Name"/>
    <w:basedOn w:val="Normal"/>
    <w:next w:val="Normal"/>
    <w:rsid w:val="00E4290C"/>
    <w:pPr>
      <w:adjustRightInd/>
      <w:spacing w:before="120" w:after="60" w:line="240" w:lineRule="auto"/>
    </w:pPr>
    <w:rPr>
      <w:b/>
      <w:color w:val="003263"/>
      <w:kern w:val="14"/>
      <w:sz w:val="16"/>
      <w:szCs w:val="16"/>
    </w:rPr>
  </w:style>
  <w:style w:type="paragraph" w:customStyle="1" w:styleId="BioTitle">
    <w:name w:val="Bio Title"/>
    <w:basedOn w:val="BioName"/>
    <w:next w:val="BodyText"/>
    <w:rsid w:val="00E4290C"/>
    <w:pPr>
      <w:spacing w:before="0" w:after="120"/>
    </w:pPr>
    <w:rPr>
      <w:rFonts w:eastAsia="Times New Roman"/>
      <w:color w:val="5A5A5A"/>
    </w:rPr>
  </w:style>
  <w:style w:type="character" w:customStyle="1" w:styleId="GraphicCharChar">
    <w:name w:val="Graphic Char Char"/>
    <w:basedOn w:val="TableTextCharChar"/>
    <w:link w:val="Graphic"/>
    <w:rsid w:val="00E4290C"/>
    <w:rPr>
      <w:rFonts w:ascii="Arial" w:eastAsia="MS Mincho" w:hAnsi="Arial"/>
      <w:kern w:val="16"/>
      <w:sz w:val="18"/>
      <w:szCs w:val="18"/>
      <w:lang w:val="en-US" w:eastAsia="ja-JP" w:bidi="ar-SA"/>
    </w:rPr>
  </w:style>
  <w:style w:type="paragraph" w:customStyle="1" w:styleId="TableBullet3">
    <w:name w:val="Table Bullet 3"/>
    <w:basedOn w:val="TableBullet2"/>
    <w:rsid w:val="00E4290C"/>
    <w:pPr>
      <w:numPr>
        <w:numId w:val="27"/>
      </w:numPr>
      <w:tabs>
        <w:tab w:val="left" w:pos="595"/>
      </w:tabs>
    </w:pPr>
  </w:style>
  <w:style w:type="paragraph" w:customStyle="1" w:styleId="TableText">
    <w:name w:val="Table Text"/>
    <w:basedOn w:val="BodyText"/>
    <w:link w:val="TableTextCharChar"/>
    <w:rsid w:val="00E4290C"/>
    <w:pPr>
      <w:spacing w:before="80" w:after="80" w:line="180" w:lineRule="atLeast"/>
    </w:pPr>
    <w:rPr>
      <w:sz w:val="18"/>
      <w:szCs w:val="18"/>
    </w:rPr>
  </w:style>
  <w:style w:type="paragraph" w:customStyle="1" w:styleId="Graphic">
    <w:name w:val="Graphic"/>
    <w:basedOn w:val="BodyText"/>
    <w:next w:val="BodyText"/>
    <w:link w:val="GraphicCharChar"/>
    <w:rsid w:val="00E4290C"/>
    <w:pPr>
      <w:spacing w:before="20" w:after="20" w:line="240" w:lineRule="auto"/>
      <w:ind w:left="-58" w:right="-58"/>
      <w:jc w:val="center"/>
    </w:pPr>
    <w:rPr>
      <w:sz w:val="18"/>
      <w:szCs w:val="18"/>
    </w:rPr>
  </w:style>
  <w:style w:type="paragraph" w:customStyle="1" w:styleId="MiniMarker">
    <w:name w:val="Mini Marker"/>
    <w:basedOn w:val="BodyText"/>
    <w:next w:val="BodyText"/>
    <w:rsid w:val="00E4290C"/>
    <w:pPr>
      <w:spacing w:before="0" w:after="0" w:line="240" w:lineRule="auto"/>
    </w:pPr>
    <w:rPr>
      <w:sz w:val="10"/>
    </w:rPr>
  </w:style>
  <w:style w:type="paragraph" w:customStyle="1" w:styleId="Headingpage2">
    <w:name w:val="Heading_page2"/>
    <w:basedOn w:val="Heading1"/>
    <w:next w:val="Normal"/>
    <w:link w:val="Headingpage2CharChar"/>
    <w:semiHidden/>
    <w:rsid w:val="00E4290C"/>
    <w:pPr>
      <w:tabs>
        <w:tab w:val="left" w:pos="216"/>
      </w:tabs>
      <w:spacing w:after="240" w:line="240" w:lineRule="atLeast"/>
      <w:ind w:left="216" w:hanging="216"/>
    </w:pPr>
    <w:rPr>
      <w:bCs/>
      <w:color w:val="6F6E6E"/>
      <w:sz w:val="16"/>
    </w:rPr>
  </w:style>
  <w:style w:type="paragraph" w:customStyle="1" w:styleId="TableFootnote">
    <w:name w:val="Table Footnote"/>
    <w:rsid w:val="00E4290C"/>
    <w:pPr>
      <w:spacing w:before="40"/>
    </w:pPr>
    <w:rPr>
      <w:rFonts w:ascii="Arial" w:eastAsia="MS Mincho" w:hAnsi="Arial"/>
      <w:kern w:val="16"/>
      <w:sz w:val="14"/>
      <w:szCs w:val="14"/>
      <w:lang w:eastAsia="zh-CN"/>
    </w:rPr>
  </w:style>
  <w:style w:type="paragraph" w:customStyle="1" w:styleId="TableSource">
    <w:name w:val="Table Source"/>
    <w:basedOn w:val="TableFootnote"/>
    <w:rsid w:val="00E4290C"/>
    <w:rPr>
      <w:i/>
    </w:rPr>
  </w:style>
  <w:style w:type="paragraph" w:customStyle="1" w:styleId="TableBulletNumeric">
    <w:name w:val="Table Bullet Numeric"/>
    <w:basedOn w:val="TableText"/>
    <w:rsid w:val="00E4290C"/>
    <w:pPr>
      <w:numPr>
        <w:numId w:val="28"/>
      </w:numPr>
      <w:spacing w:line="240" w:lineRule="auto"/>
      <w:contextualSpacing/>
    </w:pPr>
    <w:rPr>
      <w:sz w:val="16"/>
    </w:rPr>
  </w:style>
  <w:style w:type="paragraph" w:customStyle="1" w:styleId="TableBullet1">
    <w:name w:val="Table Bullet 1"/>
    <w:basedOn w:val="TableText"/>
    <w:link w:val="TableBullet1CharChar"/>
    <w:rsid w:val="00E4290C"/>
    <w:pPr>
      <w:numPr>
        <w:numId w:val="25"/>
      </w:numPr>
      <w:spacing w:line="200" w:lineRule="atLeast"/>
      <w:contextualSpacing/>
    </w:pPr>
    <w:rPr>
      <w:sz w:val="16"/>
    </w:rPr>
  </w:style>
  <w:style w:type="paragraph" w:customStyle="1" w:styleId="TableBullet2">
    <w:name w:val="Table Bullet 2"/>
    <w:basedOn w:val="TableBullet1"/>
    <w:link w:val="TableBullet2CharChar"/>
    <w:rsid w:val="00E4290C"/>
    <w:pPr>
      <w:numPr>
        <w:numId w:val="26"/>
      </w:numPr>
    </w:pPr>
    <w:rPr>
      <w:lang w:val="en-CA"/>
    </w:rPr>
  </w:style>
  <w:style w:type="paragraph" w:customStyle="1" w:styleId="SubtitleDate">
    <w:name w:val="Subtitle Date"/>
    <w:basedOn w:val="Subtitle"/>
    <w:next w:val="BodyText"/>
    <w:link w:val="SubtitleDateChar"/>
    <w:rsid w:val="00E4290C"/>
    <w:pPr>
      <w:spacing w:before="120"/>
    </w:pPr>
  </w:style>
  <w:style w:type="character" w:customStyle="1" w:styleId="Headingpage2CharChar">
    <w:name w:val="Heading_page2 Char Char"/>
    <w:basedOn w:val="DefaultParagraphFont"/>
    <w:link w:val="Headingpage2"/>
    <w:rsid w:val="00E4290C"/>
    <w:rPr>
      <w:rFonts w:ascii="Arial" w:eastAsia="MS Mincho" w:hAnsi="Arial"/>
      <w:bCs/>
      <w:color w:val="6F6E6E"/>
      <w:kern w:val="16"/>
      <w:sz w:val="16"/>
      <w:szCs w:val="32"/>
      <w:lang w:val="en-US" w:eastAsia="ja-JP" w:bidi="ar-SA"/>
    </w:rPr>
  </w:style>
  <w:style w:type="paragraph" w:styleId="TOCHeading">
    <w:name w:val="TOC Heading"/>
    <w:basedOn w:val="Heading1"/>
    <w:next w:val="BodyText"/>
    <w:qFormat/>
    <w:rsid w:val="00E4290C"/>
  </w:style>
  <w:style w:type="paragraph" w:customStyle="1" w:styleId="FooterBackcover">
    <w:name w:val="Footer Backcover"/>
    <w:basedOn w:val="Normal"/>
    <w:rsid w:val="00E4290C"/>
    <w:pPr>
      <w:spacing w:before="0" w:after="60" w:line="240" w:lineRule="auto"/>
    </w:pPr>
    <w:rPr>
      <w:rFonts w:cs="Arial"/>
      <w:color w:val="002144"/>
      <w:spacing w:val="4"/>
      <w:szCs w:val="16"/>
      <w:lang w:val="en-CA"/>
    </w:rPr>
  </w:style>
  <w:style w:type="paragraph" w:customStyle="1" w:styleId="Sub-heading">
    <w:name w:val="Sub-heading"/>
    <w:basedOn w:val="SubHeading"/>
    <w:link w:val="Sub-headingChar"/>
    <w:qFormat/>
    <w:rsid w:val="00BC14D8"/>
    <w:rPr>
      <w:lang w:val="en-CA"/>
    </w:rPr>
  </w:style>
  <w:style w:type="character" w:customStyle="1" w:styleId="Sub-headingChar">
    <w:name w:val="Sub-heading Char"/>
    <w:basedOn w:val="DefaultParagraphFont"/>
    <w:link w:val="Sub-heading"/>
    <w:rsid w:val="00BC14D8"/>
    <w:rPr>
      <w:rFonts w:ascii="Arial" w:eastAsia="MS Mincho" w:hAnsi="Arial"/>
      <w:b/>
      <w:i/>
      <w:color w:val="0060A9"/>
      <w:kern w:val="16"/>
      <w:sz w:val="24"/>
      <w:szCs w:val="24"/>
      <w:lang w:val="en-CA" w:eastAsia="ja-JP"/>
    </w:rPr>
  </w:style>
  <w:style w:type="paragraph" w:styleId="ListParagraph">
    <w:name w:val="List Paragraph"/>
    <w:basedOn w:val="Normal"/>
    <w:uiPriority w:val="34"/>
    <w:qFormat/>
    <w:rsid w:val="006941C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041350">
      <w:bodyDiv w:val="1"/>
      <w:marLeft w:val="0"/>
      <w:marRight w:val="0"/>
      <w:marTop w:val="0"/>
      <w:marBottom w:val="0"/>
      <w:divBdr>
        <w:top w:val="none" w:sz="0" w:space="0" w:color="auto"/>
        <w:left w:val="none" w:sz="0" w:space="0" w:color="auto"/>
        <w:bottom w:val="none" w:sz="0" w:space="0" w:color="auto"/>
        <w:right w:val="none" w:sz="0" w:space="0" w:color="auto"/>
      </w:divBdr>
    </w:div>
    <w:div w:id="250508782">
      <w:bodyDiv w:val="1"/>
      <w:marLeft w:val="0"/>
      <w:marRight w:val="0"/>
      <w:marTop w:val="0"/>
      <w:marBottom w:val="0"/>
      <w:divBdr>
        <w:top w:val="none" w:sz="0" w:space="0" w:color="auto"/>
        <w:left w:val="none" w:sz="0" w:space="0" w:color="auto"/>
        <w:bottom w:val="none" w:sz="0" w:space="0" w:color="auto"/>
        <w:right w:val="none" w:sz="0" w:space="0" w:color="auto"/>
      </w:divBdr>
    </w:div>
    <w:div w:id="419108262">
      <w:bodyDiv w:val="1"/>
      <w:marLeft w:val="0"/>
      <w:marRight w:val="0"/>
      <w:marTop w:val="0"/>
      <w:marBottom w:val="0"/>
      <w:divBdr>
        <w:top w:val="none" w:sz="0" w:space="0" w:color="auto"/>
        <w:left w:val="none" w:sz="0" w:space="0" w:color="auto"/>
        <w:bottom w:val="none" w:sz="0" w:space="0" w:color="auto"/>
        <w:right w:val="none" w:sz="0" w:space="0" w:color="auto"/>
      </w:divBdr>
      <w:divsChild>
        <w:div w:id="1908610550">
          <w:marLeft w:val="0"/>
          <w:marRight w:val="0"/>
          <w:marTop w:val="0"/>
          <w:marBottom w:val="0"/>
          <w:divBdr>
            <w:top w:val="none" w:sz="0" w:space="0" w:color="auto"/>
            <w:left w:val="none" w:sz="0" w:space="0" w:color="auto"/>
            <w:bottom w:val="none" w:sz="0" w:space="0" w:color="auto"/>
            <w:right w:val="none" w:sz="0" w:space="0" w:color="auto"/>
          </w:divBdr>
          <w:divsChild>
            <w:div w:id="43568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96913">
      <w:bodyDiv w:val="1"/>
      <w:marLeft w:val="0"/>
      <w:marRight w:val="0"/>
      <w:marTop w:val="0"/>
      <w:marBottom w:val="0"/>
      <w:divBdr>
        <w:top w:val="none" w:sz="0" w:space="0" w:color="auto"/>
        <w:left w:val="none" w:sz="0" w:space="0" w:color="auto"/>
        <w:bottom w:val="none" w:sz="0" w:space="0" w:color="auto"/>
        <w:right w:val="none" w:sz="0" w:space="0" w:color="auto"/>
      </w:divBdr>
      <w:divsChild>
        <w:div w:id="1492678865">
          <w:marLeft w:val="0"/>
          <w:marRight w:val="0"/>
          <w:marTop w:val="0"/>
          <w:marBottom w:val="0"/>
          <w:divBdr>
            <w:top w:val="none" w:sz="0" w:space="0" w:color="auto"/>
            <w:left w:val="none" w:sz="0" w:space="0" w:color="auto"/>
            <w:bottom w:val="none" w:sz="0" w:space="0" w:color="auto"/>
            <w:right w:val="none" w:sz="0" w:space="0" w:color="auto"/>
          </w:divBdr>
        </w:div>
      </w:divsChild>
    </w:div>
    <w:div w:id="473179177">
      <w:bodyDiv w:val="1"/>
      <w:marLeft w:val="0"/>
      <w:marRight w:val="0"/>
      <w:marTop w:val="0"/>
      <w:marBottom w:val="0"/>
      <w:divBdr>
        <w:top w:val="none" w:sz="0" w:space="0" w:color="auto"/>
        <w:left w:val="none" w:sz="0" w:space="0" w:color="auto"/>
        <w:bottom w:val="none" w:sz="0" w:space="0" w:color="auto"/>
        <w:right w:val="none" w:sz="0" w:space="0" w:color="auto"/>
      </w:divBdr>
      <w:divsChild>
        <w:div w:id="2101171430">
          <w:marLeft w:val="0"/>
          <w:marRight w:val="0"/>
          <w:marTop w:val="0"/>
          <w:marBottom w:val="0"/>
          <w:divBdr>
            <w:top w:val="none" w:sz="0" w:space="0" w:color="auto"/>
            <w:left w:val="none" w:sz="0" w:space="0" w:color="auto"/>
            <w:bottom w:val="none" w:sz="0" w:space="0" w:color="auto"/>
            <w:right w:val="none" w:sz="0" w:space="0" w:color="auto"/>
          </w:divBdr>
        </w:div>
      </w:divsChild>
    </w:div>
    <w:div w:id="532115178">
      <w:bodyDiv w:val="1"/>
      <w:marLeft w:val="0"/>
      <w:marRight w:val="0"/>
      <w:marTop w:val="0"/>
      <w:marBottom w:val="0"/>
      <w:divBdr>
        <w:top w:val="none" w:sz="0" w:space="0" w:color="auto"/>
        <w:left w:val="none" w:sz="0" w:space="0" w:color="auto"/>
        <w:bottom w:val="none" w:sz="0" w:space="0" w:color="auto"/>
        <w:right w:val="none" w:sz="0" w:space="0" w:color="auto"/>
      </w:divBdr>
    </w:div>
    <w:div w:id="557667598">
      <w:bodyDiv w:val="1"/>
      <w:marLeft w:val="0"/>
      <w:marRight w:val="0"/>
      <w:marTop w:val="0"/>
      <w:marBottom w:val="0"/>
      <w:divBdr>
        <w:top w:val="none" w:sz="0" w:space="0" w:color="auto"/>
        <w:left w:val="none" w:sz="0" w:space="0" w:color="auto"/>
        <w:bottom w:val="none" w:sz="0" w:space="0" w:color="auto"/>
        <w:right w:val="none" w:sz="0" w:space="0" w:color="auto"/>
      </w:divBdr>
      <w:divsChild>
        <w:div w:id="431826404">
          <w:marLeft w:val="0"/>
          <w:marRight w:val="0"/>
          <w:marTop w:val="0"/>
          <w:marBottom w:val="0"/>
          <w:divBdr>
            <w:top w:val="none" w:sz="0" w:space="0" w:color="auto"/>
            <w:left w:val="none" w:sz="0" w:space="0" w:color="auto"/>
            <w:bottom w:val="none" w:sz="0" w:space="0" w:color="auto"/>
            <w:right w:val="none" w:sz="0" w:space="0" w:color="auto"/>
          </w:divBdr>
          <w:divsChild>
            <w:div w:id="49468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9423">
      <w:bodyDiv w:val="1"/>
      <w:marLeft w:val="0"/>
      <w:marRight w:val="0"/>
      <w:marTop w:val="0"/>
      <w:marBottom w:val="0"/>
      <w:divBdr>
        <w:top w:val="none" w:sz="0" w:space="0" w:color="auto"/>
        <w:left w:val="none" w:sz="0" w:space="0" w:color="auto"/>
        <w:bottom w:val="none" w:sz="0" w:space="0" w:color="auto"/>
        <w:right w:val="none" w:sz="0" w:space="0" w:color="auto"/>
      </w:divBdr>
    </w:div>
    <w:div w:id="608969601">
      <w:bodyDiv w:val="1"/>
      <w:marLeft w:val="0"/>
      <w:marRight w:val="0"/>
      <w:marTop w:val="0"/>
      <w:marBottom w:val="0"/>
      <w:divBdr>
        <w:top w:val="none" w:sz="0" w:space="0" w:color="auto"/>
        <w:left w:val="none" w:sz="0" w:space="0" w:color="auto"/>
        <w:bottom w:val="none" w:sz="0" w:space="0" w:color="auto"/>
        <w:right w:val="none" w:sz="0" w:space="0" w:color="auto"/>
      </w:divBdr>
      <w:divsChild>
        <w:div w:id="2128503102">
          <w:marLeft w:val="0"/>
          <w:marRight w:val="0"/>
          <w:marTop w:val="0"/>
          <w:marBottom w:val="0"/>
          <w:divBdr>
            <w:top w:val="none" w:sz="0" w:space="0" w:color="auto"/>
            <w:left w:val="none" w:sz="0" w:space="0" w:color="auto"/>
            <w:bottom w:val="none" w:sz="0" w:space="0" w:color="auto"/>
            <w:right w:val="none" w:sz="0" w:space="0" w:color="auto"/>
          </w:divBdr>
          <w:divsChild>
            <w:div w:id="141099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79747">
      <w:bodyDiv w:val="1"/>
      <w:marLeft w:val="0"/>
      <w:marRight w:val="0"/>
      <w:marTop w:val="100"/>
      <w:marBottom w:val="100"/>
      <w:divBdr>
        <w:top w:val="none" w:sz="0" w:space="0" w:color="auto"/>
        <w:left w:val="none" w:sz="0" w:space="0" w:color="auto"/>
        <w:bottom w:val="none" w:sz="0" w:space="0" w:color="auto"/>
        <w:right w:val="none" w:sz="0" w:space="0" w:color="auto"/>
      </w:divBdr>
      <w:divsChild>
        <w:div w:id="759569598">
          <w:marLeft w:val="0"/>
          <w:marRight w:val="0"/>
          <w:marTop w:val="100"/>
          <w:marBottom w:val="100"/>
          <w:divBdr>
            <w:top w:val="none" w:sz="0" w:space="0" w:color="auto"/>
            <w:left w:val="none" w:sz="0" w:space="0" w:color="auto"/>
            <w:bottom w:val="none" w:sz="0" w:space="0" w:color="auto"/>
            <w:right w:val="none" w:sz="0" w:space="0" w:color="auto"/>
          </w:divBdr>
          <w:divsChild>
            <w:div w:id="410006576">
              <w:marLeft w:val="0"/>
              <w:marRight w:val="0"/>
              <w:marTop w:val="100"/>
              <w:marBottom w:val="100"/>
              <w:divBdr>
                <w:top w:val="none" w:sz="0" w:space="0" w:color="auto"/>
                <w:left w:val="none" w:sz="0" w:space="0" w:color="auto"/>
                <w:bottom w:val="none" w:sz="0" w:space="0" w:color="auto"/>
                <w:right w:val="none" w:sz="0" w:space="0" w:color="auto"/>
              </w:divBdr>
              <w:divsChild>
                <w:div w:id="1976328166">
                  <w:marLeft w:val="635"/>
                  <w:marRight w:val="0"/>
                  <w:marTop w:val="311"/>
                  <w:marBottom w:val="0"/>
                  <w:divBdr>
                    <w:top w:val="none" w:sz="0" w:space="0" w:color="auto"/>
                    <w:left w:val="none" w:sz="0" w:space="0" w:color="auto"/>
                    <w:bottom w:val="none" w:sz="0" w:space="0" w:color="auto"/>
                    <w:right w:val="none" w:sz="0" w:space="0" w:color="auto"/>
                  </w:divBdr>
                </w:div>
              </w:divsChild>
            </w:div>
          </w:divsChild>
        </w:div>
      </w:divsChild>
    </w:div>
    <w:div w:id="866721202">
      <w:bodyDiv w:val="1"/>
      <w:marLeft w:val="0"/>
      <w:marRight w:val="0"/>
      <w:marTop w:val="0"/>
      <w:marBottom w:val="0"/>
      <w:divBdr>
        <w:top w:val="none" w:sz="0" w:space="0" w:color="auto"/>
        <w:left w:val="none" w:sz="0" w:space="0" w:color="auto"/>
        <w:bottom w:val="none" w:sz="0" w:space="0" w:color="auto"/>
        <w:right w:val="none" w:sz="0" w:space="0" w:color="auto"/>
      </w:divBdr>
    </w:div>
    <w:div w:id="917983250">
      <w:bodyDiv w:val="1"/>
      <w:marLeft w:val="0"/>
      <w:marRight w:val="0"/>
      <w:marTop w:val="0"/>
      <w:marBottom w:val="0"/>
      <w:divBdr>
        <w:top w:val="none" w:sz="0" w:space="0" w:color="auto"/>
        <w:left w:val="none" w:sz="0" w:space="0" w:color="auto"/>
        <w:bottom w:val="none" w:sz="0" w:space="0" w:color="auto"/>
        <w:right w:val="none" w:sz="0" w:space="0" w:color="auto"/>
      </w:divBdr>
      <w:divsChild>
        <w:div w:id="1799034166">
          <w:marLeft w:val="0"/>
          <w:marRight w:val="0"/>
          <w:marTop w:val="0"/>
          <w:marBottom w:val="0"/>
          <w:divBdr>
            <w:top w:val="none" w:sz="0" w:space="0" w:color="auto"/>
            <w:left w:val="none" w:sz="0" w:space="0" w:color="auto"/>
            <w:bottom w:val="none" w:sz="0" w:space="0" w:color="auto"/>
            <w:right w:val="none" w:sz="0" w:space="0" w:color="auto"/>
          </w:divBdr>
        </w:div>
      </w:divsChild>
    </w:div>
    <w:div w:id="995374417">
      <w:bodyDiv w:val="1"/>
      <w:marLeft w:val="0"/>
      <w:marRight w:val="0"/>
      <w:marTop w:val="0"/>
      <w:marBottom w:val="0"/>
      <w:divBdr>
        <w:top w:val="none" w:sz="0" w:space="0" w:color="auto"/>
        <w:left w:val="none" w:sz="0" w:space="0" w:color="auto"/>
        <w:bottom w:val="none" w:sz="0" w:space="0" w:color="auto"/>
        <w:right w:val="none" w:sz="0" w:space="0" w:color="auto"/>
      </w:divBdr>
      <w:divsChild>
        <w:div w:id="477695605">
          <w:marLeft w:val="0"/>
          <w:marRight w:val="0"/>
          <w:marTop w:val="0"/>
          <w:marBottom w:val="0"/>
          <w:divBdr>
            <w:top w:val="none" w:sz="0" w:space="0" w:color="auto"/>
            <w:left w:val="none" w:sz="0" w:space="0" w:color="auto"/>
            <w:bottom w:val="none" w:sz="0" w:space="0" w:color="auto"/>
            <w:right w:val="none" w:sz="0" w:space="0" w:color="auto"/>
          </w:divBdr>
          <w:divsChild>
            <w:div w:id="824978076">
              <w:marLeft w:val="0"/>
              <w:marRight w:val="0"/>
              <w:marTop w:val="0"/>
              <w:marBottom w:val="0"/>
              <w:divBdr>
                <w:top w:val="none" w:sz="0" w:space="0" w:color="auto"/>
                <w:left w:val="none" w:sz="0" w:space="0" w:color="auto"/>
                <w:bottom w:val="none" w:sz="0" w:space="0" w:color="auto"/>
                <w:right w:val="none" w:sz="0" w:space="0" w:color="auto"/>
              </w:divBdr>
            </w:div>
            <w:div w:id="90711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945331">
      <w:bodyDiv w:val="1"/>
      <w:marLeft w:val="0"/>
      <w:marRight w:val="0"/>
      <w:marTop w:val="0"/>
      <w:marBottom w:val="0"/>
      <w:divBdr>
        <w:top w:val="none" w:sz="0" w:space="0" w:color="auto"/>
        <w:left w:val="none" w:sz="0" w:space="0" w:color="auto"/>
        <w:bottom w:val="none" w:sz="0" w:space="0" w:color="auto"/>
        <w:right w:val="none" w:sz="0" w:space="0" w:color="auto"/>
      </w:divBdr>
      <w:divsChild>
        <w:div w:id="434524781">
          <w:marLeft w:val="0"/>
          <w:marRight w:val="0"/>
          <w:marTop w:val="0"/>
          <w:marBottom w:val="0"/>
          <w:divBdr>
            <w:top w:val="none" w:sz="0" w:space="0" w:color="auto"/>
            <w:left w:val="none" w:sz="0" w:space="0" w:color="auto"/>
            <w:bottom w:val="none" w:sz="0" w:space="0" w:color="auto"/>
            <w:right w:val="none" w:sz="0" w:space="0" w:color="auto"/>
          </w:divBdr>
          <w:divsChild>
            <w:div w:id="597058011">
              <w:marLeft w:val="0"/>
              <w:marRight w:val="0"/>
              <w:marTop w:val="0"/>
              <w:marBottom w:val="0"/>
              <w:divBdr>
                <w:top w:val="none" w:sz="0" w:space="0" w:color="auto"/>
                <w:left w:val="none" w:sz="0" w:space="0" w:color="auto"/>
                <w:bottom w:val="none" w:sz="0" w:space="0" w:color="auto"/>
                <w:right w:val="none" w:sz="0" w:space="0" w:color="auto"/>
              </w:divBdr>
            </w:div>
            <w:div w:id="939728170">
              <w:marLeft w:val="0"/>
              <w:marRight w:val="0"/>
              <w:marTop w:val="0"/>
              <w:marBottom w:val="0"/>
              <w:divBdr>
                <w:top w:val="none" w:sz="0" w:space="0" w:color="auto"/>
                <w:left w:val="none" w:sz="0" w:space="0" w:color="auto"/>
                <w:bottom w:val="none" w:sz="0" w:space="0" w:color="auto"/>
                <w:right w:val="none" w:sz="0" w:space="0" w:color="auto"/>
              </w:divBdr>
            </w:div>
            <w:div w:id="1556968030">
              <w:marLeft w:val="0"/>
              <w:marRight w:val="0"/>
              <w:marTop w:val="0"/>
              <w:marBottom w:val="0"/>
              <w:divBdr>
                <w:top w:val="none" w:sz="0" w:space="0" w:color="auto"/>
                <w:left w:val="none" w:sz="0" w:space="0" w:color="auto"/>
                <w:bottom w:val="none" w:sz="0" w:space="0" w:color="auto"/>
                <w:right w:val="none" w:sz="0" w:space="0" w:color="auto"/>
              </w:divBdr>
            </w:div>
            <w:div w:id="209357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772897">
      <w:bodyDiv w:val="1"/>
      <w:marLeft w:val="0"/>
      <w:marRight w:val="0"/>
      <w:marTop w:val="0"/>
      <w:marBottom w:val="0"/>
      <w:divBdr>
        <w:top w:val="none" w:sz="0" w:space="0" w:color="auto"/>
        <w:left w:val="none" w:sz="0" w:space="0" w:color="auto"/>
        <w:bottom w:val="none" w:sz="0" w:space="0" w:color="auto"/>
        <w:right w:val="none" w:sz="0" w:space="0" w:color="auto"/>
      </w:divBdr>
      <w:divsChild>
        <w:div w:id="689648905">
          <w:marLeft w:val="0"/>
          <w:marRight w:val="0"/>
          <w:marTop w:val="0"/>
          <w:marBottom w:val="0"/>
          <w:divBdr>
            <w:top w:val="none" w:sz="0" w:space="0" w:color="auto"/>
            <w:left w:val="none" w:sz="0" w:space="0" w:color="auto"/>
            <w:bottom w:val="none" w:sz="0" w:space="0" w:color="auto"/>
            <w:right w:val="none" w:sz="0" w:space="0" w:color="auto"/>
          </w:divBdr>
        </w:div>
      </w:divsChild>
    </w:div>
    <w:div w:id="1113355612">
      <w:bodyDiv w:val="1"/>
      <w:marLeft w:val="0"/>
      <w:marRight w:val="0"/>
      <w:marTop w:val="0"/>
      <w:marBottom w:val="0"/>
      <w:divBdr>
        <w:top w:val="none" w:sz="0" w:space="0" w:color="auto"/>
        <w:left w:val="none" w:sz="0" w:space="0" w:color="auto"/>
        <w:bottom w:val="none" w:sz="0" w:space="0" w:color="auto"/>
        <w:right w:val="none" w:sz="0" w:space="0" w:color="auto"/>
      </w:divBdr>
    </w:div>
    <w:div w:id="1135752704">
      <w:bodyDiv w:val="1"/>
      <w:marLeft w:val="0"/>
      <w:marRight w:val="0"/>
      <w:marTop w:val="0"/>
      <w:marBottom w:val="0"/>
      <w:divBdr>
        <w:top w:val="none" w:sz="0" w:space="0" w:color="auto"/>
        <w:left w:val="none" w:sz="0" w:space="0" w:color="auto"/>
        <w:bottom w:val="none" w:sz="0" w:space="0" w:color="auto"/>
        <w:right w:val="none" w:sz="0" w:space="0" w:color="auto"/>
      </w:divBdr>
      <w:divsChild>
        <w:div w:id="1218709456">
          <w:marLeft w:val="0"/>
          <w:marRight w:val="0"/>
          <w:marTop w:val="0"/>
          <w:marBottom w:val="0"/>
          <w:divBdr>
            <w:top w:val="none" w:sz="0" w:space="0" w:color="auto"/>
            <w:left w:val="none" w:sz="0" w:space="0" w:color="auto"/>
            <w:bottom w:val="none" w:sz="0" w:space="0" w:color="auto"/>
            <w:right w:val="none" w:sz="0" w:space="0" w:color="auto"/>
          </w:divBdr>
          <w:divsChild>
            <w:div w:id="17503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060639">
      <w:bodyDiv w:val="1"/>
      <w:marLeft w:val="0"/>
      <w:marRight w:val="0"/>
      <w:marTop w:val="0"/>
      <w:marBottom w:val="0"/>
      <w:divBdr>
        <w:top w:val="none" w:sz="0" w:space="0" w:color="auto"/>
        <w:left w:val="none" w:sz="0" w:space="0" w:color="auto"/>
        <w:bottom w:val="none" w:sz="0" w:space="0" w:color="auto"/>
        <w:right w:val="none" w:sz="0" w:space="0" w:color="auto"/>
      </w:divBdr>
      <w:divsChild>
        <w:div w:id="1110130324">
          <w:marLeft w:val="0"/>
          <w:marRight w:val="0"/>
          <w:marTop w:val="0"/>
          <w:marBottom w:val="0"/>
          <w:divBdr>
            <w:top w:val="none" w:sz="0" w:space="0" w:color="auto"/>
            <w:left w:val="none" w:sz="0" w:space="0" w:color="auto"/>
            <w:bottom w:val="none" w:sz="0" w:space="0" w:color="auto"/>
            <w:right w:val="none" w:sz="0" w:space="0" w:color="auto"/>
          </w:divBdr>
          <w:divsChild>
            <w:div w:id="12521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044934">
      <w:bodyDiv w:val="1"/>
      <w:marLeft w:val="0"/>
      <w:marRight w:val="0"/>
      <w:marTop w:val="0"/>
      <w:marBottom w:val="0"/>
      <w:divBdr>
        <w:top w:val="none" w:sz="0" w:space="0" w:color="auto"/>
        <w:left w:val="none" w:sz="0" w:space="0" w:color="auto"/>
        <w:bottom w:val="none" w:sz="0" w:space="0" w:color="auto"/>
        <w:right w:val="none" w:sz="0" w:space="0" w:color="auto"/>
      </w:divBdr>
      <w:divsChild>
        <w:div w:id="127478066">
          <w:marLeft w:val="0"/>
          <w:marRight w:val="0"/>
          <w:marTop w:val="0"/>
          <w:marBottom w:val="0"/>
          <w:divBdr>
            <w:top w:val="none" w:sz="0" w:space="0" w:color="auto"/>
            <w:left w:val="none" w:sz="0" w:space="0" w:color="auto"/>
            <w:bottom w:val="none" w:sz="0" w:space="0" w:color="auto"/>
            <w:right w:val="none" w:sz="0" w:space="0" w:color="auto"/>
          </w:divBdr>
        </w:div>
      </w:divsChild>
    </w:div>
    <w:div w:id="1497306478">
      <w:bodyDiv w:val="1"/>
      <w:marLeft w:val="0"/>
      <w:marRight w:val="0"/>
      <w:marTop w:val="0"/>
      <w:marBottom w:val="0"/>
      <w:divBdr>
        <w:top w:val="none" w:sz="0" w:space="0" w:color="auto"/>
        <w:left w:val="none" w:sz="0" w:space="0" w:color="auto"/>
        <w:bottom w:val="none" w:sz="0" w:space="0" w:color="auto"/>
        <w:right w:val="none" w:sz="0" w:space="0" w:color="auto"/>
      </w:divBdr>
      <w:divsChild>
        <w:div w:id="1600328631">
          <w:marLeft w:val="0"/>
          <w:marRight w:val="0"/>
          <w:marTop w:val="0"/>
          <w:marBottom w:val="0"/>
          <w:divBdr>
            <w:top w:val="none" w:sz="0" w:space="0" w:color="auto"/>
            <w:left w:val="none" w:sz="0" w:space="0" w:color="auto"/>
            <w:bottom w:val="none" w:sz="0" w:space="0" w:color="auto"/>
            <w:right w:val="none" w:sz="0" w:space="0" w:color="auto"/>
          </w:divBdr>
          <w:divsChild>
            <w:div w:id="181434422">
              <w:marLeft w:val="0"/>
              <w:marRight w:val="0"/>
              <w:marTop w:val="74"/>
              <w:marBottom w:val="0"/>
              <w:divBdr>
                <w:top w:val="single" w:sz="4" w:space="4" w:color="666666"/>
                <w:left w:val="none" w:sz="0" w:space="0" w:color="auto"/>
                <w:bottom w:val="none" w:sz="0" w:space="0" w:color="auto"/>
                <w:right w:val="none" w:sz="0" w:space="0" w:color="auto"/>
              </w:divBdr>
            </w:div>
          </w:divsChild>
        </w:div>
      </w:divsChild>
    </w:div>
    <w:div w:id="1567449875">
      <w:bodyDiv w:val="1"/>
      <w:marLeft w:val="0"/>
      <w:marRight w:val="0"/>
      <w:marTop w:val="0"/>
      <w:marBottom w:val="0"/>
      <w:divBdr>
        <w:top w:val="none" w:sz="0" w:space="0" w:color="auto"/>
        <w:left w:val="none" w:sz="0" w:space="0" w:color="auto"/>
        <w:bottom w:val="none" w:sz="0" w:space="0" w:color="auto"/>
        <w:right w:val="none" w:sz="0" w:space="0" w:color="auto"/>
      </w:divBdr>
      <w:divsChild>
        <w:div w:id="24059681">
          <w:marLeft w:val="0"/>
          <w:marRight w:val="0"/>
          <w:marTop w:val="0"/>
          <w:marBottom w:val="0"/>
          <w:divBdr>
            <w:top w:val="none" w:sz="0" w:space="0" w:color="auto"/>
            <w:left w:val="none" w:sz="0" w:space="0" w:color="auto"/>
            <w:bottom w:val="none" w:sz="0" w:space="0" w:color="auto"/>
            <w:right w:val="none" w:sz="0" w:space="0" w:color="auto"/>
          </w:divBdr>
        </w:div>
        <w:div w:id="362680426">
          <w:marLeft w:val="0"/>
          <w:marRight w:val="0"/>
          <w:marTop w:val="0"/>
          <w:marBottom w:val="0"/>
          <w:divBdr>
            <w:top w:val="none" w:sz="0" w:space="0" w:color="auto"/>
            <w:left w:val="none" w:sz="0" w:space="0" w:color="auto"/>
            <w:bottom w:val="none" w:sz="0" w:space="0" w:color="auto"/>
            <w:right w:val="none" w:sz="0" w:space="0" w:color="auto"/>
          </w:divBdr>
        </w:div>
        <w:div w:id="669286088">
          <w:marLeft w:val="0"/>
          <w:marRight w:val="0"/>
          <w:marTop w:val="0"/>
          <w:marBottom w:val="0"/>
          <w:divBdr>
            <w:top w:val="none" w:sz="0" w:space="0" w:color="auto"/>
            <w:left w:val="none" w:sz="0" w:space="0" w:color="auto"/>
            <w:bottom w:val="none" w:sz="0" w:space="0" w:color="auto"/>
            <w:right w:val="none" w:sz="0" w:space="0" w:color="auto"/>
          </w:divBdr>
        </w:div>
        <w:div w:id="783769970">
          <w:marLeft w:val="0"/>
          <w:marRight w:val="0"/>
          <w:marTop w:val="0"/>
          <w:marBottom w:val="0"/>
          <w:divBdr>
            <w:top w:val="none" w:sz="0" w:space="0" w:color="auto"/>
            <w:left w:val="none" w:sz="0" w:space="0" w:color="auto"/>
            <w:bottom w:val="none" w:sz="0" w:space="0" w:color="auto"/>
            <w:right w:val="none" w:sz="0" w:space="0" w:color="auto"/>
          </w:divBdr>
        </w:div>
        <w:div w:id="1308901566">
          <w:marLeft w:val="0"/>
          <w:marRight w:val="0"/>
          <w:marTop w:val="0"/>
          <w:marBottom w:val="0"/>
          <w:divBdr>
            <w:top w:val="none" w:sz="0" w:space="0" w:color="auto"/>
            <w:left w:val="none" w:sz="0" w:space="0" w:color="auto"/>
            <w:bottom w:val="none" w:sz="0" w:space="0" w:color="auto"/>
            <w:right w:val="none" w:sz="0" w:space="0" w:color="auto"/>
          </w:divBdr>
        </w:div>
        <w:div w:id="1362585728">
          <w:marLeft w:val="0"/>
          <w:marRight w:val="0"/>
          <w:marTop w:val="0"/>
          <w:marBottom w:val="0"/>
          <w:divBdr>
            <w:top w:val="none" w:sz="0" w:space="0" w:color="auto"/>
            <w:left w:val="none" w:sz="0" w:space="0" w:color="auto"/>
            <w:bottom w:val="none" w:sz="0" w:space="0" w:color="auto"/>
            <w:right w:val="none" w:sz="0" w:space="0" w:color="auto"/>
          </w:divBdr>
        </w:div>
        <w:div w:id="1398363345">
          <w:marLeft w:val="0"/>
          <w:marRight w:val="0"/>
          <w:marTop w:val="0"/>
          <w:marBottom w:val="0"/>
          <w:divBdr>
            <w:top w:val="none" w:sz="0" w:space="0" w:color="auto"/>
            <w:left w:val="none" w:sz="0" w:space="0" w:color="auto"/>
            <w:bottom w:val="none" w:sz="0" w:space="0" w:color="auto"/>
            <w:right w:val="none" w:sz="0" w:space="0" w:color="auto"/>
          </w:divBdr>
        </w:div>
        <w:div w:id="1751657061">
          <w:marLeft w:val="0"/>
          <w:marRight w:val="0"/>
          <w:marTop w:val="0"/>
          <w:marBottom w:val="0"/>
          <w:divBdr>
            <w:top w:val="none" w:sz="0" w:space="0" w:color="auto"/>
            <w:left w:val="none" w:sz="0" w:space="0" w:color="auto"/>
            <w:bottom w:val="none" w:sz="0" w:space="0" w:color="auto"/>
            <w:right w:val="none" w:sz="0" w:space="0" w:color="auto"/>
          </w:divBdr>
        </w:div>
        <w:div w:id="1759254752">
          <w:marLeft w:val="0"/>
          <w:marRight w:val="0"/>
          <w:marTop w:val="0"/>
          <w:marBottom w:val="0"/>
          <w:divBdr>
            <w:top w:val="none" w:sz="0" w:space="0" w:color="auto"/>
            <w:left w:val="none" w:sz="0" w:space="0" w:color="auto"/>
            <w:bottom w:val="none" w:sz="0" w:space="0" w:color="auto"/>
            <w:right w:val="none" w:sz="0" w:space="0" w:color="auto"/>
          </w:divBdr>
        </w:div>
        <w:div w:id="1797790076">
          <w:marLeft w:val="0"/>
          <w:marRight w:val="0"/>
          <w:marTop w:val="0"/>
          <w:marBottom w:val="0"/>
          <w:divBdr>
            <w:top w:val="none" w:sz="0" w:space="0" w:color="auto"/>
            <w:left w:val="none" w:sz="0" w:space="0" w:color="auto"/>
            <w:bottom w:val="none" w:sz="0" w:space="0" w:color="auto"/>
            <w:right w:val="none" w:sz="0" w:space="0" w:color="auto"/>
          </w:divBdr>
        </w:div>
        <w:div w:id="2082293364">
          <w:marLeft w:val="0"/>
          <w:marRight w:val="0"/>
          <w:marTop w:val="0"/>
          <w:marBottom w:val="0"/>
          <w:divBdr>
            <w:top w:val="none" w:sz="0" w:space="0" w:color="auto"/>
            <w:left w:val="none" w:sz="0" w:space="0" w:color="auto"/>
            <w:bottom w:val="none" w:sz="0" w:space="0" w:color="auto"/>
            <w:right w:val="none" w:sz="0" w:space="0" w:color="auto"/>
          </w:divBdr>
        </w:div>
        <w:div w:id="2126189436">
          <w:marLeft w:val="0"/>
          <w:marRight w:val="0"/>
          <w:marTop w:val="0"/>
          <w:marBottom w:val="0"/>
          <w:divBdr>
            <w:top w:val="none" w:sz="0" w:space="0" w:color="auto"/>
            <w:left w:val="none" w:sz="0" w:space="0" w:color="auto"/>
            <w:bottom w:val="none" w:sz="0" w:space="0" w:color="auto"/>
            <w:right w:val="none" w:sz="0" w:space="0" w:color="auto"/>
          </w:divBdr>
        </w:div>
      </w:divsChild>
    </w:div>
    <w:div w:id="1594778829">
      <w:bodyDiv w:val="1"/>
      <w:marLeft w:val="0"/>
      <w:marRight w:val="0"/>
      <w:marTop w:val="0"/>
      <w:marBottom w:val="0"/>
      <w:divBdr>
        <w:top w:val="none" w:sz="0" w:space="0" w:color="auto"/>
        <w:left w:val="none" w:sz="0" w:space="0" w:color="auto"/>
        <w:bottom w:val="none" w:sz="0" w:space="0" w:color="auto"/>
        <w:right w:val="none" w:sz="0" w:space="0" w:color="auto"/>
      </w:divBdr>
    </w:div>
    <w:div w:id="1598517815">
      <w:bodyDiv w:val="1"/>
      <w:marLeft w:val="0"/>
      <w:marRight w:val="0"/>
      <w:marTop w:val="0"/>
      <w:marBottom w:val="0"/>
      <w:divBdr>
        <w:top w:val="none" w:sz="0" w:space="0" w:color="auto"/>
        <w:left w:val="none" w:sz="0" w:space="0" w:color="auto"/>
        <w:bottom w:val="none" w:sz="0" w:space="0" w:color="auto"/>
        <w:right w:val="none" w:sz="0" w:space="0" w:color="auto"/>
      </w:divBdr>
      <w:divsChild>
        <w:div w:id="144275757">
          <w:marLeft w:val="0"/>
          <w:marRight w:val="0"/>
          <w:marTop w:val="0"/>
          <w:marBottom w:val="0"/>
          <w:divBdr>
            <w:top w:val="none" w:sz="0" w:space="0" w:color="auto"/>
            <w:left w:val="none" w:sz="0" w:space="0" w:color="auto"/>
            <w:bottom w:val="none" w:sz="0" w:space="0" w:color="auto"/>
            <w:right w:val="none" w:sz="0" w:space="0" w:color="auto"/>
          </w:divBdr>
        </w:div>
        <w:div w:id="362245376">
          <w:marLeft w:val="0"/>
          <w:marRight w:val="0"/>
          <w:marTop w:val="0"/>
          <w:marBottom w:val="0"/>
          <w:divBdr>
            <w:top w:val="none" w:sz="0" w:space="0" w:color="auto"/>
            <w:left w:val="none" w:sz="0" w:space="0" w:color="auto"/>
            <w:bottom w:val="none" w:sz="0" w:space="0" w:color="auto"/>
            <w:right w:val="none" w:sz="0" w:space="0" w:color="auto"/>
          </w:divBdr>
        </w:div>
        <w:div w:id="475610597">
          <w:marLeft w:val="0"/>
          <w:marRight w:val="0"/>
          <w:marTop w:val="0"/>
          <w:marBottom w:val="0"/>
          <w:divBdr>
            <w:top w:val="none" w:sz="0" w:space="0" w:color="auto"/>
            <w:left w:val="none" w:sz="0" w:space="0" w:color="auto"/>
            <w:bottom w:val="none" w:sz="0" w:space="0" w:color="auto"/>
            <w:right w:val="none" w:sz="0" w:space="0" w:color="auto"/>
          </w:divBdr>
        </w:div>
        <w:div w:id="1409383683">
          <w:marLeft w:val="0"/>
          <w:marRight w:val="0"/>
          <w:marTop w:val="0"/>
          <w:marBottom w:val="0"/>
          <w:divBdr>
            <w:top w:val="none" w:sz="0" w:space="0" w:color="auto"/>
            <w:left w:val="none" w:sz="0" w:space="0" w:color="auto"/>
            <w:bottom w:val="none" w:sz="0" w:space="0" w:color="auto"/>
            <w:right w:val="none" w:sz="0" w:space="0" w:color="auto"/>
          </w:divBdr>
        </w:div>
        <w:div w:id="1572888649">
          <w:marLeft w:val="0"/>
          <w:marRight w:val="0"/>
          <w:marTop w:val="0"/>
          <w:marBottom w:val="0"/>
          <w:divBdr>
            <w:top w:val="none" w:sz="0" w:space="0" w:color="auto"/>
            <w:left w:val="none" w:sz="0" w:space="0" w:color="auto"/>
            <w:bottom w:val="none" w:sz="0" w:space="0" w:color="auto"/>
            <w:right w:val="none" w:sz="0" w:space="0" w:color="auto"/>
          </w:divBdr>
        </w:div>
        <w:div w:id="1724214722">
          <w:marLeft w:val="0"/>
          <w:marRight w:val="0"/>
          <w:marTop w:val="0"/>
          <w:marBottom w:val="0"/>
          <w:divBdr>
            <w:top w:val="none" w:sz="0" w:space="0" w:color="auto"/>
            <w:left w:val="none" w:sz="0" w:space="0" w:color="auto"/>
            <w:bottom w:val="none" w:sz="0" w:space="0" w:color="auto"/>
            <w:right w:val="none" w:sz="0" w:space="0" w:color="auto"/>
          </w:divBdr>
        </w:div>
      </w:divsChild>
    </w:div>
    <w:div w:id="1719820229">
      <w:bodyDiv w:val="1"/>
      <w:marLeft w:val="0"/>
      <w:marRight w:val="0"/>
      <w:marTop w:val="0"/>
      <w:marBottom w:val="0"/>
      <w:divBdr>
        <w:top w:val="none" w:sz="0" w:space="0" w:color="auto"/>
        <w:left w:val="none" w:sz="0" w:space="0" w:color="auto"/>
        <w:bottom w:val="none" w:sz="0" w:space="0" w:color="auto"/>
        <w:right w:val="none" w:sz="0" w:space="0" w:color="auto"/>
      </w:divBdr>
      <w:divsChild>
        <w:div w:id="2896992">
          <w:marLeft w:val="0"/>
          <w:marRight w:val="0"/>
          <w:marTop w:val="0"/>
          <w:marBottom w:val="0"/>
          <w:divBdr>
            <w:top w:val="none" w:sz="0" w:space="0" w:color="auto"/>
            <w:left w:val="none" w:sz="0" w:space="0" w:color="auto"/>
            <w:bottom w:val="none" w:sz="0" w:space="0" w:color="auto"/>
            <w:right w:val="none" w:sz="0" w:space="0" w:color="auto"/>
          </w:divBdr>
        </w:div>
        <w:div w:id="52048736">
          <w:marLeft w:val="0"/>
          <w:marRight w:val="0"/>
          <w:marTop w:val="0"/>
          <w:marBottom w:val="0"/>
          <w:divBdr>
            <w:top w:val="none" w:sz="0" w:space="0" w:color="auto"/>
            <w:left w:val="none" w:sz="0" w:space="0" w:color="auto"/>
            <w:bottom w:val="none" w:sz="0" w:space="0" w:color="auto"/>
            <w:right w:val="none" w:sz="0" w:space="0" w:color="auto"/>
          </w:divBdr>
        </w:div>
        <w:div w:id="63795057">
          <w:marLeft w:val="0"/>
          <w:marRight w:val="0"/>
          <w:marTop w:val="0"/>
          <w:marBottom w:val="0"/>
          <w:divBdr>
            <w:top w:val="none" w:sz="0" w:space="0" w:color="auto"/>
            <w:left w:val="none" w:sz="0" w:space="0" w:color="auto"/>
            <w:bottom w:val="none" w:sz="0" w:space="0" w:color="auto"/>
            <w:right w:val="none" w:sz="0" w:space="0" w:color="auto"/>
          </w:divBdr>
        </w:div>
        <w:div w:id="69425370">
          <w:marLeft w:val="0"/>
          <w:marRight w:val="0"/>
          <w:marTop w:val="0"/>
          <w:marBottom w:val="0"/>
          <w:divBdr>
            <w:top w:val="none" w:sz="0" w:space="0" w:color="auto"/>
            <w:left w:val="none" w:sz="0" w:space="0" w:color="auto"/>
            <w:bottom w:val="none" w:sz="0" w:space="0" w:color="auto"/>
            <w:right w:val="none" w:sz="0" w:space="0" w:color="auto"/>
          </w:divBdr>
        </w:div>
        <w:div w:id="77823492">
          <w:marLeft w:val="0"/>
          <w:marRight w:val="0"/>
          <w:marTop w:val="0"/>
          <w:marBottom w:val="0"/>
          <w:divBdr>
            <w:top w:val="none" w:sz="0" w:space="0" w:color="auto"/>
            <w:left w:val="none" w:sz="0" w:space="0" w:color="auto"/>
            <w:bottom w:val="none" w:sz="0" w:space="0" w:color="auto"/>
            <w:right w:val="none" w:sz="0" w:space="0" w:color="auto"/>
          </w:divBdr>
        </w:div>
        <w:div w:id="174151798">
          <w:marLeft w:val="0"/>
          <w:marRight w:val="0"/>
          <w:marTop w:val="0"/>
          <w:marBottom w:val="0"/>
          <w:divBdr>
            <w:top w:val="none" w:sz="0" w:space="0" w:color="auto"/>
            <w:left w:val="none" w:sz="0" w:space="0" w:color="auto"/>
            <w:bottom w:val="none" w:sz="0" w:space="0" w:color="auto"/>
            <w:right w:val="none" w:sz="0" w:space="0" w:color="auto"/>
          </w:divBdr>
        </w:div>
        <w:div w:id="182518230">
          <w:marLeft w:val="0"/>
          <w:marRight w:val="0"/>
          <w:marTop w:val="0"/>
          <w:marBottom w:val="0"/>
          <w:divBdr>
            <w:top w:val="none" w:sz="0" w:space="0" w:color="auto"/>
            <w:left w:val="none" w:sz="0" w:space="0" w:color="auto"/>
            <w:bottom w:val="none" w:sz="0" w:space="0" w:color="auto"/>
            <w:right w:val="none" w:sz="0" w:space="0" w:color="auto"/>
          </w:divBdr>
        </w:div>
        <w:div w:id="195968634">
          <w:marLeft w:val="0"/>
          <w:marRight w:val="0"/>
          <w:marTop w:val="0"/>
          <w:marBottom w:val="0"/>
          <w:divBdr>
            <w:top w:val="none" w:sz="0" w:space="0" w:color="auto"/>
            <w:left w:val="none" w:sz="0" w:space="0" w:color="auto"/>
            <w:bottom w:val="none" w:sz="0" w:space="0" w:color="auto"/>
            <w:right w:val="none" w:sz="0" w:space="0" w:color="auto"/>
          </w:divBdr>
        </w:div>
        <w:div w:id="254098916">
          <w:marLeft w:val="0"/>
          <w:marRight w:val="0"/>
          <w:marTop w:val="0"/>
          <w:marBottom w:val="0"/>
          <w:divBdr>
            <w:top w:val="none" w:sz="0" w:space="0" w:color="auto"/>
            <w:left w:val="none" w:sz="0" w:space="0" w:color="auto"/>
            <w:bottom w:val="none" w:sz="0" w:space="0" w:color="auto"/>
            <w:right w:val="none" w:sz="0" w:space="0" w:color="auto"/>
          </w:divBdr>
        </w:div>
        <w:div w:id="263461039">
          <w:marLeft w:val="0"/>
          <w:marRight w:val="0"/>
          <w:marTop w:val="0"/>
          <w:marBottom w:val="0"/>
          <w:divBdr>
            <w:top w:val="none" w:sz="0" w:space="0" w:color="auto"/>
            <w:left w:val="none" w:sz="0" w:space="0" w:color="auto"/>
            <w:bottom w:val="none" w:sz="0" w:space="0" w:color="auto"/>
            <w:right w:val="none" w:sz="0" w:space="0" w:color="auto"/>
          </w:divBdr>
        </w:div>
        <w:div w:id="290020716">
          <w:marLeft w:val="0"/>
          <w:marRight w:val="0"/>
          <w:marTop w:val="0"/>
          <w:marBottom w:val="0"/>
          <w:divBdr>
            <w:top w:val="none" w:sz="0" w:space="0" w:color="auto"/>
            <w:left w:val="none" w:sz="0" w:space="0" w:color="auto"/>
            <w:bottom w:val="none" w:sz="0" w:space="0" w:color="auto"/>
            <w:right w:val="none" w:sz="0" w:space="0" w:color="auto"/>
          </w:divBdr>
        </w:div>
        <w:div w:id="294607663">
          <w:marLeft w:val="0"/>
          <w:marRight w:val="0"/>
          <w:marTop w:val="0"/>
          <w:marBottom w:val="0"/>
          <w:divBdr>
            <w:top w:val="none" w:sz="0" w:space="0" w:color="auto"/>
            <w:left w:val="none" w:sz="0" w:space="0" w:color="auto"/>
            <w:bottom w:val="none" w:sz="0" w:space="0" w:color="auto"/>
            <w:right w:val="none" w:sz="0" w:space="0" w:color="auto"/>
          </w:divBdr>
        </w:div>
        <w:div w:id="296492174">
          <w:marLeft w:val="0"/>
          <w:marRight w:val="0"/>
          <w:marTop w:val="0"/>
          <w:marBottom w:val="0"/>
          <w:divBdr>
            <w:top w:val="none" w:sz="0" w:space="0" w:color="auto"/>
            <w:left w:val="none" w:sz="0" w:space="0" w:color="auto"/>
            <w:bottom w:val="none" w:sz="0" w:space="0" w:color="auto"/>
            <w:right w:val="none" w:sz="0" w:space="0" w:color="auto"/>
          </w:divBdr>
        </w:div>
        <w:div w:id="309481675">
          <w:marLeft w:val="0"/>
          <w:marRight w:val="0"/>
          <w:marTop w:val="0"/>
          <w:marBottom w:val="0"/>
          <w:divBdr>
            <w:top w:val="none" w:sz="0" w:space="0" w:color="auto"/>
            <w:left w:val="none" w:sz="0" w:space="0" w:color="auto"/>
            <w:bottom w:val="none" w:sz="0" w:space="0" w:color="auto"/>
            <w:right w:val="none" w:sz="0" w:space="0" w:color="auto"/>
          </w:divBdr>
        </w:div>
        <w:div w:id="348528201">
          <w:marLeft w:val="0"/>
          <w:marRight w:val="0"/>
          <w:marTop w:val="0"/>
          <w:marBottom w:val="0"/>
          <w:divBdr>
            <w:top w:val="none" w:sz="0" w:space="0" w:color="auto"/>
            <w:left w:val="none" w:sz="0" w:space="0" w:color="auto"/>
            <w:bottom w:val="none" w:sz="0" w:space="0" w:color="auto"/>
            <w:right w:val="none" w:sz="0" w:space="0" w:color="auto"/>
          </w:divBdr>
        </w:div>
        <w:div w:id="447239116">
          <w:marLeft w:val="0"/>
          <w:marRight w:val="0"/>
          <w:marTop w:val="0"/>
          <w:marBottom w:val="0"/>
          <w:divBdr>
            <w:top w:val="none" w:sz="0" w:space="0" w:color="auto"/>
            <w:left w:val="none" w:sz="0" w:space="0" w:color="auto"/>
            <w:bottom w:val="none" w:sz="0" w:space="0" w:color="auto"/>
            <w:right w:val="none" w:sz="0" w:space="0" w:color="auto"/>
          </w:divBdr>
        </w:div>
        <w:div w:id="535041968">
          <w:marLeft w:val="0"/>
          <w:marRight w:val="0"/>
          <w:marTop w:val="0"/>
          <w:marBottom w:val="0"/>
          <w:divBdr>
            <w:top w:val="none" w:sz="0" w:space="0" w:color="auto"/>
            <w:left w:val="none" w:sz="0" w:space="0" w:color="auto"/>
            <w:bottom w:val="none" w:sz="0" w:space="0" w:color="auto"/>
            <w:right w:val="none" w:sz="0" w:space="0" w:color="auto"/>
          </w:divBdr>
        </w:div>
        <w:div w:id="551042670">
          <w:marLeft w:val="0"/>
          <w:marRight w:val="0"/>
          <w:marTop w:val="0"/>
          <w:marBottom w:val="0"/>
          <w:divBdr>
            <w:top w:val="none" w:sz="0" w:space="0" w:color="auto"/>
            <w:left w:val="none" w:sz="0" w:space="0" w:color="auto"/>
            <w:bottom w:val="none" w:sz="0" w:space="0" w:color="auto"/>
            <w:right w:val="none" w:sz="0" w:space="0" w:color="auto"/>
          </w:divBdr>
        </w:div>
        <w:div w:id="577204511">
          <w:marLeft w:val="0"/>
          <w:marRight w:val="0"/>
          <w:marTop w:val="0"/>
          <w:marBottom w:val="0"/>
          <w:divBdr>
            <w:top w:val="none" w:sz="0" w:space="0" w:color="auto"/>
            <w:left w:val="none" w:sz="0" w:space="0" w:color="auto"/>
            <w:bottom w:val="none" w:sz="0" w:space="0" w:color="auto"/>
            <w:right w:val="none" w:sz="0" w:space="0" w:color="auto"/>
          </w:divBdr>
        </w:div>
        <w:div w:id="725839089">
          <w:marLeft w:val="0"/>
          <w:marRight w:val="0"/>
          <w:marTop w:val="0"/>
          <w:marBottom w:val="0"/>
          <w:divBdr>
            <w:top w:val="none" w:sz="0" w:space="0" w:color="auto"/>
            <w:left w:val="none" w:sz="0" w:space="0" w:color="auto"/>
            <w:bottom w:val="none" w:sz="0" w:space="0" w:color="auto"/>
            <w:right w:val="none" w:sz="0" w:space="0" w:color="auto"/>
          </w:divBdr>
        </w:div>
        <w:div w:id="935402510">
          <w:marLeft w:val="0"/>
          <w:marRight w:val="0"/>
          <w:marTop w:val="0"/>
          <w:marBottom w:val="0"/>
          <w:divBdr>
            <w:top w:val="none" w:sz="0" w:space="0" w:color="auto"/>
            <w:left w:val="none" w:sz="0" w:space="0" w:color="auto"/>
            <w:bottom w:val="none" w:sz="0" w:space="0" w:color="auto"/>
            <w:right w:val="none" w:sz="0" w:space="0" w:color="auto"/>
          </w:divBdr>
        </w:div>
        <w:div w:id="1001470634">
          <w:marLeft w:val="0"/>
          <w:marRight w:val="0"/>
          <w:marTop w:val="0"/>
          <w:marBottom w:val="0"/>
          <w:divBdr>
            <w:top w:val="none" w:sz="0" w:space="0" w:color="auto"/>
            <w:left w:val="none" w:sz="0" w:space="0" w:color="auto"/>
            <w:bottom w:val="none" w:sz="0" w:space="0" w:color="auto"/>
            <w:right w:val="none" w:sz="0" w:space="0" w:color="auto"/>
          </w:divBdr>
        </w:div>
        <w:div w:id="1057126209">
          <w:marLeft w:val="0"/>
          <w:marRight w:val="0"/>
          <w:marTop w:val="0"/>
          <w:marBottom w:val="0"/>
          <w:divBdr>
            <w:top w:val="none" w:sz="0" w:space="0" w:color="auto"/>
            <w:left w:val="none" w:sz="0" w:space="0" w:color="auto"/>
            <w:bottom w:val="none" w:sz="0" w:space="0" w:color="auto"/>
            <w:right w:val="none" w:sz="0" w:space="0" w:color="auto"/>
          </w:divBdr>
        </w:div>
        <w:div w:id="1061290244">
          <w:marLeft w:val="0"/>
          <w:marRight w:val="0"/>
          <w:marTop w:val="0"/>
          <w:marBottom w:val="0"/>
          <w:divBdr>
            <w:top w:val="none" w:sz="0" w:space="0" w:color="auto"/>
            <w:left w:val="none" w:sz="0" w:space="0" w:color="auto"/>
            <w:bottom w:val="none" w:sz="0" w:space="0" w:color="auto"/>
            <w:right w:val="none" w:sz="0" w:space="0" w:color="auto"/>
          </w:divBdr>
        </w:div>
        <w:div w:id="1181168057">
          <w:marLeft w:val="0"/>
          <w:marRight w:val="0"/>
          <w:marTop w:val="0"/>
          <w:marBottom w:val="0"/>
          <w:divBdr>
            <w:top w:val="none" w:sz="0" w:space="0" w:color="auto"/>
            <w:left w:val="none" w:sz="0" w:space="0" w:color="auto"/>
            <w:bottom w:val="none" w:sz="0" w:space="0" w:color="auto"/>
            <w:right w:val="none" w:sz="0" w:space="0" w:color="auto"/>
          </w:divBdr>
        </w:div>
        <w:div w:id="1227915195">
          <w:marLeft w:val="0"/>
          <w:marRight w:val="0"/>
          <w:marTop w:val="0"/>
          <w:marBottom w:val="0"/>
          <w:divBdr>
            <w:top w:val="none" w:sz="0" w:space="0" w:color="auto"/>
            <w:left w:val="none" w:sz="0" w:space="0" w:color="auto"/>
            <w:bottom w:val="none" w:sz="0" w:space="0" w:color="auto"/>
            <w:right w:val="none" w:sz="0" w:space="0" w:color="auto"/>
          </w:divBdr>
        </w:div>
        <w:div w:id="1235623801">
          <w:marLeft w:val="0"/>
          <w:marRight w:val="0"/>
          <w:marTop w:val="0"/>
          <w:marBottom w:val="0"/>
          <w:divBdr>
            <w:top w:val="none" w:sz="0" w:space="0" w:color="auto"/>
            <w:left w:val="none" w:sz="0" w:space="0" w:color="auto"/>
            <w:bottom w:val="none" w:sz="0" w:space="0" w:color="auto"/>
            <w:right w:val="none" w:sz="0" w:space="0" w:color="auto"/>
          </w:divBdr>
        </w:div>
        <w:div w:id="1301151983">
          <w:marLeft w:val="0"/>
          <w:marRight w:val="0"/>
          <w:marTop w:val="0"/>
          <w:marBottom w:val="0"/>
          <w:divBdr>
            <w:top w:val="none" w:sz="0" w:space="0" w:color="auto"/>
            <w:left w:val="none" w:sz="0" w:space="0" w:color="auto"/>
            <w:bottom w:val="none" w:sz="0" w:space="0" w:color="auto"/>
            <w:right w:val="none" w:sz="0" w:space="0" w:color="auto"/>
          </w:divBdr>
        </w:div>
        <w:div w:id="1302079560">
          <w:marLeft w:val="0"/>
          <w:marRight w:val="0"/>
          <w:marTop w:val="0"/>
          <w:marBottom w:val="0"/>
          <w:divBdr>
            <w:top w:val="none" w:sz="0" w:space="0" w:color="auto"/>
            <w:left w:val="none" w:sz="0" w:space="0" w:color="auto"/>
            <w:bottom w:val="none" w:sz="0" w:space="0" w:color="auto"/>
            <w:right w:val="none" w:sz="0" w:space="0" w:color="auto"/>
          </w:divBdr>
        </w:div>
        <w:div w:id="1310670914">
          <w:marLeft w:val="0"/>
          <w:marRight w:val="0"/>
          <w:marTop w:val="0"/>
          <w:marBottom w:val="0"/>
          <w:divBdr>
            <w:top w:val="none" w:sz="0" w:space="0" w:color="auto"/>
            <w:left w:val="none" w:sz="0" w:space="0" w:color="auto"/>
            <w:bottom w:val="none" w:sz="0" w:space="0" w:color="auto"/>
            <w:right w:val="none" w:sz="0" w:space="0" w:color="auto"/>
          </w:divBdr>
        </w:div>
        <w:div w:id="1352990786">
          <w:marLeft w:val="0"/>
          <w:marRight w:val="0"/>
          <w:marTop w:val="0"/>
          <w:marBottom w:val="0"/>
          <w:divBdr>
            <w:top w:val="none" w:sz="0" w:space="0" w:color="auto"/>
            <w:left w:val="none" w:sz="0" w:space="0" w:color="auto"/>
            <w:bottom w:val="none" w:sz="0" w:space="0" w:color="auto"/>
            <w:right w:val="none" w:sz="0" w:space="0" w:color="auto"/>
          </w:divBdr>
        </w:div>
        <w:div w:id="1355810021">
          <w:marLeft w:val="0"/>
          <w:marRight w:val="0"/>
          <w:marTop w:val="0"/>
          <w:marBottom w:val="0"/>
          <w:divBdr>
            <w:top w:val="none" w:sz="0" w:space="0" w:color="auto"/>
            <w:left w:val="none" w:sz="0" w:space="0" w:color="auto"/>
            <w:bottom w:val="none" w:sz="0" w:space="0" w:color="auto"/>
            <w:right w:val="none" w:sz="0" w:space="0" w:color="auto"/>
          </w:divBdr>
        </w:div>
        <w:div w:id="1447772350">
          <w:marLeft w:val="0"/>
          <w:marRight w:val="0"/>
          <w:marTop w:val="0"/>
          <w:marBottom w:val="0"/>
          <w:divBdr>
            <w:top w:val="none" w:sz="0" w:space="0" w:color="auto"/>
            <w:left w:val="none" w:sz="0" w:space="0" w:color="auto"/>
            <w:bottom w:val="none" w:sz="0" w:space="0" w:color="auto"/>
            <w:right w:val="none" w:sz="0" w:space="0" w:color="auto"/>
          </w:divBdr>
        </w:div>
        <w:div w:id="1453136110">
          <w:marLeft w:val="0"/>
          <w:marRight w:val="0"/>
          <w:marTop w:val="0"/>
          <w:marBottom w:val="0"/>
          <w:divBdr>
            <w:top w:val="none" w:sz="0" w:space="0" w:color="auto"/>
            <w:left w:val="none" w:sz="0" w:space="0" w:color="auto"/>
            <w:bottom w:val="none" w:sz="0" w:space="0" w:color="auto"/>
            <w:right w:val="none" w:sz="0" w:space="0" w:color="auto"/>
          </w:divBdr>
        </w:div>
        <w:div w:id="1454789510">
          <w:marLeft w:val="0"/>
          <w:marRight w:val="0"/>
          <w:marTop w:val="0"/>
          <w:marBottom w:val="0"/>
          <w:divBdr>
            <w:top w:val="none" w:sz="0" w:space="0" w:color="auto"/>
            <w:left w:val="none" w:sz="0" w:space="0" w:color="auto"/>
            <w:bottom w:val="none" w:sz="0" w:space="0" w:color="auto"/>
            <w:right w:val="none" w:sz="0" w:space="0" w:color="auto"/>
          </w:divBdr>
        </w:div>
        <w:div w:id="1484391543">
          <w:marLeft w:val="0"/>
          <w:marRight w:val="0"/>
          <w:marTop w:val="0"/>
          <w:marBottom w:val="0"/>
          <w:divBdr>
            <w:top w:val="none" w:sz="0" w:space="0" w:color="auto"/>
            <w:left w:val="none" w:sz="0" w:space="0" w:color="auto"/>
            <w:bottom w:val="none" w:sz="0" w:space="0" w:color="auto"/>
            <w:right w:val="none" w:sz="0" w:space="0" w:color="auto"/>
          </w:divBdr>
        </w:div>
        <w:div w:id="1491672737">
          <w:marLeft w:val="0"/>
          <w:marRight w:val="0"/>
          <w:marTop w:val="0"/>
          <w:marBottom w:val="0"/>
          <w:divBdr>
            <w:top w:val="none" w:sz="0" w:space="0" w:color="auto"/>
            <w:left w:val="none" w:sz="0" w:space="0" w:color="auto"/>
            <w:bottom w:val="none" w:sz="0" w:space="0" w:color="auto"/>
            <w:right w:val="none" w:sz="0" w:space="0" w:color="auto"/>
          </w:divBdr>
        </w:div>
        <w:div w:id="1517117482">
          <w:marLeft w:val="0"/>
          <w:marRight w:val="0"/>
          <w:marTop w:val="0"/>
          <w:marBottom w:val="0"/>
          <w:divBdr>
            <w:top w:val="none" w:sz="0" w:space="0" w:color="auto"/>
            <w:left w:val="none" w:sz="0" w:space="0" w:color="auto"/>
            <w:bottom w:val="none" w:sz="0" w:space="0" w:color="auto"/>
            <w:right w:val="none" w:sz="0" w:space="0" w:color="auto"/>
          </w:divBdr>
        </w:div>
        <w:div w:id="1526792641">
          <w:marLeft w:val="0"/>
          <w:marRight w:val="0"/>
          <w:marTop w:val="0"/>
          <w:marBottom w:val="0"/>
          <w:divBdr>
            <w:top w:val="none" w:sz="0" w:space="0" w:color="auto"/>
            <w:left w:val="none" w:sz="0" w:space="0" w:color="auto"/>
            <w:bottom w:val="none" w:sz="0" w:space="0" w:color="auto"/>
            <w:right w:val="none" w:sz="0" w:space="0" w:color="auto"/>
          </w:divBdr>
        </w:div>
        <w:div w:id="1541816134">
          <w:marLeft w:val="0"/>
          <w:marRight w:val="0"/>
          <w:marTop w:val="0"/>
          <w:marBottom w:val="0"/>
          <w:divBdr>
            <w:top w:val="none" w:sz="0" w:space="0" w:color="auto"/>
            <w:left w:val="none" w:sz="0" w:space="0" w:color="auto"/>
            <w:bottom w:val="none" w:sz="0" w:space="0" w:color="auto"/>
            <w:right w:val="none" w:sz="0" w:space="0" w:color="auto"/>
          </w:divBdr>
        </w:div>
        <w:div w:id="1551727928">
          <w:marLeft w:val="0"/>
          <w:marRight w:val="0"/>
          <w:marTop w:val="0"/>
          <w:marBottom w:val="0"/>
          <w:divBdr>
            <w:top w:val="none" w:sz="0" w:space="0" w:color="auto"/>
            <w:left w:val="none" w:sz="0" w:space="0" w:color="auto"/>
            <w:bottom w:val="none" w:sz="0" w:space="0" w:color="auto"/>
            <w:right w:val="none" w:sz="0" w:space="0" w:color="auto"/>
          </w:divBdr>
        </w:div>
        <w:div w:id="1559168186">
          <w:marLeft w:val="0"/>
          <w:marRight w:val="0"/>
          <w:marTop w:val="0"/>
          <w:marBottom w:val="0"/>
          <w:divBdr>
            <w:top w:val="none" w:sz="0" w:space="0" w:color="auto"/>
            <w:left w:val="none" w:sz="0" w:space="0" w:color="auto"/>
            <w:bottom w:val="none" w:sz="0" w:space="0" w:color="auto"/>
            <w:right w:val="none" w:sz="0" w:space="0" w:color="auto"/>
          </w:divBdr>
        </w:div>
        <w:div w:id="1595817545">
          <w:marLeft w:val="0"/>
          <w:marRight w:val="0"/>
          <w:marTop w:val="0"/>
          <w:marBottom w:val="0"/>
          <w:divBdr>
            <w:top w:val="none" w:sz="0" w:space="0" w:color="auto"/>
            <w:left w:val="none" w:sz="0" w:space="0" w:color="auto"/>
            <w:bottom w:val="none" w:sz="0" w:space="0" w:color="auto"/>
            <w:right w:val="none" w:sz="0" w:space="0" w:color="auto"/>
          </w:divBdr>
        </w:div>
        <w:div w:id="1662612360">
          <w:marLeft w:val="0"/>
          <w:marRight w:val="0"/>
          <w:marTop w:val="0"/>
          <w:marBottom w:val="0"/>
          <w:divBdr>
            <w:top w:val="none" w:sz="0" w:space="0" w:color="auto"/>
            <w:left w:val="none" w:sz="0" w:space="0" w:color="auto"/>
            <w:bottom w:val="none" w:sz="0" w:space="0" w:color="auto"/>
            <w:right w:val="none" w:sz="0" w:space="0" w:color="auto"/>
          </w:divBdr>
        </w:div>
        <w:div w:id="1717312299">
          <w:marLeft w:val="0"/>
          <w:marRight w:val="0"/>
          <w:marTop w:val="0"/>
          <w:marBottom w:val="0"/>
          <w:divBdr>
            <w:top w:val="none" w:sz="0" w:space="0" w:color="auto"/>
            <w:left w:val="none" w:sz="0" w:space="0" w:color="auto"/>
            <w:bottom w:val="none" w:sz="0" w:space="0" w:color="auto"/>
            <w:right w:val="none" w:sz="0" w:space="0" w:color="auto"/>
          </w:divBdr>
        </w:div>
        <w:div w:id="1724864039">
          <w:marLeft w:val="0"/>
          <w:marRight w:val="0"/>
          <w:marTop w:val="0"/>
          <w:marBottom w:val="0"/>
          <w:divBdr>
            <w:top w:val="none" w:sz="0" w:space="0" w:color="auto"/>
            <w:left w:val="none" w:sz="0" w:space="0" w:color="auto"/>
            <w:bottom w:val="none" w:sz="0" w:space="0" w:color="auto"/>
            <w:right w:val="none" w:sz="0" w:space="0" w:color="auto"/>
          </w:divBdr>
        </w:div>
        <w:div w:id="1814641099">
          <w:marLeft w:val="0"/>
          <w:marRight w:val="0"/>
          <w:marTop w:val="0"/>
          <w:marBottom w:val="0"/>
          <w:divBdr>
            <w:top w:val="none" w:sz="0" w:space="0" w:color="auto"/>
            <w:left w:val="none" w:sz="0" w:space="0" w:color="auto"/>
            <w:bottom w:val="none" w:sz="0" w:space="0" w:color="auto"/>
            <w:right w:val="none" w:sz="0" w:space="0" w:color="auto"/>
          </w:divBdr>
        </w:div>
        <w:div w:id="1823112067">
          <w:marLeft w:val="0"/>
          <w:marRight w:val="0"/>
          <w:marTop w:val="0"/>
          <w:marBottom w:val="0"/>
          <w:divBdr>
            <w:top w:val="none" w:sz="0" w:space="0" w:color="auto"/>
            <w:left w:val="none" w:sz="0" w:space="0" w:color="auto"/>
            <w:bottom w:val="none" w:sz="0" w:space="0" w:color="auto"/>
            <w:right w:val="none" w:sz="0" w:space="0" w:color="auto"/>
          </w:divBdr>
        </w:div>
        <w:div w:id="1896505024">
          <w:marLeft w:val="0"/>
          <w:marRight w:val="0"/>
          <w:marTop w:val="0"/>
          <w:marBottom w:val="0"/>
          <w:divBdr>
            <w:top w:val="none" w:sz="0" w:space="0" w:color="auto"/>
            <w:left w:val="none" w:sz="0" w:space="0" w:color="auto"/>
            <w:bottom w:val="none" w:sz="0" w:space="0" w:color="auto"/>
            <w:right w:val="none" w:sz="0" w:space="0" w:color="auto"/>
          </w:divBdr>
        </w:div>
        <w:div w:id="1942181553">
          <w:marLeft w:val="0"/>
          <w:marRight w:val="0"/>
          <w:marTop w:val="0"/>
          <w:marBottom w:val="0"/>
          <w:divBdr>
            <w:top w:val="none" w:sz="0" w:space="0" w:color="auto"/>
            <w:left w:val="none" w:sz="0" w:space="0" w:color="auto"/>
            <w:bottom w:val="none" w:sz="0" w:space="0" w:color="auto"/>
            <w:right w:val="none" w:sz="0" w:space="0" w:color="auto"/>
          </w:divBdr>
        </w:div>
        <w:div w:id="1980649254">
          <w:marLeft w:val="0"/>
          <w:marRight w:val="0"/>
          <w:marTop w:val="0"/>
          <w:marBottom w:val="0"/>
          <w:divBdr>
            <w:top w:val="none" w:sz="0" w:space="0" w:color="auto"/>
            <w:left w:val="none" w:sz="0" w:space="0" w:color="auto"/>
            <w:bottom w:val="none" w:sz="0" w:space="0" w:color="auto"/>
            <w:right w:val="none" w:sz="0" w:space="0" w:color="auto"/>
          </w:divBdr>
        </w:div>
        <w:div w:id="2032489911">
          <w:marLeft w:val="0"/>
          <w:marRight w:val="0"/>
          <w:marTop w:val="0"/>
          <w:marBottom w:val="0"/>
          <w:divBdr>
            <w:top w:val="none" w:sz="0" w:space="0" w:color="auto"/>
            <w:left w:val="none" w:sz="0" w:space="0" w:color="auto"/>
            <w:bottom w:val="none" w:sz="0" w:space="0" w:color="auto"/>
            <w:right w:val="none" w:sz="0" w:space="0" w:color="auto"/>
          </w:divBdr>
        </w:div>
        <w:div w:id="2111511900">
          <w:marLeft w:val="0"/>
          <w:marRight w:val="0"/>
          <w:marTop w:val="0"/>
          <w:marBottom w:val="0"/>
          <w:divBdr>
            <w:top w:val="none" w:sz="0" w:space="0" w:color="auto"/>
            <w:left w:val="none" w:sz="0" w:space="0" w:color="auto"/>
            <w:bottom w:val="none" w:sz="0" w:space="0" w:color="auto"/>
            <w:right w:val="none" w:sz="0" w:space="0" w:color="auto"/>
          </w:divBdr>
        </w:div>
        <w:div w:id="2118671631">
          <w:marLeft w:val="0"/>
          <w:marRight w:val="0"/>
          <w:marTop w:val="0"/>
          <w:marBottom w:val="0"/>
          <w:divBdr>
            <w:top w:val="none" w:sz="0" w:space="0" w:color="auto"/>
            <w:left w:val="none" w:sz="0" w:space="0" w:color="auto"/>
            <w:bottom w:val="none" w:sz="0" w:space="0" w:color="auto"/>
            <w:right w:val="none" w:sz="0" w:space="0" w:color="auto"/>
          </w:divBdr>
        </w:div>
      </w:divsChild>
    </w:div>
    <w:div w:id="1741564372">
      <w:bodyDiv w:val="1"/>
      <w:marLeft w:val="0"/>
      <w:marRight w:val="0"/>
      <w:marTop w:val="0"/>
      <w:marBottom w:val="0"/>
      <w:divBdr>
        <w:top w:val="none" w:sz="0" w:space="0" w:color="auto"/>
        <w:left w:val="none" w:sz="0" w:space="0" w:color="auto"/>
        <w:bottom w:val="none" w:sz="0" w:space="0" w:color="auto"/>
        <w:right w:val="none" w:sz="0" w:space="0" w:color="auto"/>
      </w:divBdr>
      <w:divsChild>
        <w:div w:id="2014213291">
          <w:marLeft w:val="0"/>
          <w:marRight w:val="0"/>
          <w:marTop w:val="0"/>
          <w:marBottom w:val="0"/>
          <w:divBdr>
            <w:top w:val="none" w:sz="0" w:space="0" w:color="auto"/>
            <w:left w:val="none" w:sz="0" w:space="0" w:color="auto"/>
            <w:bottom w:val="none" w:sz="0" w:space="0" w:color="auto"/>
            <w:right w:val="none" w:sz="0" w:space="0" w:color="auto"/>
          </w:divBdr>
          <w:divsChild>
            <w:div w:id="68486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531054">
      <w:bodyDiv w:val="1"/>
      <w:marLeft w:val="0"/>
      <w:marRight w:val="0"/>
      <w:marTop w:val="0"/>
      <w:marBottom w:val="0"/>
      <w:divBdr>
        <w:top w:val="none" w:sz="0" w:space="0" w:color="auto"/>
        <w:left w:val="none" w:sz="0" w:space="0" w:color="auto"/>
        <w:bottom w:val="none" w:sz="0" w:space="0" w:color="auto"/>
        <w:right w:val="none" w:sz="0" w:space="0" w:color="auto"/>
      </w:divBdr>
    </w:div>
    <w:div w:id="1799180390">
      <w:bodyDiv w:val="1"/>
      <w:marLeft w:val="0"/>
      <w:marRight w:val="0"/>
      <w:marTop w:val="0"/>
      <w:marBottom w:val="0"/>
      <w:divBdr>
        <w:top w:val="none" w:sz="0" w:space="0" w:color="auto"/>
        <w:left w:val="none" w:sz="0" w:space="0" w:color="auto"/>
        <w:bottom w:val="none" w:sz="0" w:space="0" w:color="auto"/>
        <w:right w:val="none" w:sz="0" w:space="0" w:color="auto"/>
      </w:divBdr>
      <w:divsChild>
        <w:div w:id="531386562">
          <w:marLeft w:val="0"/>
          <w:marRight w:val="0"/>
          <w:marTop w:val="0"/>
          <w:marBottom w:val="0"/>
          <w:divBdr>
            <w:top w:val="none" w:sz="0" w:space="0" w:color="auto"/>
            <w:left w:val="none" w:sz="0" w:space="0" w:color="auto"/>
            <w:bottom w:val="none" w:sz="0" w:space="0" w:color="auto"/>
            <w:right w:val="none" w:sz="0" w:space="0" w:color="auto"/>
          </w:divBdr>
        </w:div>
        <w:div w:id="970090116">
          <w:marLeft w:val="0"/>
          <w:marRight w:val="0"/>
          <w:marTop w:val="0"/>
          <w:marBottom w:val="0"/>
          <w:divBdr>
            <w:top w:val="none" w:sz="0" w:space="0" w:color="auto"/>
            <w:left w:val="none" w:sz="0" w:space="0" w:color="auto"/>
            <w:bottom w:val="none" w:sz="0" w:space="0" w:color="auto"/>
            <w:right w:val="none" w:sz="0" w:space="0" w:color="auto"/>
          </w:divBdr>
        </w:div>
        <w:div w:id="1244293965">
          <w:marLeft w:val="0"/>
          <w:marRight w:val="0"/>
          <w:marTop w:val="0"/>
          <w:marBottom w:val="0"/>
          <w:divBdr>
            <w:top w:val="none" w:sz="0" w:space="0" w:color="auto"/>
            <w:left w:val="none" w:sz="0" w:space="0" w:color="auto"/>
            <w:bottom w:val="none" w:sz="0" w:space="0" w:color="auto"/>
            <w:right w:val="none" w:sz="0" w:space="0" w:color="auto"/>
          </w:divBdr>
        </w:div>
        <w:div w:id="1635214568">
          <w:marLeft w:val="0"/>
          <w:marRight w:val="0"/>
          <w:marTop w:val="0"/>
          <w:marBottom w:val="0"/>
          <w:divBdr>
            <w:top w:val="none" w:sz="0" w:space="0" w:color="auto"/>
            <w:left w:val="none" w:sz="0" w:space="0" w:color="auto"/>
            <w:bottom w:val="none" w:sz="0" w:space="0" w:color="auto"/>
            <w:right w:val="none" w:sz="0" w:space="0" w:color="auto"/>
          </w:divBdr>
        </w:div>
      </w:divsChild>
    </w:div>
    <w:div w:id="1802310048">
      <w:bodyDiv w:val="1"/>
      <w:marLeft w:val="0"/>
      <w:marRight w:val="0"/>
      <w:marTop w:val="0"/>
      <w:marBottom w:val="0"/>
      <w:divBdr>
        <w:top w:val="none" w:sz="0" w:space="0" w:color="auto"/>
        <w:left w:val="none" w:sz="0" w:space="0" w:color="auto"/>
        <w:bottom w:val="none" w:sz="0" w:space="0" w:color="auto"/>
        <w:right w:val="none" w:sz="0" w:space="0" w:color="auto"/>
      </w:divBdr>
      <w:divsChild>
        <w:div w:id="397634921">
          <w:marLeft w:val="0"/>
          <w:marRight w:val="0"/>
          <w:marTop w:val="0"/>
          <w:marBottom w:val="0"/>
          <w:divBdr>
            <w:top w:val="none" w:sz="0" w:space="0" w:color="auto"/>
            <w:left w:val="none" w:sz="0" w:space="0" w:color="auto"/>
            <w:bottom w:val="none" w:sz="0" w:space="0" w:color="auto"/>
            <w:right w:val="none" w:sz="0" w:space="0" w:color="auto"/>
          </w:divBdr>
          <w:divsChild>
            <w:div w:id="58600572">
              <w:marLeft w:val="0"/>
              <w:marRight w:val="0"/>
              <w:marTop w:val="0"/>
              <w:marBottom w:val="0"/>
              <w:divBdr>
                <w:top w:val="none" w:sz="0" w:space="0" w:color="auto"/>
                <w:left w:val="none" w:sz="0" w:space="0" w:color="auto"/>
                <w:bottom w:val="none" w:sz="0" w:space="0" w:color="auto"/>
                <w:right w:val="none" w:sz="0" w:space="0" w:color="auto"/>
              </w:divBdr>
            </w:div>
            <w:div w:id="520898690">
              <w:marLeft w:val="0"/>
              <w:marRight w:val="0"/>
              <w:marTop w:val="0"/>
              <w:marBottom w:val="0"/>
              <w:divBdr>
                <w:top w:val="none" w:sz="0" w:space="0" w:color="auto"/>
                <w:left w:val="none" w:sz="0" w:space="0" w:color="auto"/>
                <w:bottom w:val="none" w:sz="0" w:space="0" w:color="auto"/>
                <w:right w:val="none" w:sz="0" w:space="0" w:color="auto"/>
              </w:divBdr>
            </w:div>
            <w:div w:id="799373901">
              <w:marLeft w:val="0"/>
              <w:marRight w:val="0"/>
              <w:marTop w:val="0"/>
              <w:marBottom w:val="0"/>
              <w:divBdr>
                <w:top w:val="none" w:sz="0" w:space="0" w:color="auto"/>
                <w:left w:val="none" w:sz="0" w:space="0" w:color="auto"/>
                <w:bottom w:val="none" w:sz="0" w:space="0" w:color="auto"/>
                <w:right w:val="none" w:sz="0" w:space="0" w:color="auto"/>
              </w:divBdr>
            </w:div>
            <w:div w:id="19920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1904">
      <w:bodyDiv w:val="1"/>
      <w:marLeft w:val="0"/>
      <w:marRight w:val="0"/>
      <w:marTop w:val="0"/>
      <w:marBottom w:val="0"/>
      <w:divBdr>
        <w:top w:val="none" w:sz="0" w:space="0" w:color="auto"/>
        <w:left w:val="none" w:sz="0" w:space="0" w:color="auto"/>
        <w:bottom w:val="none" w:sz="0" w:space="0" w:color="auto"/>
        <w:right w:val="none" w:sz="0" w:space="0" w:color="auto"/>
      </w:divBdr>
      <w:divsChild>
        <w:div w:id="1200269">
          <w:marLeft w:val="0"/>
          <w:marRight w:val="0"/>
          <w:marTop w:val="0"/>
          <w:marBottom w:val="0"/>
          <w:divBdr>
            <w:top w:val="none" w:sz="0" w:space="0" w:color="auto"/>
            <w:left w:val="none" w:sz="0" w:space="0" w:color="auto"/>
            <w:bottom w:val="none" w:sz="0" w:space="0" w:color="auto"/>
            <w:right w:val="none" w:sz="0" w:space="0" w:color="auto"/>
          </w:divBdr>
        </w:div>
        <w:div w:id="9570430">
          <w:marLeft w:val="0"/>
          <w:marRight w:val="0"/>
          <w:marTop w:val="0"/>
          <w:marBottom w:val="0"/>
          <w:divBdr>
            <w:top w:val="none" w:sz="0" w:space="0" w:color="auto"/>
            <w:left w:val="none" w:sz="0" w:space="0" w:color="auto"/>
            <w:bottom w:val="none" w:sz="0" w:space="0" w:color="auto"/>
            <w:right w:val="none" w:sz="0" w:space="0" w:color="auto"/>
          </w:divBdr>
        </w:div>
        <w:div w:id="14696009">
          <w:marLeft w:val="0"/>
          <w:marRight w:val="0"/>
          <w:marTop w:val="0"/>
          <w:marBottom w:val="0"/>
          <w:divBdr>
            <w:top w:val="none" w:sz="0" w:space="0" w:color="auto"/>
            <w:left w:val="none" w:sz="0" w:space="0" w:color="auto"/>
            <w:bottom w:val="none" w:sz="0" w:space="0" w:color="auto"/>
            <w:right w:val="none" w:sz="0" w:space="0" w:color="auto"/>
          </w:divBdr>
        </w:div>
        <w:div w:id="15694440">
          <w:marLeft w:val="0"/>
          <w:marRight w:val="0"/>
          <w:marTop w:val="0"/>
          <w:marBottom w:val="0"/>
          <w:divBdr>
            <w:top w:val="none" w:sz="0" w:space="0" w:color="auto"/>
            <w:left w:val="none" w:sz="0" w:space="0" w:color="auto"/>
            <w:bottom w:val="none" w:sz="0" w:space="0" w:color="auto"/>
            <w:right w:val="none" w:sz="0" w:space="0" w:color="auto"/>
          </w:divBdr>
        </w:div>
        <w:div w:id="18508882">
          <w:marLeft w:val="0"/>
          <w:marRight w:val="0"/>
          <w:marTop w:val="0"/>
          <w:marBottom w:val="0"/>
          <w:divBdr>
            <w:top w:val="none" w:sz="0" w:space="0" w:color="auto"/>
            <w:left w:val="none" w:sz="0" w:space="0" w:color="auto"/>
            <w:bottom w:val="none" w:sz="0" w:space="0" w:color="auto"/>
            <w:right w:val="none" w:sz="0" w:space="0" w:color="auto"/>
          </w:divBdr>
        </w:div>
        <w:div w:id="39863653">
          <w:marLeft w:val="0"/>
          <w:marRight w:val="0"/>
          <w:marTop w:val="0"/>
          <w:marBottom w:val="0"/>
          <w:divBdr>
            <w:top w:val="none" w:sz="0" w:space="0" w:color="auto"/>
            <w:left w:val="none" w:sz="0" w:space="0" w:color="auto"/>
            <w:bottom w:val="none" w:sz="0" w:space="0" w:color="auto"/>
            <w:right w:val="none" w:sz="0" w:space="0" w:color="auto"/>
          </w:divBdr>
        </w:div>
        <w:div w:id="53041395">
          <w:marLeft w:val="0"/>
          <w:marRight w:val="0"/>
          <w:marTop w:val="0"/>
          <w:marBottom w:val="0"/>
          <w:divBdr>
            <w:top w:val="none" w:sz="0" w:space="0" w:color="auto"/>
            <w:left w:val="none" w:sz="0" w:space="0" w:color="auto"/>
            <w:bottom w:val="none" w:sz="0" w:space="0" w:color="auto"/>
            <w:right w:val="none" w:sz="0" w:space="0" w:color="auto"/>
          </w:divBdr>
        </w:div>
        <w:div w:id="70006526">
          <w:marLeft w:val="0"/>
          <w:marRight w:val="0"/>
          <w:marTop w:val="0"/>
          <w:marBottom w:val="0"/>
          <w:divBdr>
            <w:top w:val="none" w:sz="0" w:space="0" w:color="auto"/>
            <w:left w:val="none" w:sz="0" w:space="0" w:color="auto"/>
            <w:bottom w:val="none" w:sz="0" w:space="0" w:color="auto"/>
            <w:right w:val="none" w:sz="0" w:space="0" w:color="auto"/>
          </w:divBdr>
        </w:div>
        <w:div w:id="75903739">
          <w:marLeft w:val="0"/>
          <w:marRight w:val="0"/>
          <w:marTop w:val="0"/>
          <w:marBottom w:val="0"/>
          <w:divBdr>
            <w:top w:val="none" w:sz="0" w:space="0" w:color="auto"/>
            <w:left w:val="none" w:sz="0" w:space="0" w:color="auto"/>
            <w:bottom w:val="none" w:sz="0" w:space="0" w:color="auto"/>
            <w:right w:val="none" w:sz="0" w:space="0" w:color="auto"/>
          </w:divBdr>
        </w:div>
        <w:div w:id="78062459">
          <w:marLeft w:val="0"/>
          <w:marRight w:val="0"/>
          <w:marTop w:val="0"/>
          <w:marBottom w:val="0"/>
          <w:divBdr>
            <w:top w:val="none" w:sz="0" w:space="0" w:color="auto"/>
            <w:left w:val="none" w:sz="0" w:space="0" w:color="auto"/>
            <w:bottom w:val="none" w:sz="0" w:space="0" w:color="auto"/>
            <w:right w:val="none" w:sz="0" w:space="0" w:color="auto"/>
          </w:divBdr>
        </w:div>
        <w:div w:id="80686817">
          <w:marLeft w:val="0"/>
          <w:marRight w:val="0"/>
          <w:marTop w:val="0"/>
          <w:marBottom w:val="0"/>
          <w:divBdr>
            <w:top w:val="none" w:sz="0" w:space="0" w:color="auto"/>
            <w:left w:val="none" w:sz="0" w:space="0" w:color="auto"/>
            <w:bottom w:val="none" w:sz="0" w:space="0" w:color="auto"/>
            <w:right w:val="none" w:sz="0" w:space="0" w:color="auto"/>
          </w:divBdr>
        </w:div>
        <w:div w:id="80760702">
          <w:marLeft w:val="0"/>
          <w:marRight w:val="0"/>
          <w:marTop w:val="0"/>
          <w:marBottom w:val="0"/>
          <w:divBdr>
            <w:top w:val="none" w:sz="0" w:space="0" w:color="auto"/>
            <w:left w:val="none" w:sz="0" w:space="0" w:color="auto"/>
            <w:bottom w:val="none" w:sz="0" w:space="0" w:color="auto"/>
            <w:right w:val="none" w:sz="0" w:space="0" w:color="auto"/>
          </w:divBdr>
        </w:div>
        <w:div w:id="87701737">
          <w:marLeft w:val="0"/>
          <w:marRight w:val="0"/>
          <w:marTop w:val="0"/>
          <w:marBottom w:val="0"/>
          <w:divBdr>
            <w:top w:val="none" w:sz="0" w:space="0" w:color="auto"/>
            <w:left w:val="none" w:sz="0" w:space="0" w:color="auto"/>
            <w:bottom w:val="none" w:sz="0" w:space="0" w:color="auto"/>
            <w:right w:val="none" w:sz="0" w:space="0" w:color="auto"/>
          </w:divBdr>
        </w:div>
        <w:div w:id="97875513">
          <w:marLeft w:val="0"/>
          <w:marRight w:val="0"/>
          <w:marTop w:val="0"/>
          <w:marBottom w:val="0"/>
          <w:divBdr>
            <w:top w:val="none" w:sz="0" w:space="0" w:color="auto"/>
            <w:left w:val="none" w:sz="0" w:space="0" w:color="auto"/>
            <w:bottom w:val="none" w:sz="0" w:space="0" w:color="auto"/>
            <w:right w:val="none" w:sz="0" w:space="0" w:color="auto"/>
          </w:divBdr>
        </w:div>
        <w:div w:id="98185305">
          <w:marLeft w:val="0"/>
          <w:marRight w:val="0"/>
          <w:marTop w:val="0"/>
          <w:marBottom w:val="0"/>
          <w:divBdr>
            <w:top w:val="none" w:sz="0" w:space="0" w:color="auto"/>
            <w:left w:val="none" w:sz="0" w:space="0" w:color="auto"/>
            <w:bottom w:val="none" w:sz="0" w:space="0" w:color="auto"/>
            <w:right w:val="none" w:sz="0" w:space="0" w:color="auto"/>
          </w:divBdr>
        </w:div>
        <w:div w:id="99031217">
          <w:marLeft w:val="0"/>
          <w:marRight w:val="0"/>
          <w:marTop w:val="0"/>
          <w:marBottom w:val="0"/>
          <w:divBdr>
            <w:top w:val="none" w:sz="0" w:space="0" w:color="auto"/>
            <w:left w:val="none" w:sz="0" w:space="0" w:color="auto"/>
            <w:bottom w:val="none" w:sz="0" w:space="0" w:color="auto"/>
            <w:right w:val="none" w:sz="0" w:space="0" w:color="auto"/>
          </w:divBdr>
        </w:div>
        <w:div w:id="107241395">
          <w:marLeft w:val="0"/>
          <w:marRight w:val="0"/>
          <w:marTop w:val="0"/>
          <w:marBottom w:val="0"/>
          <w:divBdr>
            <w:top w:val="none" w:sz="0" w:space="0" w:color="auto"/>
            <w:left w:val="none" w:sz="0" w:space="0" w:color="auto"/>
            <w:bottom w:val="none" w:sz="0" w:space="0" w:color="auto"/>
            <w:right w:val="none" w:sz="0" w:space="0" w:color="auto"/>
          </w:divBdr>
        </w:div>
        <w:div w:id="118036628">
          <w:marLeft w:val="0"/>
          <w:marRight w:val="0"/>
          <w:marTop w:val="0"/>
          <w:marBottom w:val="0"/>
          <w:divBdr>
            <w:top w:val="none" w:sz="0" w:space="0" w:color="auto"/>
            <w:left w:val="none" w:sz="0" w:space="0" w:color="auto"/>
            <w:bottom w:val="none" w:sz="0" w:space="0" w:color="auto"/>
            <w:right w:val="none" w:sz="0" w:space="0" w:color="auto"/>
          </w:divBdr>
        </w:div>
        <w:div w:id="135875973">
          <w:marLeft w:val="0"/>
          <w:marRight w:val="0"/>
          <w:marTop w:val="0"/>
          <w:marBottom w:val="0"/>
          <w:divBdr>
            <w:top w:val="none" w:sz="0" w:space="0" w:color="auto"/>
            <w:left w:val="none" w:sz="0" w:space="0" w:color="auto"/>
            <w:bottom w:val="none" w:sz="0" w:space="0" w:color="auto"/>
            <w:right w:val="none" w:sz="0" w:space="0" w:color="auto"/>
          </w:divBdr>
        </w:div>
        <w:div w:id="136143469">
          <w:marLeft w:val="0"/>
          <w:marRight w:val="0"/>
          <w:marTop w:val="0"/>
          <w:marBottom w:val="0"/>
          <w:divBdr>
            <w:top w:val="none" w:sz="0" w:space="0" w:color="auto"/>
            <w:left w:val="none" w:sz="0" w:space="0" w:color="auto"/>
            <w:bottom w:val="none" w:sz="0" w:space="0" w:color="auto"/>
            <w:right w:val="none" w:sz="0" w:space="0" w:color="auto"/>
          </w:divBdr>
        </w:div>
        <w:div w:id="145560184">
          <w:marLeft w:val="0"/>
          <w:marRight w:val="0"/>
          <w:marTop w:val="0"/>
          <w:marBottom w:val="0"/>
          <w:divBdr>
            <w:top w:val="none" w:sz="0" w:space="0" w:color="auto"/>
            <w:left w:val="none" w:sz="0" w:space="0" w:color="auto"/>
            <w:bottom w:val="none" w:sz="0" w:space="0" w:color="auto"/>
            <w:right w:val="none" w:sz="0" w:space="0" w:color="auto"/>
          </w:divBdr>
        </w:div>
        <w:div w:id="153106591">
          <w:marLeft w:val="0"/>
          <w:marRight w:val="0"/>
          <w:marTop w:val="0"/>
          <w:marBottom w:val="0"/>
          <w:divBdr>
            <w:top w:val="none" w:sz="0" w:space="0" w:color="auto"/>
            <w:left w:val="none" w:sz="0" w:space="0" w:color="auto"/>
            <w:bottom w:val="none" w:sz="0" w:space="0" w:color="auto"/>
            <w:right w:val="none" w:sz="0" w:space="0" w:color="auto"/>
          </w:divBdr>
        </w:div>
        <w:div w:id="154298614">
          <w:marLeft w:val="0"/>
          <w:marRight w:val="0"/>
          <w:marTop w:val="0"/>
          <w:marBottom w:val="0"/>
          <w:divBdr>
            <w:top w:val="none" w:sz="0" w:space="0" w:color="auto"/>
            <w:left w:val="none" w:sz="0" w:space="0" w:color="auto"/>
            <w:bottom w:val="none" w:sz="0" w:space="0" w:color="auto"/>
            <w:right w:val="none" w:sz="0" w:space="0" w:color="auto"/>
          </w:divBdr>
        </w:div>
        <w:div w:id="177237329">
          <w:marLeft w:val="0"/>
          <w:marRight w:val="0"/>
          <w:marTop w:val="0"/>
          <w:marBottom w:val="0"/>
          <w:divBdr>
            <w:top w:val="none" w:sz="0" w:space="0" w:color="auto"/>
            <w:left w:val="none" w:sz="0" w:space="0" w:color="auto"/>
            <w:bottom w:val="none" w:sz="0" w:space="0" w:color="auto"/>
            <w:right w:val="none" w:sz="0" w:space="0" w:color="auto"/>
          </w:divBdr>
        </w:div>
        <w:div w:id="179392981">
          <w:marLeft w:val="0"/>
          <w:marRight w:val="0"/>
          <w:marTop w:val="0"/>
          <w:marBottom w:val="0"/>
          <w:divBdr>
            <w:top w:val="none" w:sz="0" w:space="0" w:color="auto"/>
            <w:left w:val="none" w:sz="0" w:space="0" w:color="auto"/>
            <w:bottom w:val="none" w:sz="0" w:space="0" w:color="auto"/>
            <w:right w:val="none" w:sz="0" w:space="0" w:color="auto"/>
          </w:divBdr>
        </w:div>
        <w:div w:id="185102008">
          <w:marLeft w:val="0"/>
          <w:marRight w:val="0"/>
          <w:marTop w:val="0"/>
          <w:marBottom w:val="0"/>
          <w:divBdr>
            <w:top w:val="none" w:sz="0" w:space="0" w:color="auto"/>
            <w:left w:val="none" w:sz="0" w:space="0" w:color="auto"/>
            <w:bottom w:val="none" w:sz="0" w:space="0" w:color="auto"/>
            <w:right w:val="none" w:sz="0" w:space="0" w:color="auto"/>
          </w:divBdr>
        </w:div>
        <w:div w:id="187530528">
          <w:marLeft w:val="0"/>
          <w:marRight w:val="0"/>
          <w:marTop w:val="0"/>
          <w:marBottom w:val="0"/>
          <w:divBdr>
            <w:top w:val="none" w:sz="0" w:space="0" w:color="auto"/>
            <w:left w:val="none" w:sz="0" w:space="0" w:color="auto"/>
            <w:bottom w:val="none" w:sz="0" w:space="0" w:color="auto"/>
            <w:right w:val="none" w:sz="0" w:space="0" w:color="auto"/>
          </w:divBdr>
        </w:div>
        <w:div w:id="191769711">
          <w:marLeft w:val="0"/>
          <w:marRight w:val="0"/>
          <w:marTop w:val="0"/>
          <w:marBottom w:val="0"/>
          <w:divBdr>
            <w:top w:val="none" w:sz="0" w:space="0" w:color="auto"/>
            <w:left w:val="none" w:sz="0" w:space="0" w:color="auto"/>
            <w:bottom w:val="none" w:sz="0" w:space="0" w:color="auto"/>
            <w:right w:val="none" w:sz="0" w:space="0" w:color="auto"/>
          </w:divBdr>
        </w:div>
        <w:div w:id="194343805">
          <w:marLeft w:val="0"/>
          <w:marRight w:val="0"/>
          <w:marTop w:val="0"/>
          <w:marBottom w:val="0"/>
          <w:divBdr>
            <w:top w:val="none" w:sz="0" w:space="0" w:color="auto"/>
            <w:left w:val="none" w:sz="0" w:space="0" w:color="auto"/>
            <w:bottom w:val="none" w:sz="0" w:space="0" w:color="auto"/>
            <w:right w:val="none" w:sz="0" w:space="0" w:color="auto"/>
          </w:divBdr>
        </w:div>
        <w:div w:id="202985886">
          <w:marLeft w:val="0"/>
          <w:marRight w:val="0"/>
          <w:marTop w:val="0"/>
          <w:marBottom w:val="0"/>
          <w:divBdr>
            <w:top w:val="none" w:sz="0" w:space="0" w:color="auto"/>
            <w:left w:val="none" w:sz="0" w:space="0" w:color="auto"/>
            <w:bottom w:val="none" w:sz="0" w:space="0" w:color="auto"/>
            <w:right w:val="none" w:sz="0" w:space="0" w:color="auto"/>
          </w:divBdr>
        </w:div>
        <w:div w:id="206458570">
          <w:marLeft w:val="0"/>
          <w:marRight w:val="0"/>
          <w:marTop w:val="0"/>
          <w:marBottom w:val="0"/>
          <w:divBdr>
            <w:top w:val="none" w:sz="0" w:space="0" w:color="auto"/>
            <w:left w:val="none" w:sz="0" w:space="0" w:color="auto"/>
            <w:bottom w:val="none" w:sz="0" w:space="0" w:color="auto"/>
            <w:right w:val="none" w:sz="0" w:space="0" w:color="auto"/>
          </w:divBdr>
        </w:div>
        <w:div w:id="252202328">
          <w:marLeft w:val="0"/>
          <w:marRight w:val="0"/>
          <w:marTop w:val="0"/>
          <w:marBottom w:val="0"/>
          <w:divBdr>
            <w:top w:val="none" w:sz="0" w:space="0" w:color="auto"/>
            <w:left w:val="none" w:sz="0" w:space="0" w:color="auto"/>
            <w:bottom w:val="none" w:sz="0" w:space="0" w:color="auto"/>
            <w:right w:val="none" w:sz="0" w:space="0" w:color="auto"/>
          </w:divBdr>
        </w:div>
        <w:div w:id="260333562">
          <w:marLeft w:val="0"/>
          <w:marRight w:val="0"/>
          <w:marTop w:val="0"/>
          <w:marBottom w:val="0"/>
          <w:divBdr>
            <w:top w:val="none" w:sz="0" w:space="0" w:color="auto"/>
            <w:left w:val="none" w:sz="0" w:space="0" w:color="auto"/>
            <w:bottom w:val="none" w:sz="0" w:space="0" w:color="auto"/>
            <w:right w:val="none" w:sz="0" w:space="0" w:color="auto"/>
          </w:divBdr>
        </w:div>
        <w:div w:id="260339054">
          <w:marLeft w:val="0"/>
          <w:marRight w:val="0"/>
          <w:marTop w:val="0"/>
          <w:marBottom w:val="0"/>
          <w:divBdr>
            <w:top w:val="none" w:sz="0" w:space="0" w:color="auto"/>
            <w:left w:val="none" w:sz="0" w:space="0" w:color="auto"/>
            <w:bottom w:val="none" w:sz="0" w:space="0" w:color="auto"/>
            <w:right w:val="none" w:sz="0" w:space="0" w:color="auto"/>
          </w:divBdr>
        </w:div>
        <w:div w:id="268977634">
          <w:marLeft w:val="0"/>
          <w:marRight w:val="0"/>
          <w:marTop w:val="0"/>
          <w:marBottom w:val="0"/>
          <w:divBdr>
            <w:top w:val="none" w:sz="0" w:space="0" w:color="auto"/>
            <w:left w:val="none" w:sz="0" w:space="0" w:color="auto"/>
            <w:bottom w:val="none" w:sz="0" w:space="0" w:color="auto"/>
            <w:right w:val="none" w:sz="0" w:space="0" w:color="auto"/>
          </w:divBdr>
        </w:div>
        <w:div w:id="272639117">
          <w:marLeft w:val="0"/>
          <w:marRight w:val="0"/>
          <w:marTop w:val="0"/>
          <w:marBottom w:val="0"/>
          <w:divBdr>
            <w:top w:val="none" w:sz="0" w:space="0" w:color="auto"/>
            <w:left w:val="none" w:sz="0" w:space="0" w:color="auto"/>
            <w:bottom w:val="none" w:sz="0" w:space="0" w:color="auto"/>
            <w:right w:val="none" w:sz="0" w:space="0" w:color="auto"/>
          </w:divBdr>
        </w:div>
        <w:div w:id="278223889">
          <w:marLeft w:val="0"/>
          <w:marRight w:val="0"/>
          <w:marTop w:val="0"/>
          <w:marBottom w:val="0"/>
          <w:divBdr>
            <w:top w:val="none" w:sz="0" w:space="0" w:color="auto"/>
            <w:left w:val="none" w:sz="0" w:space="0" w:color="auto"/>
            <w:bottom w:val="none" w:sz="0" w:space="0" w:color="auto"/>
            <w:right w:val="none" w:sz="0" w:space="0" w:color="auto"/>
          </w:divBdr>
        </w:div>
        <w:div w:id="280383111">
          <w:marLeft w:val="0"/>
          <w:marRight w:val="0"/>
          <w:marTop w:val="0"/>
          <w:marBottom w:val="0"/>
          <w:divBdr>
            <w:top w:val="none" w:sz="0" w:space="0" w:color="auto"/>
            <w:left w:val="none" w:sz="0" w:space="0" w:color="auto"/>
            <w:bottom w:val="none" w:sz="0" w:space="0" w:color="auto"/>
            <w:right w:val="none" w:sz="0" w:space="0" w:color="auto"/>
          </w:divBdr>
        </w:div>
        <w:div w:id="287132173">
          <w:marLeft w:val="0"/>
          <w:marRight w:val="0"/>
          <w:marTop w:val="0"/>
          <w:marBottom w:val="0"/>
          <w:divBdr>
            <w:top w:val="none" w:sz="0" w:space="0" w:color="auto"/>
            <w:left w:val="none" w:sz="0" w:space="0" w:color="auto"/>
            <w:bottom w:val="none" w:sz="0" w:space="0" w:color="auto"/>
            <w:right w:val="none" w:sz="0" w:space="0" w:color="auto"/>
          </w:divBdr>
        </w:div>
        <w:div w:id="289089256">
          <w:marLeft w:val="0"/>
          <w:marRight w:val="0"/>
          <w:marTop w:val="0"/>
          <w:marBottom w:val="0"/>
          <w:divBdr>
            <w:top w:val="none" w:sz="0" w:space="0" w:color="auto"/>
            <w:left w:val="none" w:sz="0" w:space="0" w:color="auto"/>
            <w:bottom w:val="none" w:sz="0" w:space="0" w:color="auto"/>
            <w:right w:val="none" w:sz="0" w:space="0" w:color="auto"/>
          </w:divBdr>
        </w:div>
        <w:div w:id="302738606">
          <w:marLeft w:val="0"/>
          <w:marRight w:val="0"/>
          <w:marTop w:val="0"/>
          <w:marBottom w:val="0"/>
          <w:divBdr>
            <w:top w:val="none" w:sz="0" w:space="0" w:color="auto"/>
            <w:left w:val="none" w:sz="0" w:space="0" w:color="auto"/>
            <w:bottom w:val="none" w:sz="0" w:space="0" w:color="auto"/>
            <w:right w:val="none" w:sz="0" w:space="0" w:color="auto"/>
          </w:divBdr>
        </w:div>
        <w:div w:id="303896468">
          <w:marLeft w:val="0"/>
          <w:marRight w:val="0"/>
          <w:marTop w:val="0"/>
          <w:marBottom w:val="0"/>
          <w:divBdr>
            <w:top w:val="none" w:sz="0" w:space="0" w:color="auto"/>
            <w:left w:val="none" w:sz="0" w:space="0" w:color="auto"/>
            <w:bottom w:val="none" w:sz="0" w:space="0" w:color="auto"/>
            <w:right w:val="none" w:sz="0" w:space="0" w:color="auto"/>
          </w:divBdr>
        </w:div>
        <w:div w:id="306017136">
          <w:marLeft w:val="0"/>
          <w:marRight w:val="0"/>
          <w:marTop w:val="0"/>
          <w:marBottom w:val="0"/>
          <w:divBdr>
            <w:top w:val="none" w:sz="0" w:space="0" w:color="auto"/>
            <w:left w:val="none" w:sz="0" w:space="0" w:color="auto"/>
            <w:bottom w:val="none" w:sz="0" w:space="0" w:color="auto"/>
            <w:right w:val="none" w:sz="0" w:space="0" w:color="auto"/>
          </w:divBdr>
        </w:div>
        <w:div w:id="312563657">
          <w:marLeft w:val="0"/>
          <w:marRight w:val="0"/>
          <w:marTop w:val="0"/>
          <w:marBottom w:val="0"/>
          <w:divBdr>
            <w:top w:val="none" w:sz="0" w:space="0" w:color="auto"/>
            <w:left w:val="none" w:sz="0" w:space="0" w:color="auto"/>
            <w:bottom w:val="none" w:sz="0" w:space="0" w:color="auto"/>
            <w:right w:val="none" w:sz="0" w:space="0" w:color="auto"/>
          </w:divBdr>
        </w:div>
        <w:div w:id="313610570">
          <w:marLeft w:val="0"/>
          <w:marRight w:val="0"/>
          <w:marTop w:val="0"/>
          <w:marBottom w:val="0"/>
          <w:divBdr>
            <w:top w:val="none" w:sz="0" w:space="0" w:color="auto"/>
            <w:left w:val="none" w:sz="0" w:space="0" w:color="auto"/>
            <w:bottom w:val="none" w:sz="0" w:space="0" w:color="auto"/>
            <w:right w:val="none" w:sz="0" w:space="0" w:color="auto"/>
          </w:divBdr>
        </w:div>
        <w:div w:id="324288035">
          <w:marLeft w:val="0"/>
          <w:marRight w:val="0"/>
          <w:marTop w:val="0"/>
          <w:marBottom w:val="0"/>
          <w:divBdr>
            <w:top w:val="none" w:sz="0" w:space="0" w:color="auto"/>
            <w:left w:val="none" w:sz="0" w:space="0" w:color="auto"/>
            <w:bottom w:val="none" w:sz="0" w:space="0" w:color="auto"/>
            <w:right w:val="none" w:sz="0" w:space="0" w:color="auto"/>
          </w:divBdr>
        </w:div>
        <w:div w:id="325403175">
          <w:marLeft w:val="0"/>
          <w:marRight w:val="0"/>
          <w:marTop w:val="0"/>
          <w:marBottom w:val="0"/>
          <w:divBdr>
            <w:top w:val="none" w:sz="0" w:space="0" w:color="auto"/>
            <w:left w:val="none" w:sz="0" w:space="0" w:color="auto"/>
            <w:bottom w:val="none" w:sz="0" w:space="0" w:color="auto"/>
            <w:right w:val="none" w:sz="0" w:space="0" w:color="auto"/>
          </w:divBdr>
        </w:div>
        <w:div w:id="334190925">
          <w:marLeft w:val="0"/>
          <w:marRight w:val="0"/>
          <w:marTop w:val="0"/>
          <w:marBottom w:val="0"/>
          <w:divBdr>
            <w:top w:val="none" w:sz="0" w:space="0" w:color="auto"/>
            <w:left w:val="none" w:sz="0" w:space="0" w:color="auto"/>
            <w:bottom w:val="none" w:sz="0" w:space="0" w:color="auto"/>
            <w:right w:val="none" w:sz="0" w:space="0" w:color="auto"/>
          </w:divBdr>
        </w:div>
        <w:div w:id="339746445">
          <w:marLeft w:val="0"/>
          <w:marRight w:val="0"/>
          <w:marTop w:val="0"/>
          <w:marBottom w:val="0"/>
          <w:divBdr>
            <w:top w:val="none" w:sz="0" w:space="0" w:color="auto"/>
            <w:left w:val="none" w:sz="0" w:space="0" w:color="auto"/>
            <w:bottom w:val="none" w:sz="0" w:space="0" w:color="auto"/>
            <w:right w:val="none" w:sz="0" w:space="0" w:color="auto"/>
          </w:divBdr>
        </w:div>
        <w:div w:id="346717434">
          <w:marLeft w:val="0"/>
          <w:marRight w:val="0"/>
          <w:marTop w:val="0"/>
          <w:marBottom w:val="0"/>
          <w:divBdr>
            <w:top w:val="none" w:sz="0" w:space="0" w:color="auto"/>
            <w:left w:val="none" w:sz="0" w:space="0" w:color="auto"/>
            <w:bottom w:val="none" w:sz="0" w:space="0" w:color="auto"/>
            <w:right w:val="none" w:sz="0" w:space="0" w:color="auto"/>
          </w:divBdr>
        </w:div>
        <w:div w:id="347952661">
          <w:marLeft w:val="0"/>
          <w:marRight w:val="0"/>
          <w:marTop w:val="0"/>
          <w:marBottom w:val="0"/>
          <w:divBdr>
            <w:top w:val="none" w:sz="0" w:space="0" w:color="auto"/>
            <w:left w:val="none" w:sz="0" w:space="0" w:color="auto"/>
            <w:bottom w:val="none" w:sz="0" w:space="0" w:color="auto"/>
            <w:right w:val="none" w:sz="0" w:space="0" w:color="auto"/>
          </w:divBdr>
        </w:div>
        <w:div w:id="350839198">
          <w:marLeft w:val="0"/>
          <w:marRight w:val="0"/>
          <w:marTop w:val="0"/>
          <w:marBottom w:val="0"/>
          <w:divBdr>
            <w:top w:val="none" w:sz="0" w:space="0" w:color="auto"/>
            <w:left w:val="none" w:sz="0" w:space="0" w:color="auto"/>
            <w:bottom w:val="none" w:sz="0" w:space="0" w:color="auto"/>
            <w:right w:val="none" w:sz="0" w:space="0" w:color="auto"/>
          </w:divBdr>
        </w:div>
        <w:div w:id="359863871">
          <w:marLeft w:val="0"/>
          <w:marRight w:val="0"/>
          <w:marTop w:val="0"/>
          <w:marBottom w:val="0"/>
          <w:divBdr>
            <w:top w:val="none" w:sz="0" w:space="0" w:color="auto"/>
            <w:left w:val="none" w:sz="0" w:space="0" w:color="auto"/>
            <w:bottom w:val="none" w:sz="0" w:space="0" w:color="auto"/>
            <w:right w:val="none" w:sz="0" w:space="0" w:color="auto"/>
          </w:divBdr>
        </w:div>
        <w:div w:id="363216049">
          <w:marLeft w:val="0"/>
          <w:marRight w:val="0"/>
          <w:marTop w:val="0"/>
          <w:marBottom w:val="0"/>
          <w:divBdr>
            <w:top w:val="none" w:sz="0" w:space="0" w:color="auto"/>
            <w:left w:val="none" w:sz="0" w:space="0" w:color="auto"/>
            <w:bottom w:val="none" w:sz="0" w:space="0" w:color="auto"/>
            <w:right w:val="none" w:sz="0" w:space="0" w:color="auto"/>
          </w:divBdr>
        </w:div>
        <w:div w:id="364646107">
          <w:marLeft w:val="0"/>
          <w:marRight w:val="0"/>
          <w:marTop w:val="0"/>
          <w:marBottom w:val="0"/>
          <w:divBdr>
            <w:top w:val="none" w:sz="0" w:space="0" w:color="auto"/>
            <w:left w:val="none" w:sz="0" w:space="0" w:color="auto"/>
            <w:bottom w:val="none" w:sz="0" w:space="0" w:color="auto"/>
            <w:right w:val="none" w:sz="0" w:space="0" w:color="auto"/>
          </w:divBdr>
        </w:div>
        <w:div w:id="370767423">
          <w:marLeft w:val="0"/>
          <w:marRight w:val="0"/>
          <w:marTop w:val="0"/>
          <w:marBottom w:val="0"/>
          <w:divBdr>
            <w:top w:val="none" w:sz="0" w:space="0" w:color="auto"/>
            <w:left w:val="none" w:sz="0" w:space="0" w:color="auto"/>
            <w:bottom w:val="none" w:sz="0" w:space="0" w:color="auto"/>
            <w:right w:val="none" w:sz="0" w:space="0" w:color="auto"/>
          </w:divBdr>
        </w:div>
        <w:div w:id="383212847">
          <w:marLeft w:val="0"/>
          <w:marRight w:val="0"/>
          <w:marTop w:val="0"/>
          <w:marBottom w:val="0"/>
          <w:divBdr>
            <w:top w:val="none" w:sz="0" w:space="0" w:color="auto"/>
            <w:left w:val="none" w:sz="0" w:space="0" w:color="auto"/>
            <w:bottom w:val="none" w:sz="0" w:space="0" w:color="auto"/>
            <w:right w:val="none" w:sz="0" w:space="0" w:color="auto"/>
          </w:divBdr>
        </w:div>
        <w:div w:id="385953135">
          <w:marLeft w:val="0"/>
          <w:marRight w:val="0"/>
          <w:marTop w:val="0"/>
          <w:marBottom w:val="0"/>
          <w:divBdr>
            <w:top w:val="none" w:sz="0" w:space="0" w:color="auto"/>
            <w:left w:val="none" w:sz="0" w:space="0" w:color="auto"/>
            <w:bottom w:val="none" w:sz="0" w:space="0" w:color="auto"/>
            <w:right w:val="none" w:sz="0" w:space="0" w:color="auto"/>
          </w:divBdr>
        </w:div>
        <w:div w:id="392897731">
          <w:marLeft w:val="0"/>
          <w:marRight w:val="0"/>
          <w:marTop w:val="0"/>
          <w:marBottom w:val="0"/>
          <w:divBdr>
            <w:top w:val="none" w:sz="0" w:space="0" w:color="auto"/>
            <w:left w:val="none" w:sz="0" w:space="0" w:color="auto"/>
            <w:bottom w:val="none" w:sz="0" w:space="0" w:color="auto"/>
            <w:right w:val="none" w:sz="0" w:space="0" w:color="auto"/>
          </w:divBdr>
        </w:div>
        <w:div w:id="392970979">
          <w:marLeft w:val="0"/>
          <w:marRight w:val="0"/>
          <w:marTop w:val="0"/>
          <w:marBottom w:val="0"/>
          <w:divBdr>
            <w:top w:val="none" w:sz="0" w:space="0" w:color="auto"/>
            <w:left w:val="none" w:sz="0" w:space="0" w:color="auto"/>
            <w:bottom w:val="none" w:sz="0" w:space="0" w:color="auto"/>
            <w:right w:val="none" w:sz="0" w:space="0" w:color="auto"/>
          </w:divBdr>
        </w:div>
        <w:div w:id="393090768">
          <w:marLeft w:val="0"/>
          <w:marRight w:val="0"/>
          <w:marTop w:val="0"/>
          <w:marBottom w:val="0"/>
          <w:divBdr>
            <w:top w:val="none" w:sz="0" w:space="0" w:color="auto"/>
            <w:left w:val="none" w:sz="0" w:space="0" w:color="auto"/>
            <w:bottom w:val="none" w:sz="0" w:space="0" w:color="auto"/>
            <w:right w:val="none" w:sz="0" w:space="0" w:color="auto"/>
          </w:divBdr>
        </w:div>
        <w:div w:id="394469252">
          <w:marLeft w:val="0"/>
          <w:marRight w:val="0"/>
          <w:marTop w:val="0"/>
          <w:marBottom w:val="0"/>
          <w:divBdr>
            <w:top w:val="none" w:sz="0" w:space="0" w:color="auto"/>
            <w:left w:val="none" w:sz="0" w:space="0" w:color="auto"/>
            <w:bottom w:val="none" w:sz="0" w:space="0" w:color="auto"/>
            <w:right w:val="none" w:sz="0" w:space="0" w:color="auto"/>
          </w:divBdr>
        </w:div>
        <w:div w:id="394743056">
          <w:marLeft w:val="0"/>
          <w:marRight w:val="0"/>
          <w:marTop w:val="0"/>
          <w:marBottom w:val="0"/>
          <w:divBdr>
            <w:top w:val="none" w:sz="0" w:space="0" w:color="auto"/>
            <w:left w:val="none" w:sz="0" w:space="0" w:color="auto"/>
            <w:bottom w:val="none" w:sz="0" w:space="0" w:color="auto"/>
            <w:right w:val="none" w:sz="0" w:space="0" w:color="auto"/>
          </w:divBdr>
        </w:div>
        <w:div w:id="410083265">
          <w:marLeft w:val="0"/>
          <w:marRight w:val="0"/>
          <w:marTop w:val="0"/>
          <w:marBottom w:val="0"/>
          <w:divBdr>
            <w:top w:val="none" w:sz="0" w:space="0" w:color="auto"/>
            <w:left w:val="none" w:sz="0" w:space="0" w:color="auto"/>
            <w:bottom w:val="none" w:sz="0" w:space="0" w:color="auto"/>
            <w:right w:val="none" w:sz="0" w:space="0" w:color="auto"/>
          </w:divBdr>
        </w:div>
        <w:div w:id="413867840">
          <w:marLeft w:val="0"/>
          <w:marRight w:val="0"/>
          <w:marTop w:val="0"/>
          <w:marBottom w:val="0"/>
          <w:divBdr>
            <w:top w:val="none" w:sz="0" w:space="0" w:color="auto"/>
            <w:left w:val="none" w:sz="0" w:space="0" w:color="auto"/>
            <w:bottom w:val="none" w:sz="0" w:space="0" w:color="auto"/>
            <w:right w:val="none" w:sz="0" w:space="0" w:color="auto"/>
          </w:divBdr>
        </w:div>
        <w:div w:id="418872982">
          <w:marLeft w:val="0"/>
          <w:marRight w:val="0"/>
          <w:marTop w:val="0"/>
          <w:marBottom w:val="0"/>
          <w:divBdr>
            <w:top w:val="none" w:sz="0" w:space="0" w:color="auto"/>
            <w:left w:val="none" w:sz="0" w:space="0" w:color="auto"/>
            <w:bottom w:val="none" w:sz="0" w:space="0" w:color="auto"/>
            <w:right w:val="none" w:sz="0" w:space="0" w:color="auto"/>
          </w:divBdr>
        </w:div>
        <w:div w:id="425272702">
          <w:marLeft w:val="0"/>
          <w:marRight w:val="0"/>
          <w:marTop w:val="0"/>
          <w:marBottom w:val="0"/>
          <w:divBdr>
            <w:top w:val="none" w:sz="0" w:space="0" w:color="auto"/>
            <w:left w:val="none" w:sz="0" w:space="0" w:color="auto"/>
            <w:bottom w:val="none" w:sz="0" w:space="0" w:color="auto"/>
            <w:right w:val="none" w:sz="0" w:space="0" w:color="auto"/>
          </w:divBdr>
        </w:div>
        <w:div w:id="440540959">
          <w:marLeft w:val="0"/>
          <w:marRight w:val="0"/>
          <w:marTop w:val="0"/>
          <w:marBottom w:val="0"/>
          <w:divBdr>
            <w:top w:val="none" w:sz="0" w:space="0" w:color="auto"/>
            <w:left w:val="none" w:sz="0" w:space="0" w:color="auto"/>
            <w:bottom w:val="none" w:sz="0" w:space="0" w:color="auto"/>
            <w:right w:val="none" w:sz="0" w:space="0" w:color="auto"/>
          </w:divBdr>
        </w:div>
        <w:div w:id="445007616">
          <w:marLeft w:val="0"/>
          <w:marRight w:val="0"/>
          <w:marTop w:val="0"/>
          <w:marBottom w:val="0"/>
          <w:divBdr>
            <w:top w:val="none" w:sz="0" w:space="0" w:color="auto"/>
            <w:left w:val="none" w:sz="0" w:space="0" w:color="auto"/>
            <w:bottom w:val="none" w:sz="0" w:space="0" w:color="auto"/>
            <w:right w:val="none" w:sz="0" w:space="0" w:color="auto"/>
          </w:divBdr>
        </w:div>
        <w:div w:id="445084153">
          <w:marLeft w:val="0"/>
          <w:marRight w:val="0"/>
          <w:marTop w:val="0"/>
          <w:marBottom w:val="0"/>
          <w:divBdr>
            <w:top w:val="none" w:sz="0" w:space="0" w:color="auto"/>
            <w:left w:val="none" w:sz="0" w:space="0" w:color="auto"/>
            <w:bottom w:val="none" w:sz="0" w:space="0" w:color="auto"/>
            <w:right w:val="none" w:sz="0" w:space="0" w:color="auto"/>
          </w:divBdr>
        </w:div>
        <w:div w:id="477649653">
          <w:marLeft w:val="0"/>
          <w:marRight w:val="0"/>
          <w:marTop w:val="0"/>
          <w:marBottom w:val="0"/>
          <w:divBdr>
            <w:top w:val="none" w:sz="0" w:space="0" w:color="auto"/>
            <w:left w:val="none" w:sz="0" w:space="0" w:color="auto"/>
            <w:bottom w:val="none" w:sz="0" w:space="0" w:color="auto"/>
            <w:right w:val="none" w:sz="0" w:space="0" w:color="auto"/>
          </w:divBdr>
        </w:div>
        <w:div w:id="479736012">
          <w:marLeft w:val="0"/>
          <w:marRight w:val="0"/>
          <w:marTop w:val="0"/>
          <w:marBottom w:val="0"/>
          <w:divBdr>
            <w:top w:val="none" w:sz="0" w:space="0" w:color="auto"/>
            <w:left w:val="none" w:sz="0" w:space="0" w:color="auto"/>
            <w:bottom w:val="none" w:sz="0" w:space="0" w:color="auto"/>
            <w:right w:val="none" w:sz="0" w:space="0" w:color="auto"/>
          </w:divBdr>
        </w:div>
        <w:div w:id="483737409">
          <w:marLeft w:val="0"/>
          <w:marRight w:val="0"/>
          <w:marTop w:val="0"/>
          <w:marBottom w:val="0"/>
          <w:divBdr>
            <w:top w:val="none" w:sz="0" w:space="0" w:color="auto"/>
            <w:left w:val="none" w:sz="0" w:space="0" w:color="auto"/>
            <w:bottom w:val="none" w:sz="0" w:space="0" w:color="auto"/>
            <w:right w:val="none" w:sz="0" w:space="0" w:color="auto"/>
          </w:divBdr>
        </w:div>
        <w:div w:id="517472520">
          <w:marLeft w:val="0"/>
          <w:marRight w:val="0"/>
          <w:marTop w:val="0"/>
          <w:marBottom w:val="0"/>
          <w:divBdr>
            <w:top w:val="none" w:sz="0" w:space="0" w:color="auto"/>
            <w:left w:val="none" w:sz="0" w:space="0" w:color="auto"/>
            <w:bottom w:val="none" w:sz="0" w:space="0" w:color="auto"/>
            <w:right w:val="none" w:sz="0" w:space="0" w:color="auto"/>
          </w:divBdr>
        </w:div>
        <w:div w:id="529224088">
          <w:marLeft w:val="0"/>
          <w:marRight w:val="0"/>
          <w:marTop w:val="0"/>
          <w:marBottom w:val="0"/>
          <w:divBdr>
            <w:top w:val="none" w:sz="0" w:space="0" w:color="auto"/>
            <w:left w:val="none" w:sz="0" w:space="0" w:color="auto"/>
            <w:bottom w:val="none" w:sz="0" w:space="0" w:color="auto"/>
            <w:right w:val="none" w:sz="0" w:space="0" w:color="auto"/>
          </w:divBdr>
        </w:div>
        <w:div w:id="536506794">
          <w:marLeft w:val="0"/>
          <w:marRight w:val="0"/>
          <w:marTop w:val="0"/>
          <w:marBottom w:val="0"/>
          <w:divBdr>
            <w:top w:val="none" w:sz="0" w:space="0" w:color="auto"/>
            <w:left w:val="none" w:sz="0" w:space="0" w:color="auto"/>
            <w:bottom w:val="none" w:sz="0" w:space="0" w:color="auto"/>
            <w:right w:val="none" w:sz="0" w:space="0" w:color="auto"/>
          </w:divBdr>
        </w:div>
        <w:div w:id="538323879">
          <w:marLeft w:val="0"/>
          <w:marRight w:val="0"/>
          <w:marTop w:val="0"/>
          <w:marBottom w:val="0"/>
          <w:divBdr>
            <w:top w:val="none" w:sz="0" w:space="0" w:color="auto"/>
            <w:left w:val="none" w:sz="0" w:space="0" w:color="auto"/>
            <w:bottom w:val="none" w:sz="0" w:space="0" w:color="auto"/>
            <w:right w:val="none" w:sz="0" w:space="0" w:color="auto"/>
          </w:divBdr>
        </w:div>
        <w:div w:id="550920069">
          <w:marLeft w:val="0"/>
          <w:marRight w:val="0"/>
          <w:marTop w:val="0"/>
          <w:marBottom w:val="0"/>
          <w:divBdr>
            <w:top w:val="none" w:sz="0" w:space="0" w:color="auto"/>
            <w:left w:val="none" w:sz="0" w:space="0" w:color="auto"/>
            <w:bottom w:val="none" w:sz="0" w:space="0" w:color="auto"/>
            <w:right w:val="none" w:sz="0" w:space="0" w:color="auto"/>
          </w:divBdr>
        </w:div>
        <w:div w:id="551581758">
          <w:marLeft w:val="0"/>
          <w:marRight w:val="0"/>
          <w:marTop w:val="0"/>
          <w:marBottom w:val="0"/>
          <w:divBdr>
            <w:top w:val="none" w:sz="0" w:space="0" w:color="auto"/>
            <w:left w:val="none" w:sz="0" w:space="0" w:color="auto"/>
            <w:bottom w:val="none" w:sz="0" w:space="0" w:color="auto"/>
            <w:right w:val="none" w:sz="0" w:space="0" w:color="auto"/>
          </w:divBdr>
        </w:div>
        <w:div w:id="557667576">
          <w:marLeft w:val="0"/>
          <w:marRight w:val="0"/>
          <w:marTop w:val="0"/>
          <w:marBottom w:val="0"/>
          <w:divBdr>
            <w:top w:val="none" w:sz="0" w:space="0" w:color="auto"/>
            <w:left w:val="none" w:sz="0" w:space="0" w:color="auto"/>
            <w:bottom w:val="none" w:sz="0" w:space="0" w:color="auto"/>
            <w:right w:val="none" w:sz="0" w:space="0" w:color="auto"/>
          </w:divBdr>
        </w:div>
        <w:div w:id="559556463">
          <w:marLeft w:val="0"/>
          <w:marRight w:val="0"/>
          <w:marTop w:val="0"/>
          <w:marBottom w:val="0"/>
          <w:divBdr>
            <w:top w:val="none" w:sz="0" w:space="0" w:color="auto"/>
            <w:left w:val="none" w:sz="0" w:space="0" w:color="auto"/>
            <w:bottom w:val="none" w:sz="0" w:space="0" w:color="auto"/>
            <w:right w:val="none" w:sz="0" w:space="0" w:color="auto"/>
          </w:divBdr>
        </w:div>
        <w:div w:id="572814166">
          <w:marLeft w:val="0"/>
          <w:marRight w:val="0"/>
          <w:marTop w:val="0"/>
          <w:marBottom w:val="0"/>
          <w:divBdr>
            <w:top w:val="none" w:sz="0" w:space="0" w:color="auto"/>
            <w:left w:val="none" w:sz="0" w:space="0" w:color="auto"/>
            <w:bottom w:val="none" w:sz="0" w:space="0" w:color="auto"/>
            <w:right w:val="none" w:sz="0" w:space="0" w:color="auto"/>
          </w:divBdr>
        </w:div>
        <w:div w:id="573011371">
          <w:marLeft w:val="0"/>
          <w:marRight w:val="0"/>
          <w:marTop w:val="0"/>
          <w:marBottom w:val="0"/>
          <w:divBdr>
            <w:top w:val="none" w:sz="0" w:space="0" w:color="auto"/>
            <w:left w:val="none" w:sz="0" w:space="0" w:color="auto"/>
            <w:bottom w:val="none" w:sz="0" w:space="0" w:color="auto"/>
            <w:right w:val="none" w:sz="0" w:space="0" w:color="auto"/>
          </w:divBdr>
        </w:div>
        <w:div w:id="574363679">
          <w:marLeft w:val="0"/>
          <w:marRight w:val="0"/>
          <w:marTop w:val="0"/>
          <w:marBottom w:val="0"/>
          <w:divBdr>
            <w:top w:val="none" w:sz="0" w:space="0" w:color="auto"/>
            <w:left w:val="none" w:sz="0" w:space="0" w:color="auto"/>
            <w:bottom w:val="none" w:sz="0" w:space="0" w:color="auto"/>
            <w:right w:val="none" w:sz="0" w:space="0" w:color="auto"/>
          </w:divBdr>
        </w:div>
        <w:div w:id="602151708">
          <w:marLeft w:val="0"/>
          <w:marRight w:val="0"/>
          <w:marTop w:val="0"/>
          <w:marBottom w:val="0"/>
          <w:divBdr>
            <w:top w:val="none" w:sz="0" w:space="0" w:color="auto"/>
            <w:left w:val="none" w:sz="0" w:space="0" w:color="auto"/>
            <w:bottom w:val="none" w:sz="0" w:space="0" w:color="auto"/>
            <w:right w:val="none" w:sz="0" w:space="0" w:color="auto"/>
          </w:divBdr>
        </w:div>
        <w:div w:id="635335161">
          <w:marLeft w:val="0"/>
          <w:marRight w:val="0"/>
          <w:marTop w:val="0"/>
          <w:marBottom w:val="0"/>
          <w:divBdr>
            <w:top w:val="none" w:sz="0" w:space="0" w:color="auto"/>
            <w:left w:val="none" w:sz="0" w:space="0" w:color="auto"/>
            <w:bottom w:val="none" w:sz="0" w:space="0" w:color="auto"/>
            <w:right w:val="none" w:sz="0" w:space="0" w:color="auto"/>
          </w:divBdr>
        </w:div>
        <w:div w:id="654528727">
          <w:marLeft w:val="0"/>
          <w:marRight w:val="0"/>
          <w:marTop w:val="0"/>
          <w:marBottom w:val="0"/>
          <w:divBdr>
            <w:top w:val="none" w:sz="0" w:space="0" w:color="auto"/>
            <w:left w:val="none" w:sz="0" w:space="0" w:color="auto"/>
            <w:bottom w:val="none" w:sz="0" w:space="0" w:color="auto"/>
            <w:right w:val="none" w:sz="0" w:space="0" w:color="auto"/>
          </w:divBdr>
        </w:div>
        <w:div w:id="656614663">
          <w:marLeft w:val="0"/>
          <w:marRight w:val="0"/>
          <w:marTop w:val="0"/>
          <w:marBottom w:val="0"/>
          <w:divBdr>
            <w:top w:val="none" w:sz="0" w:space="0" w:color="auto"/>
            <w:left w:val="none" w:sz="0" w:space="0" w:color="auto"/>
            <w:bottom w:val="none" w:sz="0" w:space="0" w:color="auto"/>
            <w:right w:val="none" w:sz="0" w:space="0" w:color="auto"/>
          </w:divBdr>
        </w:div>
        <w:div w:id="682054006">
          <w:marLeft w:val="0"/>
          <w:marRight w:val="0"/>
          <w:marTop w:val="0"/>
          <w:marBottom w:val="0"/>
          <w:divBdr>
            <w:top w:val="none" w:sz="0" w:space="0" w:color="auto"/>
            <w:left w:val="none" w:sz="0" w:space="0" w:color="auto"/>
            <w:bottom w:val="none" w:sz="0" w:space="0" w:color="auto"/>
            <w:right w:val="none" w:sz="0" w:space="0" w:color="auto"/>
          </w:divBdr>
        </w:div>
        <w:div w:id="683214934">
          <w:marLeft w:val="0"/>
          <w:marRight w:val="0"/>
          <w:marTop w:val="0"/>
          <w:marBottom w:val="0"/>
          <w:divBdr>
            <w:top w:val="none" w:sz="0" w:space="0" w:color="auto"/>
            <w:left w:val="none" w:sz="0" w:space="0" w:color="auto"/>
            <w:bottom w:val="none" w:sz="0" w:space="0" w:color="auto"/>
            <w:right w:val="none" w:sz="0" w:space="0" w:color="auto"/>
          </w:divBdr>
        </w:div>
        <w:div w:id="709918337">
          <w:marLeft w:val="0"/>
          <w:marRight w:val="0"/>
          <w:marTop w:val="0"/>
          <w:marBottom w:val="0"/>
          <w:divBdr>
            <w:top w:val="none" w:sz="0" w:space="0" w:color="auto"/>
            <w:left w:val="none" w:sz="0" w:space="0" w:color="auto"/>
            <w:bottom w:val="none" w:sz="0" w:space="0" w:color="auto"/>
            <w:right w:val="none" w:sz="0" w:space="0" w:color="auto"/>
          </w:divBdr>
        </w:div>
        <w:div w:id="714037413">
          <w:marLeft w:val="0"/>
          <w:marRight w:val="0"/>
          <w:marTop w:val="0"/>
          <w:marBottom w:val="0"/>
          <w:divBdr>
            <w:top w:val="none" w:sz="0" w:space="0" w:color="auto"/>
            <w:left w:val="none" w:sz="0" w:space="0" w:color="auto"/>
            <w:bottom w:val="none" w:sz="0" w:space="0" w:color="auto"/>
            <w:right w:val="none" w:sz="0" w:space="0" w:color="auto"/>
          </w:divBdr>
        </w:div>
        <w:div w:id="725568654">
          <w:marLeft w:val="0"/>
          <w:marRight w:val="0"/>
          <w:marTop w:val="0"/>
          <w:marBottom w:val="0"/>
          <w:divBdr>
            <w:top w:val="none" w:sz="0" w:space="0" w:color="auto"/>
            <w:left w:val="none" w:sz="0" w:space="0" w:color="auto"/>
            <w:bottom w:val="none" w:sz="0" w:space="0" w:color="auto"/>
            <w:right w:val="none" w:sz="0" w:space="0" w:color="auto"/>
          </w:divBdr>
        </w:div>
        <w:div w:id="728724575">
          <w:marLeft w:val="0"/>
          <w:marRight w:val="0"/>
          <w:marTop w:val="0"/>
          <w:marBottom w:val="0"/>
          <w:divBdr>
            <w:top w:val="none" w:sz="0" w:space="0" w:color="auto"/>
            <w:left w:val="none" w:sz="0" w:space="0" w:color="auto"/>
            <w:bottom w:val="none" w:sz="0" w:space="0" w:color="auto"/>
            <w:right w:val="none" w:sz="0" w:space="0" w:color="auto"/>
          </w:divBdr>
        </w:div>
        <w:div w:id="729691021">
          <w:marLeft w:val="0"/>
          <w:marRight w:val="0"/>
          <w:marTop w:val="0"/>
          <w:marBottom w:val="0"/>
          <w:divBdr>
            <w:top w:val="none" w:sz="0" w:space="0" w:color="auto"/>
            <w:left w:val="none" w:sz="0" w:space="0" w:color="auto"/>
            <w:bottom w:val="none" w:sz="0" w:space="0" w:color="auto"/>
            <w:right w:val="none" w:sz="0" w:space="0" w:color="auto"/>
          </w:divBdr>
        </w:div>
        <w:div w:id="733309467">
          <w:marLeft w:val="0"/>
          <w:marRight w:val="0"/>
          <w:marTop w:val="0"/>
          <w:marBottom w:val="0"/>
          <w:divBdr>
            <w:top w:val="none" w:sz="0" w:space="0" w:color="auto"/>
            <w:left w:val="none" w:sz="0" w:space="0" w:color="auto"/>
            <w:bottom w:val="none" w:sz="0" w:space="0" w:color="auto"/>
            <w:right w:val="none" w:sz="0" w:space="0" w:color="auto"/>
          </w:divBdr>
        </w:div>
        <w:div w:id="733360654">
          <w:marLeft w:val="0"/>
          <w:marRight w:val="0"/>
          <w:marTop w:val="0"/>
          <w:marBottom w:val="0"/>
          <w:divBdr>
            <w:top w:val="none" w:sz="0" w:space="0" w:color="auto"/>
            <w:left w:val="none" w:sz="0" w:space="0" w:color="auto"/>
            <w:bottom w:val="none" w:sz="0" w:space="0" w:color="auto"/>
            <w:right w:val="none" w:sz="0" w:space="0" w:color="auto"/>
          </w:divBdr>
        </w:div>
        <w:div w:id="743331455">
          <w:marLeft w:val="0"/>
          <w:marRight w:val="0"/>
          <w:marTop w:val="0"/>
          <w:marBottom w:val="0"/>
          <w:divBdr>
            <w:top w:val="none" w:sz="0" w:space="0" w:color="auto"/>
            <w:left w:val="none" w:sz="0" w:space="0" w:color="auto"/>
            <w:bottom w:val="none" w:sz="0" w:space="0" w:color="auto"/>
            <w:right w:val="none" w:sz="0" w:space="0" w:color="auto"/>
          </w:divBdr>
        </w:div>
        <w:div w:id="744185091">
          <w:marLeft w:val="0"/>
          <w:marRight w:val="0"/>
          <w:marTop w:val="0"/>
          <w:marBottom w:val="0"/>
          <w:divBdr>
            <w:top w:val="none" w:sz="0" w:space="0" w:color="auto"/>
            <w:left w:val="none" w:sz="0" w:space="0" w:color="auto"/>
            <w:bottom w:val="none" w:sz="0" w:space="0" w:color="auto"/>
            <w:right w:val="none" w:sz="0" w:space="0" w:color="auto"/>
          </w:divBdr>
        </w:div>
        <w:div w:id="746077746">
          <w:marLeft w:val="0"/>
          <w:marRight w:val="0"/>
          <w:marTop w:val="0"/>
          <w:marBottom w:val="0"/>
          <w:divBdr>
            <w:top w:val="none" w:sz="0" w:space="0" w:color="auto"/>
            <w:left w:val="none" w:sz="0" w:space="0" w:color="auto"/>
            <w:bottom w:val="none" w:sz="0" w:space="0" w:color="auto"/>
            <w:right w:val="none" w:sz="0" w:space="0" w:color="auto"/>
          </w:divBdr>
        </w:div>
        <w:div w:id="755369233">
          <w:marLeft w:val="0"/>
          <w:marRight w:val="0"/>
          <w:marTop w:val="0"/>
          <w:marBottom w:val="0"/>
          <w:divBdr>
            <w:top w:val="none" w:sz="0" w:space="0" w:color="auto"/>
            <w:left w:val="none" w:sz="0" w:space="0" w:color="auto"/>
            <w:bottom w:val="none" w:sz="0" w:space="0" w:color="auto"/>
            <w:right w:val="none" w:sz="0" w:space="0" w:color="auto"/>
          </w:divBdr>
        </w:div>
        <w:div w:id="766660348">
          <w:marLeft w:val="0"/>
          <w:marRight w:val="0"/>
          <w:marTop w:val="0"/>
          <w:marBottom w:val="0"/>
          <w:divBdr>
            <w:top w:val="none" w:sz="0" w:space="0" w:color="auto"/>
            <w:left w:val="none" w:sz="0" w:space="0" w:color="auto"/>
            <w:bottom w:val="none" w:sz="0" w:space="0" w:color="auto"/>
            <w:right w:val="none" w:sz="0" w:space="0" w:color="auto"/>
          </w:divBdr>
        </w:div>
        <w:div w:id="768819862">
          <w:marLeft w:val="0"/>
          <w:marRight w:val="0"/>
          <w:marTop w:val="0"/>
          <w:marBottom w:val="0"/>
          <w:divBdr>
            <w:top w:val="none" w:sz="0" w:space="0" w:color="auto"/>
            <w:left w:val="none" w:sz="0" w:space="0" w:color="auto"/>
            <w:bottom w:val="none" w:sz="0" w:space="0" w:color="auto"/>
            <w:right w:val="none" w:sz="0" w:space="0" w:color="auto"/>
          </w:divBdr>
        </w:div>
        <w:div w:id="784154580">
          <w:marLeft w:val="0"/>
          <w:marRight w:val="0"/>
          <w:marTop w:val="0"/>
          <w:marBottom w:val="0"/>
          <w:divBdr>
            <w:top w:val="none" w:sz="0" w:space="0" w:color="auto"/>
            <w:left w:val="none" w:sz="0" w:space="0" w:color="auto"/>
            <w:bottom w:val="none" w:sz="0" w:space="0" w:color="auto"/>
            <w:right w:val="none" w:sz="0" w:space="0" w:color="auto"/>
          </w:divBdr>
        </w:div>
        <w:div w:id="787773683">
          <w:marLeft w:val="0"/>
          <w:marRight w:val="0"/>
          <w:marTop w:val="0"/>
          <w:marBottom w:val="0"/>
          <w:divBdr>
            <w:top w:val="none" w:sz="0" w:space="0" w:color="auto"/>
            <w:left w:val="none" w:sz="0" w:space="0" w:color="auto"/>
            <w:bottom w:val="none" w:sz="0" w:space="0" w:color="auto"/>
            <w:right w:val="none" w:sz="0" w:space="0" w:color="auto"/>
          </w:divBdr>
        </w:div>
        <w:div w:id="802188212">
          <w:marLeft w:val="0"/>
          <w:marRight w:val="0"/>
          <w:marTop w:val="0"/>
          <w:marBottom w:val="0"/>
          <w:divBdr>
            <w:top w:val="none" w:sz="0" w:space="0" w:color="auto"/>
            <w:left w:val="none" w:sz="0" w:space="0" w:color="auto"/>
            <w:bottom w:val="none" w:sz="0" w:space="0" w:color="auto"/>
            <w:right w:val="none" w:sz="0" w:space="0" w:color="auto"/>
          </w:divBdr>
        </w:div>
        <w:div w:id="804930584">
          <w:marLeft w:val="0"/>
          <w:marRight w:val="0"/>
          <w:marTop w:val="0"/>
          <w:marBottom w:val="0"/>
          <w:divBdr>
            <w:top w:val="none" w:sz="0" w:space="0" w:color="auto"/>
            <w:left w:val="none" w:sz="0" w:space="0" w:color="auto"/>
            <w:bottom w:val="none" w:sz="0" w:space="0" w:color="auto"/>
            <w:right w:val="none" w:sz="0" w:space="0" w:color="auto"/>
          </w:divBdr>
        </w:div>
        <w:div w:id="808862954">
          <w:marLeft w:val="0"/>
          <w:marRight w:val="0"/>
          <w:marTop w:val="0"/>
          <w:marBottom w:val="0"/>
          <w:divBdr>
            <w:top w:val="none" w:sz="0" w:space="0" w:color="auto"/>
            <w:left w:val="none" w:sz="0" w:space="0" w:color="auto"/>
            <w:bottom w:val="none" w:sz="0" w:space="0" w:color="auto"/>
            <w:right w:val="none" w:sz="0" w:space="0" w:color="auto"/>
          </w:divBdr>
        </w:div>
        <w:div w:id="816846882">
          <w:marLeft w:val="0"/>
          <w:marRight w:val="0"/>
          <w:marTop w:val="0"/>
          <w:marBottom w:val="0"/>
          <w:divBdr>
            <w:top w:val="none" w:sz="0" w:space="0" w:color="auto"/>
            <w:left w:val="none" w:sz="0" w:space="0" w:color="auto"/>
            <w:bottom w:val="none" w:sz="0" w:space="0" w:color="auto"/>
            <w:right w:val="none" w:sz="0" w:space="0" w:color="auto"/>
          </w:divBdr>
        </w:div>
        <w:div w:id="831406210">
          <w:marLeft w:val="0"/>
          <w:marRight w:val="0"/>
          <w:marTop w:val="0"/>
          <w:marBottom w:val="0"/>
          <w:divBdr>
            <w:top w:val="none" w:sz="0" w:space="0" w:color="auto"/>
            <w:left w:val="none" w:sz="0" w:space="0" w:color="auto"/>
            <w:bottom w:val="none" w:sz="0" w:space="0" w:color="auto"/>
            <w:right w:val="none" w:sz="0" w:space="0" w:color="auto"/>
          </w:divBdr>
        </w:div>
        <w:div w:id="848102836">
          <w:marLeft w:val="0"/>
          <w:marRight w:val="0"/>
          <w:marTop w:val="0"/>
          <w:marBottom w:val="0"/>
          <w:divBdr>
            <w:top w:val="none" w:sz="0" w:space="0" w:color="auto"/>
            <w:left w:val="none" w:sz="0" w:space="0" w:color="auto"/>
            <w:bottom w:val="none" w:sz="0" w:space="0" w:color="auto"/>
            <w:right w:val="none" w:sz="0" w:space="0" w:color="auto"/>
          </w:divBdr>
        </w:div>
        <w:div w:id="860624626">
          <w:marLeft w:val="0"/>
          <w:marRight w:val="0"/>
          <w:marTop w:val="0"/>
          <w:marBottom w:val="0"/>
          <w:divBdr>
            <w:top w:val="none" w:sz="0" w:space="0" w:color="auto"/>
            <w:left w:val="none" w:sz="0" w:space="0" w:color="auto"/>
            <w:bottom w:val="none" w:sz="0" w:space="0" w:color="auto"/>
            <w:right w:val="none" w:sz="0" w:space="0" w:color="auto"/>
          </w:divBdr>
        </w:div>
        <w:div w:id="877858009">
          <w:marLeft w:val="0"/>
          <w:marRight w:val="0"/>
          <w:marTop w:val="0"/>
          <w:marBottom w:val="0"/>
          <w:divBdr>
            <w:top w:val="none" w:sz="0" w:space="0" w:color="auto"/>
            <w:left w:val="none" w:sz="0" w:space="0" w:color="auto"/>
            <w:bottom w:val="none" w:sz="0" w:space="0" w:color="auto"/>
            <w:right w:val="none" w:sz="0" w:space="0" w:color="auto"/>
          </w:divBdr>
        </w:div>
        <w:div w:id="908807062">
          <w:marLeft w:val="0"/>
          <w:marRight w:val="0"/>
          <w:marTop w:val="0"/>
          <w:marBottom w:val="0"/>
          <w:divBdr>
            <w:top w:val="none" w:sz="0" w:space="0" w:color="auto"/>
            <w:left w:val="none" w:sz="0" w:space="0" w:color="auto"/>
            <w:bottom w:val="none" w:sz="0" w:space="0" w:color="auto"/>
            <w:right w:val="none" w:sz="0" w:space="0" w:color="auto"/>
          </w:divBdr>
        </w:div>
        <w:div w:id="923416009">
          <w:marLeft w:val="0"/>
          <w:marRight w:val="0"/>
          <w:marTop w:val="0"/>
          <w:marBottom w:val="0"/>
          <w:divBdr>
            <w:top w:val="none" w:sz="0" w:space="0" w:color="auto"/>
            <w:left w:val="none" w:sz="0" w:space="0" w:color="auto"/>
            <w:bottom w:val="none" w:sz="0" w:space="0" w:color="auto"/>
            <w:right w:val="none" w:sz="0" w:space="0" w:color="auto"/>
          </w:divBdr>
        </w:div>
        <w:div w:id="928126237">
          <w:marLeft w:val="0"/>
          <w:marRight w:val="0"/>
          <w:marTop w:val="0"/>
          <w:marBottom w:val="0"/>
          <w:divBdr>
            <w:top w:val="none" w:sz="0" w:space="0" w:color="auto"/>
            <w:left w:val="none" w:sz="0" w:space="0" w:color="auto"/>
            <w:bottom w:val="none" w:sz="0" w:space="0" w:color="auto"/>
            <w:right w:val="none" w:sz="0" w:space="0" w:color="auto"/>
          </w:divBdr>
        </w:div>
        <w:div w:id="930159504">
          <w:marLeft w:val="0"/>
          <w:marRight w:val="0"/>
          <w:marTop w:val="0"/>
          <w:marBottom w:val="0"/>
          <w:divBdr>
            <w:top w:val="none" w:sz="0" w:space="0" w:color="auto"/>
            <w:left w:val="none" w:sz="0" w:space="0" w:color="auto"/>
            <w:bottom w:val="none" w:sz="0" w:space="0" w:color="auto"/>
            <w:right w:val="none" w:sz="0" w:space="0" w:color="auto"/>
          </w:divBdr>
        </w:div>
        <w:div w:id="932665195">
          <w:marLeft w:val="0"/>
          <w:marRight w:val="0"/>
          <w:marTop w:val="0"/>
          <w:marBottom w:val="0"/>
          <w:divBdr>
            <w:top w:val="none" w:sz="0" w:space="0" w:color="auto"/>
            <w:left w:val="none" w:sz="0" w:space="0" w:color="auto"/>
            <w:bottom w:val="none" w:sz="0" w:space="0" w:color="auto"/>
            <w:right w:val="none" w:sz="0" w:space="0" w:color="auto"/>
          </w:divBdr>
        </w:div>
        <w:div w:id="942034773">
          <w:marLeft w:val="0"/>
          <w:marRight w:val="0"/>
          <w:marTop w:val="0"/>
          <w:marBottom w:val="0"/>
          <w:divBdr>
            <w:top w:val="none" w:sz="0" w:space="0" w:color="auto"/>
            <w:left w:val="none" w:sz="0" w:space="0" w:color="auto"/>
            <w:bottom w:val="none" w:sz="0" w:space="0" w:color="auto"/>
            <w:right w:val="none" w:sz="0" w:space="0" w:color="auto"/>
          </w:divBdr>
        </w:div>
        <w:div w:id="945503601">
          <w:marLeft w:val="0"/>
          <w:marRight w:val="0"/>
          <w:marTop w:val="0"/>
          <w:marBottom w:val="0"/>
          <w:divBdr>
            <w:top w:val="none" w:sz="0" w:space="0" w:color="auto"/>
            <w:left w:val="none" w:sz="0" w:space="0" w:color="auto"/>
            <w:bottom w:val="none" w:sz="0" w:space="0" w:color="auto"/>
            <w:right w:val="none" w:sz="0" w:space="0" w:color="auto"/>
          </w:divBdr>
        </w:div>
        <w:div w:id="950479254">
          <w:marLeft w:val="0"/>
          <w:marRight w:val="0"/>
          <w:marTop w:val="0"/>
          <w:marBottom w:val="0"/>
          <w:divBdr>
            <w:top w:val="none" w:sz="0" w:space="0" w:color="auto"/>
            <w:left w:val="none" w:sz="0" w:space="0" w:color="auto"/>
            <w:bottom w:val="none" w:sz="0" w:space="0" w:color="auto"/>
            <w:right w:val="none" w:sz="0" w:space="0" w:color="auto"/>
          </w:divBdr>
        </w:div>
        <w:div w:id="956453212">
          <w:marLeft w:val="0"/>
          <w:marRight w:val="0"/>
          <w:marTop w:val="0"/>
          <w:marBottom w:val="0"/>
          <w:divBdr>
            <w:top w:val="none" w:sz="0" w:space="0" w:color="auto"/>
            <w:left w:val="none" w:sz="0" w:space="0" w:color="auto"/>
            <w:bottom w:val="none" w:sz="0" w:space="0" w:color="auto"/>
            <w:right w:val="none" w:sz="0" w:space="0" w:color="auto"/>
          </w:divBdr>
        </w:div>
        <w:div w:id="957954634">
          <w:marLeft w:val="0"/>
          <w:marRight w:val="0"/>
          <w:marTop w:val="0"/>
          <w:marBottom w:val="0"/>
          <w:divBdr>
            <w:top w:val="none" w:sz="0" w:space="0" w:color="auto"/>
            <w:left w:val="none" w:sz="0" w:space="0" w:color="auto"/>
            <w:bottom w:val="none" w:sz="0" w:space="0" w:color="auto"/>
            <w:right w:val="none" w:sz="0" w:space="0" w:color="auto"/>
          </w:divBdr>
        </w:div>
        <w:div w:id="968629530">
          <w:marLeft w:val="0"/>
          <w:marRight w:val="0"/>
          <w:marTop w:val="0"/>
          <w:marBottom w:val="0"/>
          <w:divBdr>
            <w:top w:val="none" w:sz="0" w:space="0" w:color="auto"/>
            <w:left w:val="none" w:sz="0" w:space="0" w:color="auto"/>
            <w:bottom w:val="none" w:sz="0" w:space="0" w:color="auto"/>
            <w:right w:val="none" w:sz="0" w:space="0" w:color="auto"/>
          </w:divBdr>
        </w:div>
        <w:div w:id="973097990">
          <w:marLeft w:val="0"/>
          <w:marRight w:val="0"/>
          <w:marTop w:val="0"/>
          <w:marBottom w:val="0"/>
          <w:divBdr>
            <w:top w:val="none" w:sz="0" w:space="0" w:color="auto"/>
            <w:left w:val="none" w:sz="0" w:space="0" w:color="auto"/>
            <w:bottom w:val="none" w:sz="0" w:space="0" w:color="auto"/>
            <w:right w:val="none" w:sz="0" w:space="0" w:color="auto"/>
          </w:divBdr>
        </w:div>
        <w:div w:id="982737376">
          <w:marLeft w:val="0"/>
          <w:marRight w:val="0"/>
          <w:marTop w:val="0"/>
          <w:marBottom w:val="0"/>
          <w:divBdr>
            <w:top w:val="none" w:sz="0" w:space="0" w:color="auto"/>
            <w:left w:val="none" w:sz="0" w:space="0" w:color="auto"/>
            <w:bottom w:val="none" w:sz="0" w:space="0" w:color="auto"/>
            <w:right w:val="none" w:sz="0" w:space="0" w:color="auto"/>
          </w:divBdr>
        </w:div>
        <w:div w:id="991325040">
          <w:marLeft w:val="0"/>
          <w:marRight w:val="0"/>
          <w:marTop w:val="0"/>
          <w:marBottom w:val="0"/>
          <w:divBdr>
            <w:top w:val="none" w:sz="0" w:space="0" w:color="auto"/>
            <w:left w:val="none" w:sz="0" w:space="0" w:color="auto"/>
            <w:bottom w:val="none" w:sz="0" w:space="0" w:color="auto"/>
            <w:right w:val="none" w:sz="0" w:space="0" w:color="auto"/>
          </w:divBdr>
        </w:div>
        <w:div w:id="994996025">
          <w:marLeft w:val="0"/>
          <w:marRight w:val="0"/>
          <w:marTop w:val="0"/>
          <w:marBottom w:val="0"/>
          <w:divBdr>
            <w:top w:val="none" w:sz="0" w:space="0" w:color="auto"/>
            <w:left w:val="none" w:sz="0" w:space="0" w:color="auto"/>
            <w:bottom w:val="none" w:sz="0" w:space="0" w:color="auto"/>
            <w:right w:val="none" w:sz="0" w:space="0" w:color="auto"/>
          </w:divBdr>
        </w:div>
        <w:div w:id="1007975476">
          <w:marLeft w:val="0"/>
          <w:marRight w:val="0"/>
          <w:marTop w:val="0"/>
          <w:marBottom w:val="0"/>
          <w:divBdr>
            <w:top w:val="none" w:sz="0" w:space="0" w:color="auto"/>
            <w:left w:val="none" w:sz="0" w:space="0" w:color="auto"/>
            <w:bottom w:val="none" w:sz="0" w:space="0" w:color="auto"/>
            <w:right w:val="none" w:sz="0" w:space="0" w:color="auto"/>
          </w:divBdr>
        </w:div>
        <w:div w:id="1008603039">
          <w:marLeft w:val="0"/>
          <w:marRight w:val="0"/>
          <w:marTop w:val="0"/>
          <w:marBottom w:val="0"/>
          <w:divBdr>
            <w:top w:val="none" w:sz="0" w:space="0" w:color="auto"/>
            <w:left w:val="none" w:sz="0" w:space="0" w:color="auto"/>
            <w:bottom w:val="none" w:sz="0" w:space="0" w:color="auto"/>
            <w:right w:val="none" w:sz="0" w:space="0" w:color="auto"/>
          </w:divBdr>
        </w:div>
        <w:div w:id="1026635615">
          <w:marLeft w:val="0"/>
          <w:marRight w:val="0"/>
          <w:marTop w:val="0"/>
          <w:marBottom w:val="0"/>
          <w:divBdr>
            <w:top w:val="none" w:sz="0" w:space="0" w:color="auto"/>
            <w:left w:val="none" w:sz="0" w:space="0" w:color="auto"/>
            <w:bottom w:val="none" w:sz="0" w:space="0" w:color="auto"/>
            <w:right w:val="none" w:sz="0" w:space="0" w:color="auto"/>
          </w:divBdr>
        </w:div>
        <w:div w:id="1031227290">
          <w:marLeft w:val="0"/>
          <w:marRight w:val="0"/>
          <w:marTop w:val="0"/>
          <w:marBottom w:val="0"/>
          <w:divBdr>
            <w:top w:val="none" w:sz="0" w:space="0" w:color="auto"/>
            <w:left w:val="none" w:sz="0" w:space="0" w:color="auto"/>
            <w:bottom w:val="none" w:sz="0" w:space="0" w:color="auto"/>
            <w:right w:val="none" w:sz="0" w:space="0" w:color="auto"/>
          </w:divBdr>
        </w:div>
        <w:div w:id="1053038156">
          <w:marLeft w:val="0"/>
          <w:marRight w:val="0"/>
          <w:marTop w:val="0"/>
          <w:marBottom w:val="0"/>
          <w:divBdr>
            <w:top w:val="none" w:sz="0" w:space="0" w:color="auto"/>
            <w:left w:val="none" w:sz="0" w:space="0" w:color="auto"/>
            <w:bottom w:val="none" w:sz="0" w:space="0" w:color="auto"/>
            <w:right w:val="none" w:sz="0" w:space="0" w:color="auto"/>
          </w:divBdr>
        </w:div>
        <w:div w:id="1053889150">
          <w:marLeft w:val="0"/>
          <w:marRight w:val="0"/>
          <w:marTop w:val="0"/>
          <w:marBottom w:val="0"/>
          <w:divBdr>
            <w:top w:val="none" w:sz="0" w:space="0" w:color="auto"/>
            <w:left w:val="none" w:sz="0" w:space="0" w:color="auto"/>
            <w:bottom w:val="none" w:sz="0" w:space="0" w:color="auto"/>
            <w:right w:val="none" w:sz="0" w:space="0" w:color="auto"/>
          </w:divBdr>
        </w:div>
        <w:div w:id="1068725445">
          <w:marLeft w:val="0"/>
          <w:marRight w:val="0"/>
          <w:marTop w:val="0"/>
          <w:marBottom w:val="0"/>
          <w:divBdr>
            <w:top w:val="none" w:sz="0" w:space="0" w:color="auto"/>
            <w:left w:val="none" w:sz="0" w:space="0" w:color="auto"/>
            <w:bottom w:val="none" w:sz="0" w:space="0" w:color="auto"/>
            <w:right w:val="none" w:sz="0" w:space="0" w:color="auto"/>
          </w:divBdr>
        </w:div>
        <w:div w:id="1099059372">
          <w:marLeft w:val="0"/>
          <w:marRight w:val="0"/>
          <w:marTop w:val="0"/>
          <w:marBottom w:val="0"/>
          <w:divBdr>
            <w:top w:val="none" w:sz="0" w:space="0" w:color="auto"/>
            <w:left w:val="none" w:sz="0" w:space="0" w:color="auto"/>
            <w:bottom w:val="none" w:sz="0" w:space="0" w:color="auto"/>
            <w:right w:val="none" w:sz="0" w:space="0" w:color="auto"/>
          </w:divBdr>
        </w:div>
        <w:div w:id="1100415120">
          <w:marLeft w:val="0"/>
          <w:marRight w:val="0"/>
          <w:marTop w:val="0"/>
          <w:marBottom w:val="0"/>
          <w:divBdr>
            <w:top w:val="none" w:sz="0" w:space="0" w:color="auto"/>
            <w:left w:val="none" w:sz="0" w:space="0" w:color="auto"/>
            <w:bottom w:val="none" w:sz="0" w:space="0" w:color="auto"/>
            <w:right w:val="none" w:sz="0" w:space="0" w:color="auto"/>
          </w:divBdr>
        </w:div>
        <w:div w:id="1102146993">
          <w:marLeft w:val="0"/>
          <w:marRight w:val="0"/>
          <w:marTop w:val="0"/>
          <w:marBottom w:val="0"/>
          <w:divBdr>
            <w:top w:val="none" w:sz="0" w:space="0" w:color="auto"/>
            <w:left w:val="none" w:sz="0" w:space="0" w:color="auto"/>
            <w:bottom w:val="none" w:sz="0" w:space="0" w:color="auto"/>
            <w:right w:val="none" w:sz="0" w:space="0" w:color="auto"/>
          </w:divBdr>
        </w:div>
        <w:div w:id="1114134733">
          <w:marLeft w:val="0"/>
          <w:marRight w:val="0"/>
          <w:marTop w:val="0"/>
          <w:marBottom w:val="0"/>
          <w:divBdr>
            <w:top w:val="none" w:sz="0" w:space="0" w:color="auto"/>
            <w:left w:val="none" w:sz="0" w:space="0" w:color="auto"/>
            <w:bottom w:val="none" w:sz="0" w:space="0" w:color="auto"/>
            <w:right w:val="none" w:sz="0" w:space="0" w:color="auto"/>
          </w:divBdr>
        </w:div>
        <w:div w:id="1119646391">
          <w:marLeft w:val="0"/>
          <w:marRight w:val="0"/>
          <w:marTop w:val="0"/>
          <w:marBottom w:val="0"/>
          <w:divBdr>
            <w:top w:val="none" w:sz="0" w:space="0" w:color="auto"/>
            <w:left w:val="none" w:sz="0" w:space="0" w:color="auto"/>
            <w:bottom w:val="none" w:sz="0" w:space="0" w:color="auto"/>
            <w:right w:val="none" w:sz="0" w:space="0" w:color="auto"/>
          </w:divBdr>
        </w:div>
        <w:div w:id="1130633937">
          <w:marLeft w:val="0"/>
          <w:marRight w:val="0"/>
          <w:marTop w:val="0"/>
          <w:marBottom w:val="0"/>
          <w:divBdr>
            <w:top w:val="none" w:sz="0" w:space="0" w:color="auto"/>
            <w:left w:val="none" w:sz="0" w:space="0" w:color="auto"/>
            <w:bottom w:val="none" w:sz="0" w:space="0" w:color="auto"/>
            <w:right w:val="none" w:sz="0" w:space="0" w:color="auto"/>
          </w:divBdr>
        </w:div>
        <w:div w:id="1132944294">
          <w:marLeft w:val="0"/>
          <w:marRight w:val="0"/>
          <w:marTop w:val="0"/>
          <w:marBottom w:val="0"/>
          <w:divBdr>
            <w:top w:val="none" w:sz="0" w:space="0" w:color="auto"/>
            <w:left w:val="none" w:sz="0" w:space="0" w:color="auto"/>
            <w:bottom w:val="none" w:sz="0" w:space="0" w:color="auto"/>
            <w:right w:val="none" w:sz="0" w:space="0" w:color="auto"/>
          </w:divBdr>
        </w:div>
        <w:div w:id="1139221662">
          <w:marLeft w:val="0"/>
          <w:marRight w:val="0"/>
          <w:marTop w:val="0"/>
          <w:marBottom w:val="0"/>
          <w:divBdr>
            <w:top w:val="none" w:sz="0" w:space="0" w:color="auto"/>
            <w:left w:val="none" w:sz="0" w:space="0" w:color="auto"/>
            <w:bottom w:val="none" w:sz="0" w:space="0" w:color="auto"/>
            <w:right w:val="none" w:sz="0" w:space="0" w:color="auto"/>
          </w:divBdr>
        </w:div>
        <w:div w:id="1145968237">
          <w:marLeft w:val="0"/>
          <w:marRight w:val="0"/>
          <w:marTop w:val="0"/>
          <w:marBottom w:val="0"/>
          <w:divBdr>
            <w:top w:val="none" w:sz="0" w:space="0" w:color="auto"/>
            <w:left w:val="none" w:sz="0" w:space="0" w:color="auto"/>
            <w:bottom w:val="none" w:sz="0" w:space="0" w:color="auto"/>
            <w:right w:val="none" w:sz="0" w:space="0" w:color="auto"/>
          </w:divBdr>
        </w:div>
        <w:div w:id="1148747045">
          <w:marLeft w:val="0"/>
          <w:marRight w:val="0"/>
          <w:marTop w:val="0"/>
          <w:marBottom w:val="0"/>
          <w:divBdr>
            <w:top w:val="none" w:sz="0" w:space="0" w:color="auto"/>
            <w:left w:val="none" w:sz="0" w:space="0" w:color="auto"/>
            <w:bottom w:val="none" w:sz="0" w:space="0" w:color="auto"/>
            <w:right w:val="none" w:sz="0" w:space="0" w:color="auto"/>
          </w:divBdr>
        </w:div>
        <w:div w:id="1165167995">
          <w:marLeft w:val="0"/>
          <w:marRight w:val="0"/>
          <w:marTop w:val="0"/>
          <w:marBottom w:val="0"/>
          <w:divBdr>
            <w:top w:val="none" w:sz="0" w:space="0" w:color="auto"/>
            <w:left w:val="none" w:sz="0" w:space="0" w:color="auto"/>
            <w:bottom w:val="none" w:sz="0" w:space="0" w:color="auto"/>
            <w:right w:val="none" w:sz="0" w:space="0" w:color="auto"/>
          </w:divBdr>
        </w:div>
        <w:div w:id="1165823870">
          <w:marLeft w:val="0"/>
          <w:marRight w:val="0"/>
          <w:marTop w:val="0"/>
          <w:marBottom w:val="0"/>
          <w:divBdr>
            <w:top w:val="none" w:sz="0" w:space="0" w:color="auto"/>
            <w:left w:val="none" w:sz="0" w:space="0" w:color="auto"/>
            <w:bottom w:val="none" w:sz="0" w:space="0" w:color="auto"/>
            <w:right w:val="none" w:sz="0" w:space="0" w:color="auto"/>
          </w:divBdr>
        </w:div>
        <w:div w:id="1172599880">
          <w:marLeft w:val="0"/>
          <w:marRight w:val="0"/>
          <w:marTop w:val="0"/>
          <w:marBottom w:val="0"/>
          <w:divBdr>
            <w:top w:val="none" w:sz="0" w:space="0" w:color="auto"/>
            <w:left w:val="none" w:sz="0" w:space="0" w:color="auto"/>
            <w:bottom w:val="none" w:sz="0" w:space="0" w:color="auto"/>
            <w:right w:val="none" w:sz="0" w:space="0" w:color="auto"/>
          </w:divBdr>
        </w:div>
        <w:div w:id="1178927716">
          <w:marLeft w:val="0"/>
          <w:marRight w:val="0"/>
          <w:marTop w:val="0"/>
          <w:marBottom w:val="0"/>
          <w:divBdr>
            <w:top w:val="none" w:sz="0" w:space="0" w:color="auto"/>
            <w:left w:val="none" w:sz="0" w:space="0" w:color="auto"/>
            <w:bottom w:val="none" w:sz="0" w:space="0" w:color="auto"/>
            <w:right w:val="none" w:sz="0" w:space="0" w:color="auto"/>
          </w:divBdr>
        </w:div>
        <w:div w:id="1202282064">
          <w:marLeft w:val="0"/>
          <w:marRight w:val="0"/>
          <w:marTop w:val="0"/>
          <w:marBottom w:val="0"/>
          <w:divBdr>
            <w:top w:val="none" w:sz="0" w:space="0" w:color="auto"/>
            <w:left w:val="none" w:sz="0" w:space="0" w:color="auto"/>
            <w:bottom w:val="none" w:sz="0" w:space="0" w:color="auto"/>
            <w:right w:val="none" w:sz="0" w:space="0" w:color="auto"/>
          </w:divBdr>
        </w:div>
        <w:div w:id="1217474078">
          <w:marLeft w:val="0"/>
          <w:marRight w:val="0"/>
          <w:marTop w:val="0"/>
          <w:marBottom w:val="0"/>
          <w:divBdr>
            <w:top w:val="none" w:sz="0" w:space="0" w:color="auto"/>
            <w:left w:val="none" w:sz="0" w:space="0" w:color="auto"/>
            <w:bottom w:val="none" w:sz="0" w:space="0" w:color="auto"/>
            <w:right w:val="none" w:sz="0" w:space="0" w:color="auto"/>
          </w:divBdr>
        </w:div>
        <w:div w:id="1229806838">
          <w:marLeft w:val="0"/>
          <w:marRight w:val="0"/>
          <w:marTop w:val="0"/>
          <w:marBottom w:val="0"/>
          <w:divBdr>
            <w:top w:val="none" w:sz="0" w:space="0" w:color="auto"/>
            <w:left w:val="none" w:sz="0" w:space="0" w:color="auto"/>
            <w:bottom w:val="none" w:sz="0" w:space="0" w:color="auto"/>
            <w:right w:val="none" w:sz="0" w:space="0" w:color="auto"/>
          </w:divBdr>
        </w:div>
        <w:div w:id="1234897445">
          <w:marLeft w:val="0"/>
          <w:marRight w:val="0"/>
          <w:marTop w:val="0"/>
          <w:marBottom w:val="0"/>
          <w:divBdr>
            <w:top w:val="none" w:sz="0" w:space="0" w:color="auto"/>
            <w:left w:val="none" w:sz="0" w:space="0" w:color="auto"/>
            <w:bottom w:val="none" w:sz="0" w:space="0" w:color="auto"/>
            <w:right w:val="none" w:sz="0" w:space="0" w:color="auto"/>
          </w:divBdr>
        </w:div>
        <w:div w:id="1234969267">
          <w:marLeft w:val="0"/>
          <w:marRight w:val="0"/>
          <w:marTop w:val="0"/>
          <w:marBottom w:val="0"/>
          <w:divBdr>
            <w:top w:val="none" w:sz="0" w:space="0" w:color="auto"/>
            <w:left w:val="none" w:sz="0" w:space="0" w:color="auto"/>
            <w:bottom w:val="none" w:sz="0" w:space="0" w:color="auto"/>
            <w:right w:val="none" w:sz="0" w:space="0" w:color="auto"/>
          </w:divBdr>
        </w:div>
        <w:div w:id="1242179148">
          <w:marLeft w:val="0"/>
          <w:marRight w:val="0"/>
          <w:marTop w:val="0"/>
          <w:marBottom w:val="0"/>
          <w:divBdr>
            <w:top w:val="none" w:sz="0" w:space="0" w:color="auto"/>
            <w:left w:val="none" w:sz="0" w:space="0" w:color="auto"/>
            <w:bottom w:val="none" w:sz="0" w:space="0" w:color="auto"/>
            <w:right w:val="none" w:sz="0" w:space="0" w:color="auto"/>
          </w:divBdr>
        </w:div>
        <w:div w:id="1254777862">
          <w:marLeft w:val="0"/>
          <w:marRight w:val="0"/>
          <w:marTop w:val="0"/>
          <w:marBottom w:val="0"/>
          <w:divBdr>
            <w:top w:val="none" w:sz="0" w:space="0" w:color="auto"/>
            <w:left w:val="none" w:sz="0" w:space="0" w:color="auto"/>
            <w:bottom w:val="none" w:sz="0" w:space="0" w:color="auto"/>
            <w:right w:val="none" w:sz="0" w:space="0" w:color="auto"/>
          </w:divBdr>
        </w:div>
        <w:div w:id="1258558588">
          <w:marLeft w:val="0"/>
          <w:marRight w:val="0"/>
          <w:marTop w:val="0"/>
          <w:marBottom w:val="0"/>
          <w:divBdr>
            <w:top w:val="none" w:sz="0" w:space="0" w:color="auto"/>
            <w:left w:val="none" w:sz="0" w:space="0" w:color="auto"/>
            <w:bottom w:val="none" w:sz="0" w:space="0" w:color="auto"/>
            <w:right w:val="none" w:sz="0" w:space="0" w:color="auto"/>
          </w:divBdr>
        </w:div>
        <w:div w:id="1262952512">
          <w:marLeft w:val="0"/>
          <w:marRight w:val="0"/>
          <w:marTop w:val="0"/>
          <w:marBottom w:val="0"/>
          <w:divBdr>
            <w:top w:val="none" w:sz="0" w:space="0" w:color="auto"/>
            <w:left w:val="none" w:sz="0" w:space="0" w:color="auto"/>
            <w:bottom w:val="none" w:sz="0" w:space="0" w:color="auto"/>
            <w:right w:val="none" w:sz="0" w:space="0" w:color="auto"/>
          </w:divBdr>
        </w:div>
        <w:div w:id="1267929166">
          <w:marLeft w:val="0"/>
          <w:marRight w:val="0"/>
          <w:marTop w:val="0"/>
          <w:marBottom w:val="0"/>
          <w:divBdr>
            <w:top w:val="none" w:sz="0" w:space="0" w:color="auto"/>
            <w:left w:val="none" w:sz="0" w:space="0" w:color="auto"/>
            <w:bottom w:val="none" w:sz="0" w:space="0" w:color="auto"/>
            <w:right w:val="none" w:sz="0" w:space="0" w:color="auto"/>
          </w:divBdr>
        </w:div>
        <w:div w:id="1267957246">
          <w:marLeft w:val="0"/>
          <w:marRight w:val="0"/>
          <w:marTop w:val="0"/>
          <w:marBottom w:val="0"/>
          <w:divBdr>
            <w:top w:val="none" w:sz="0" w:space="0" w:color="auto"/>
            <w:left w:val="none" w:sz="0" w:space="0" w:color="auto"/>
            <w:bottom w:val="none" w:sz="0" w:space="0" w:color="auto"/>
            <w:right w:val="none" w:sz="0" w:space="0" w:color="auto"/>
          </w:divBdr>
        </w:div>
        <w:div w:id="1270315087">
          <w:marLeft w:val="0"/>
          <w:marRight w:val="0"/>
          <w:marTop w:val="0"/>
          <w:marBottom w:val="0"/>
          <w:divBdr>
            <w:top w:val="none" w:sz="0" w:space="0" w:color="auto"/>
            <w:left w:val="none" w:sz="0" w:space="0" w:color="auto"/>
            <w:bottom w:val="none" w:sz="0" w:space="0" w:color="auto"/>
            <w:right w:val="none" w:sz="0" w:space="0" w:color="auto"/>
          </w:divBdr>
        </w:div>
        <w:div w:id="1273777873">
          <w:marLeft w:val="0"/>
          <w:marRight w:val="0"/>
          <w:marTop w:val="0"/>
          <w:marBottom w:val="0"/>
          <w:divBdr>
            <w:top w:val="none" w:sz="0" w:space="0" w:color="auto"/>
            <w:left w:val="none" w:sz="0" w:space="0" w:color="auto"/>
            <w:bottom w:val="none" w:sz="0" w:space="0" w:color="auto"/>
            <w:right w:val="none" w:sz="0" w:space="0" w:color="auto"/>
          </w:divBdr>
        </w:div>
        <w:div w:id="1274052303">
          <w:marLeft w:val="0"/>
          <w:marRight w:val="0"/>
          <w:marTop w:val="0"/>
          <w:marBottom w:val="0"/>
          <w:divBdr>
            <w:top w:val="none" w:sz="0" w:space="0" w:color="auto"/>
            <w:left w:val="none" w:sz="0" w:space="0" w:color="auto"/>
            <w:bottom w:val="none" w:sz="0" w:space="0" w:color="auto"/>
            <w:right w:val="none" w:sz="0" w:space="0" w:color="auto"/>
          </w:divBdr>
        </w:div>
        <w:div w:id="1274510411">
          <w:marLeft w:val="0"/>
          <w:marRight w:val="0"/>
          <w:marTop w:val="0"/>
          <w:marBottom w:val="0"/>
          <w:divBdr>
            <w:top w:val="none" w:sz="0" w:space="0" w:color="auto"/>
            <w:left w:val="none" w:sz="0" w:space="0" w:color="auto"/>
            <w:bottom w:val="none" w:sz="0" w:space="0" w:color="auto"/>
            <w:right w:val="none" w:sz="0" w:space="0" w:color="auto"/>
          </w:divBdr>
        </w:div>
        <w:div w:id="1276673193">
          <w:marLeft w:val="0"/>
          <w:marRight w:val="0"/>
          <w:marTop w:val="0"/>
          <w:marBottom w:val="0"/>
          <w:divBdr>
            <w:top w:val="none" w:sz="0" w:space="0" w:color="auto"/>
            <w:left w:val="none" w:sz="0" w:space="0" w:color="auto"/>
            <w:bottom w:val="none" w:sz="0" w:space="0" w:color="auto"/>
            <w:right w:val="none" w:sz="0" w:space="0" w:color="auto"/>
          </w:divBdr>
        </w:div>
        <w:div w:id="1281108193">
          <w:marLeft w:val="0"/>
          <w:marRight w:val="0"/>
          <w:marTop w:val="0"/>
          <w:marBottom w:val="0"/>
          <w:divBdr>
            <w:top w:val="none" w:sz="0" w:space="0" w:color="auto"/>
            <w:left w:val="none" w:sz="0" w:space="0" w:color="auto"/>
            <w:bottom w:val="none" w:sz="0" w:space="0" w:color="auto"/>
            <w:right w:val="none" w:sz="0" w:space="0" w:color="auto"/>
          </w:divBdr>
        </w:div>
        <w:div w:id="1281180859">
          <w:marLeft w:val="0"/>
          <w:marRight w:val="0"/>
          <w:marTop w:val="0"/>
          <w:marBottom w:val="0"/>
          <w:divBdr>
            <w:top w:val="none" w:sz="0" w:space="0" w:color="auto"/>
            <w:left w:val="none" w:sz="0" w:space="0" w:color="auto"/>
            <w:bottom w:val="none" w:sz="0" w:space="0" w:color="auto"/>
            <w:right w:val="none" w:sz="0" w:space="0" w:color="auto"/>
          </w:divBdr>
        </w:div>
        <w:div w:id="1309626759">
          <w:marLeft w:val="0"/>
          <w:marRight w:val="0"/>
          <w:marTop w:val="0"/>
          <w:marBottom w:val="0"/>
          <w:divBdr>
            <w:top w:val="none" w:sz="0" w:space="0" w:color="auto"/>
            <w:left w:val="none" w:sz="0" w:space="0" w:color="auto"/>
            <w:bottom w:val="none" w:sz="0" w:space="0" w:color="auto"/>
            <w:right w:val="none" w:sz="0" w:space="0" w:color="auto"/>
          </w:divBdr>
        </w:div>
        <w:div w:id="1315525936">
          <w:marLeft w:val="0"/>
          <w:marRight w:val="0"/>
          <w:marTop w:val="0"/>
          <w:marBottom w:val="0"/>
          <w:divBdr>
            <w:top w:val="none" w:sz="0" w:space="0" w:color="auto"/>
            <w:left w:val="none" w:sz="0" w:space="0" w:color="auto"/>
            <w:bottom w:val="none" w:sz="0" w:space="0" w:color="auto"/>
            <w:right w:val="none" w:sz="0" w:space="0" w:color="auto"/>
          </w:divBdr>
        </w:div>
        <w:div w:id="1318461720">
          <w:marLeft w:val="0"/>
          <w:marRight w:val="0"/>
          <w:marTop w:val="0"/>
          <w:marBottom w:val="0"/>
          <w:divBdr>
            <w:top w:val="none" w:sz="0" w:space="0" w:color="auto"/>
            <w:left w:val="none" w:sz="0" w:space="0" w:color="auto"/>
            <w:bottom w:val="none" w:sz="0" w:space="0" w:color="auto"/>
            <w:right w:val="none" w:sz="0" w:space="0" w:color="auto"/>
          </w:divBdr>
        </w:div>
        <w:div w:id="1321038033">
          <w:marLeft w:val="0"/>
          <w:marRight w:val="0"/>
          <w:marTop w:val="0"/>
          <w:marBottom w:val="0"/>
          <w:divBdr>
            <w:top w:val="none" w:sz="0" w:space="0" w:color="auto"/>
            <w:left w:val="none" w:sz="0" w:space="0" w:color="auto"/>
            <w:bottom w:val="none" w:sz="0" w:space="0" w:color="auto"/>
            <w:right w:val="none" w:sz="0" w:space="0" w:color="auto"/>
          </w:divBdr>
        </w:div>
        <w:div w:id="1330600859">
          <w:marLeft w:val="0"/>
          <w:marRight w:val="0"/>
          <w:marTop w:val="0"/>
          <w:marBottom w:val="0"/>
          <w:divBdr>
            <w:top w:val="none" w:sz="0" w:space="0" w:color="auto"/>
            <w:left w:val="none" w:sz="0" w:space="0" w:color="auto"/>
            <w:bottom w:val="none" w:sz="0" w:space="0" w:color="auto"/>
            <w:right w:val="none" w:sz="0" w:space="0" w:color="auto"/>
          </w:divBdr>
        </w:div>
        <w:div w:id="1343585442">
          <w:marLeft w:val="0"/>
          <w:marRight w:val="0"/>
          <w:marTop w:val="0"/>
          <w:marBottom w:val="0"/>
          <w:divBdr>
            <w:top w:val="none" w:sz="0" w:space="0" w:color="auto"/>
            <w:left w:val="none" w:sz="0" w:space="0" w:color="auto"/>
            <w:bottom w:val="none" w:sz="0" w:space="0" w:color="auto"/>
            <w:right w:val="none" w:sz="0" w:space="0" w:color="auto"/>
          </w:divBdr>
        </w:div>
        <w:div w:id="1362168453">
          <w:marLeft w:val="0"/>
          <w:marRight w:val="0"/>
          <w:marTop w:val="0"/>
          <w:marBottom w:val="0"/>
          <w:divBdr>
            <w:top w:val="none" w:sz="0" w:space="0" w:color="auto"/>
            <w:left w:val="none" w:sz="0" w:space="0" w:color="auto"/>
            <w:bottom w:val="none" w:sz="0" w:space="0" w:color="auto"/>
            <w:right w:val="none" w:sz="0" w:space="0" w:color="auto"/>
          </w:divBdr>
        </w:div>
        <w:div w:id="1368068668">
          <w:marLeft w:val="0"/>
          <w:marRight w:val="0"/>
          <w:marTop w:val="0"/>
          <w:marBottom w:val="0"/>
          <w:divBdr>
            <w:top w:val="none" w:sz="0" w:space="0" w:color="auto"/>
            <w:left w:val="none" w:sz="0" w:space="0" w:color="auto"/>
            <w:bottom w:val="none" w:sz="0" w:space="0" w:color="auto"/>
            <w:right w:val="none" w:sz="0" w:space="0" w:color="auto"/>
          </w:divBdr>
        </w:div>
        <w:div w:id="1376928830">
          <w:marLeft w:val="0"/>
          <w:marRight w:val="0"/>
          <w:marTop w:val="0"/>
          <w:marBottom w:val="0"/>
          <w:divBdr>
            <w:top w:val="none" w:sz="0" w:space="0" w:color="auto"/>
            <w:left w:val="none" w:sz="0" w:space="0" w:color="auto"/>
            <w:bottom w:val="none" w:sz="0" w:space="0" w:color="auto"/>
            <w:right w:val="none" w:sz="0" w:space="0" w:color="auto"/>
          </w:divBdr>
        </w:div>
        <w:div w:id="1383406094">
          <w:marLeft w:val="0"/>
          <w:marRight w:val="0"/>
          <w:marTop w:val="0"/>
          <w:marBottom w:val="0"/>
          <w:divBdr>
            <w:top w:val="none" w:sz="0" w:space="0" w:color="auto"/>
            <w:left w:val="none" w:sz="0" w:space="0" w:color="auto"/>
            <w:bottom w:val="none" w:sz="0" w:space="0" w:color="auto"/>
            <w:right w:val="none" w:sz="0" w:space="0" w:color="auto"/>
          </w:divBdr>
        </w:div>
        <w:div w:id="1390114008">
          <w:marLeft w:val="0"/>
          <w:marRight w:val="0"/>
          <w:marTop w:val="0"/>
          <w:marBottom w:val="0"/>
          <w:divBdr>
            <w:top w:val="none" w:sz="0" w:space="0" w:color="auto"/>
            <w:left w:val="none" w:sz="0" w:space="0" w:color="auto"/>
            <w:bottom w:val="none" w:sz="0" w:space="0" w:color="auto"/>
            <w:right w:val="none" w:sz="0" w:space="0" w:color="auto"/>
          </w:divBdr>
        </w:div>
        <w:div w:id="1391802691">
          <w:marLeft w:val="0"/>
          <w:marRight w:val="0"/>
          <w:marTop w:val="0"/>
          <w:marBottom w:val="0"/>
          <w:divBdr>
            <w:top w:val="none" w:sz="0" w:space="0" w:color="auto"/>
            <w:left w:val="none" w:sz="0" w:space="0" w:color="auto"/>
            <w:bottom w:val="none" w:sz="0" w:space="0" w:color="auto"/>
            <w:right w:val="none" w:sz="0" w:space="0" w:color="auto"/>
          </w:divBdr>
        </w:div>
        <w:div w:id="1404454027">
          <w:marLeft w:val="0"/>
          <w:marRight w:val="0"/>
          <w:marTop w:val="0"/>
          <w:marBottom w:val="0"/>
          <w:divBdr>
            <w:top w:val="none" w:sz="0" w:space="0" w:color="auto"/>
            <w:left w:val="none" w:sz="0" w:space="0" w:color="auto"/>
            <w:bottom w:val="none" w:sz="0" w:space="0" w:color="auto"/>
            <w:right w:val="none" w:sz="0" w:space="0" w:color="auto"/>
          </w:divBdr>
        </w:div>
        <w:div w:id="1411274414">
          <w:marLeft w:val="0"/>
          <w:marRight w:val="0"/>
          <w:marTop w:val="0"/>
          <w:marBottom w:val="0"/>
          <w:divBdr>
            <w:top w:val="none" w:sz="0" w:space="0" w:color="auto"/>
            <w:left w:val="none" w:sz="0" w:space="0" w:color="auto"/>
            <w:bottom w:val="none" w:sz="0" w:space="0" w:color="auto"/>
            <w:right w:val="none" w:sz="0" w:space="0" w:color="auto"/>
          </w:divBdr>
        </w:div>
        <w:div w:id="1413703651">
          <w:marLeft w:val="0"/>
          <w:marRight w:val="0"/>
          <w:marTop w:val="0"/>
          <w:marBottom w:val="0"/>
          <w:divBdr>
            <w:top w:val="none" w:sz="0" w:space="0" w:color="auto"/>
            <w:left w:val="none" w:sz="0" w:space="0" w:color="auto"/>
            <w:bottom w:val="none" w:sz="0" w:space="0" w:color="auto"/>
            <w:right w:val="none" w:sz="0" w:space="0" w:color="auto"/>
          </w:divBdr>
        </w:div>
        <w:div w:id="1415007552">
          <w:marLeft w:val="0"/>
          <w:marRight w:val="0"/>
          <w:marTop w:val="0"/>
          <w:marBottom w:val="0"/>
          <w:divBdr>
            <w:top w:val="none" w:sz="0" w:space="0" w:color="auto"/>
            <w:left w:val="none" w:sz="0" w:space="0" w:color="auto"/>
            <w:bottom w:val="none" w:sz="0" w:space="0" w:color="auto"/>
            <w:right w:val="none" w:sz="0" w:space="0" w:color="auto"/>
          </w:divBdr>
        </w:div>
        <w:div w:id="1425883544">
          <w:marLeft w:val="0"/>
          <w:marRight w:val="0"/>
          <w:marTop w:val="0"/>
          <w:marBottom w:val="0"/>
          <w:divBdr>
            <w:top w:val="none" w:sz="0" w:space="0" w:color="auto"/>
            <w:left w:val="none" w:sz="0" w:space="0" w:color="auto"/>
            <w:bottom w:val="none" w:sz="0" w:space="0" w:color="auto"/>
            <w:right w:val="none" w:sz="0" w:space="0" w:color="auto"/>
          </w:divBdr>
        </w:div>
        <w:div w:id="1427269159">
          <w:marLeft w:val="0"/>
          <w:marRight w:val="0"/>
          <w:marTop w:val="0"/>
          <w:marBottom w:val="0"/>
          <w:divBdr>
            <w:top w:val="none" w:sz="0" w:space="0" w:color="auto"/>
            <w:left w:val="none" w:sz="0" w:space="0" w:color="auto"/>
            <w:bottom w:val="none" w:sz="0" w:space="0" w:color="auto"/>
            <w:right w:val="none" w:sz="0" w:space="0" w:color="auto"/>
          </w:divBdr>
        </w:div>
        <w:div w:id="1429228354">
          <w:marLeft w:val="0"/>
          <w:marRight w:val="0"/>
          <w:marTop w:val="0"/>
          <w:marBottom w:val="0"/>
          <w:divBdr>
            <w:top w:val="none" w:sz="0" w:space="0" w:color="auto"/>
            <w:left w:val="none" w:sz="0" w:space="0" w:color="auto"/>
            <w:bottom w:val="none" w:sz="0" w:space="0" w:color="auto"/>
            <w:right w:val="none" w:sz="0" w:space="0" w:color="auto"/>
          </w:divBdr>
        </w:div>
        <w:div w:id="1429421478">
          <w:marLeft w:val="0"/>
          <w:marRight w:val="0"/>
          <w:marTop w:val="0"/>
          <w:marBottom w:val="0"/>
          <w:divBdr>
            <w:top w:val="none" w:sz="0" w:space="0" w:color="auto"/>
            <w:left w:val="none" w:sz="0" w:space="0" w:color="auto"/>
            <w:bottom w:val="none" w:sz="0" w:space="0" w:color="auto"/>
            <w:right w:val="none" w:sz="0" w:space="0" w:color="auto"/>
          </w:divBdr>
        </w:div>
        <w:div w:id="1436825015">
          <w:marLeft w:val="0"/>
          <w:marRight w:val="0"/>
          <w:marTop w:val="0"/>
          <w:marBottom w:val="0"/>
          <w:divBdr>
            <w:top w:val="none" w:sz="0" w:space="0" w:color="auto"/>
            <w:left w:val="none" w:sz="0" w:space="0" w:color="auto"/>
            <w:bottom w:val="none" w:sz="0" w:space="0" w:color="auto"/>
            <w:right w:val="none" w:sz="0" w:space="0" w:color="auto"/>
          </w:divBdr>
        </w:div>
        <w:div w:id="1444112960">
          <w:marLeft w:val="0"/>
          <w:marRight w:val="0"/>
          <w:marTop w:val="0"/>
          <w:marBottom w:val="0"/>
          <w:divBdr>
            <w:top w:val="none" w:sz="0" w:space="0" w:color="auto"/>
            <w:left w:val="none" w:sz="0" w:space="0" w:color="auto"/>
            <w:bottom w:val="none" w:sz="0" w:space="0" w:color="auto"/>
            <w:right w:val="none" w:sz="0" w:space="0" w:color="auto"/>
          </w:divBdr>
        </w:div>
        <w:div w:id="1455323047">
          <w:marLeft w:val="0"/>
          <w:marRight w:val="0"/>
          <w:marTop w:val="0"/>
          <w:marBottom w:val="0"/>
          <w:divBdr>
            <w:top w:val="none" w:sz="0" w:space="0" w:color="auto"/>
            <w:left w:val="none" w:sz="0" w:space="0" w:color="auto"/>
            <w:bottom w:val="none" w:sz="0" w:space="0" w:color="auto"/>
            <w:right w:val="none" w:sz="0" w:space="0" w:color="auto"/>
          </w:divBdr>
        </w:div>
        <w:div w:id="1455834323">
          <w:marLeft w:val="0"/>
          <w:marRight w:val="0"/>
          <w:marTop w:val="0"/>
          <w:marBottom w:val="0"/>
          <w:divBdr>
            <w:top w:val="none" w:sz="0" w:space="0" w:color="auto"/>
            <w:left w:val="none" w:sz="0" w:space="0" w:color="auto"/>
            <w:bottom w:val="none" w:sz="0" w:space="0" w:color="auto"/>
            <w:right w:val="none" w:sz="0" w:space="0" w:color="auto"/>
          </w:divBdr>
        </w:div>
        <w:div w:id="1461269228">
          <w:marLeft w:val="0"/>
          <w:marRight w:val="0"/>
          <w:marTop w:val="0"/>
          <w:marBottom w:val="0"/>
          <w:divBdr>
            <w:top w:val="none" w:sz="0" w:space="0" w:color="auto"/>
            <w:left w:val="none" w:sz="0" w:space="0" w:color="auto"/>
            <w:bottom w:val="none" w:sz="0" w:space="0" w:color="auto"/>
            <w:right w:val="none" w:sz="0" w:space="0" w:color="auto"/>
          </w:divBdr>
        </w:div>
        <w:div w:id="1470129389">
          <w:marLeft w:val="0"/>
          <w:marRight w:val="0"/>
          <w:marTop w:val="0"/>
          <w:marBottom w:val="0"/>
          <w:divBdr>
            <w:top w:val="none" w:sz="0" w:space="0" w:color="auto"/>
            <w:left w:val="none" w:sz="0" w:space="0" w:color="auto"/>
            <w:bottom w:val="none" w:sz="0" w:space="0" w:color="auto"/>
            <w:right w:val="none" w:sz="0" w:space="0" w:color="auto"/>
          </w:divBdr>
        </w:div>
        <w:div w:id="1472484727">
          <w:marLeft w:val="0"/>
          <w:marRight w:val="0"/>
          <w:marTop w:val="0"/>
          <w:marBottom w:val="0"/>
          <w:divBdr>
            <w:top w:val="none" w:sz="0" w:space="0" w:color="auto"/>
            <w:left w:val="none" w:sz="0" w:space="0" w:color="auto"/>
            <w:bottom w:val="none" w:sz="0" w:space="0" w:color="auto"/>
            <w:right w:val="none" w:sz="0" w:space="0" w:color="auto"/>
          </w:divBdr>
        </w:div>
        <w:div w:id="1477601507">
          <w:marLeft w:val="0"/>
          <w:marRight w:val="0"/>
          <w:marTop w:val="0"/>
          <w:marBottom w:val="0"/>
          <w:divBdr>
            <w:top w:val="none" w:sz="0" w:space="0" w:color="auto"/>
            <w:left w:val="none" w:sz="0" w:space="0" w:color="auto"/>
            <w:bottom w:val="none" w:sz="0" w:space="0" w:color="auto"/>
            <w:right w:val="none" w:sz="0" w:space="0" w:color="auto"/>
          </w:divBdr>
        </w:div>
        <w:div w:id="1477651468">
          <w:marLeft w:val="0"/>
          <w:marRight w:val="0"/>
          <w:marTop w:val="0"/>
          <w:marBottom w:val="0"/>
          <w:divBdr>
            <w:top w:val="none" w:sz="0" w:space="0" w:color="auto"/>
            <w:left w:val="none" w:sz="0" w:space="0" w:color="auto"/>
            <w:bottom w:val="none" w:sz="0" w:space="0" w:color="auto"/>
            <w:right w:val="none" w:sz="0" w:space="0" w:color="auto"/>
          </w:divBdr>
        </w:div>
        <w:div w:id="1481000672">
          <w:marLeft w:val="0"/>
          <w:marRight w:val="0"/>
          <w:marTop w:val="0"/>
          <w:marBottom w:val="0"/>
          <w:divBdr>
            <w:top w:val="none" w:sz="0" w:space="0" w:color="auto"/>
            <w:left w:val="none" w:sz="0" w:space="0" w:color="auto"/>
            <w:bottom w:val="none" w:sz="0" w:space="0" w:color="auto"/>
            <w:right w:val="none" w:sz="0" w:space="0" w:color="auto"/>
          </w:divBdr>
        </w:div>
        <w:div w:id="1486513989">
          <w:marLeft w:val="0"/>
          <w:marRight w:val="0"/>
          <w:marTop w:val="0"/>
          <w:marBottom w:val="0"/>
          <w:divBdr>
            <w:top w:val="none" w:sz="0" w:space="0" w:color="auto"/>
            <w:left w:val="none" w:sz="0" w:space="0" w:color="auto"/>
            <w:bottom w:val="none" w:sz="0" w:space="0" w:color="auto"/>
            <w:right w:val="none" w:sz="0" w:space="0" w:color="auto"/>
          </w:divBdr>
        </w:div>
        <w:div w:id="1487089087">
          <w:marLeft w:val="0"/>
          <w:marRight w:val="0"/>
          <w:marTop w:val="0"/>
          <w:marBottom w:val="0"/>
          <w:divBdr>
            <w:top w:val="none" w:sz="0" w:space="0" w:color="auto"/>
            <w:left w:val="none" w:sz="0" w:space="0" w:color="auto"/>
            <w:bottom w:val="none" w:sz="0" w:space="0" w:color="auto"/>
            <w:right w:val="none" w:sz="0" w:space="0" w:color="auto"/>
          </w:divBdr>
        </w:div>
        <w:div w:id="1487476336">
          <w:marLeft w:val="0"/>
          <w:marRight w:val="0"/>
          <w:marTop w:val="0"/>
          <w:marBottom w:val="0"/>
          <w:divBdr>
            <w:top w:val="none" w:sz="0" w:space="0" w:color="auto"/>
            <w:left w:val="none" w:sz="0" w:space="0" w:color="auto"/>
            <w:bottom w:val="none" w:sz="0" w:space="0" w:color="auto"/>
            <w:right w:val="none" w:sz="0" w:space="0" w:color="auto"/>
          </w:divBdr>
        </w:div>
        <w:div w:id="1492021411">
          <w:marLeft w:val="0"/>
          <w:marRight w:val="0"/>
          <w:marTop w:val="0"/>
          <w:marBottom w:val="0"/>
          <w:divBdr>
            <w:top w:val="none" w:sz="0" w:space="0" w:color="auto"/>
            <w:left w:val="none" w:sz="0" w:space="0" w:color="auto"/>
            <w:bottom w:val="none" w:sz="0" w:space="0" w:color="auto"/>
            <w:right w:val="none" w:sz="0" w:space="0" w:color="auto"/>
          </w:divBdr>
        </w:div>
        <w:div w:id="1493834559">
          <w:marLeft w:val="0"/>
          <w:marRight w:val="0"/>
          <w:marTop w:val="0"/>
          <w:marBottom w:val="0"/>
          <w:divBdr>
            <w:top w:val="none" w:sz="0" w:space="0" w:color="auto"/>
            <w:left w:val="none" w:sz="0" w:space="0" w:color="auto"/>
            <w:bottom w:val="none" w:sz="0" w:space="0" w:color="auto"/>
            <w:right w:val="none" w:sz="0" w:space="0" w:color="auto"/>
          </w:divBdr>
        </w:div>
        <w:div w:id="1495996544">
          <w:marLeft w:val="0"/>
          <w:marRight w:val="0"/>
          <w:marTop w:val="0"/>
          <w:marBottom w:val="0"/>
          <w:divBdr>
            <w:top w:val="none" w:sz="0" w:space="0" w:color="auto"/>
            <w:left w:val="none" w:sz="0" w:space="0" w:color="auto"/>
            <w:bottom w:val="none" w:sz="0" w:space="0" w:color="auto"/>
            <w:right w:val="none" w:sz="0" w:space="0" w:color="auto"/>
          </w:divBdr>
        </w:div>
        <w:div w:id="1506894631">
          <w:marLeft w:val="0"/>
          <w:marRight w:val="0"/>
          <w:marTop w:val="0"/>
          <w:marBottom w:val="0"/>
          <w:divBdr>
            <w:top w:val="none" w:sz="0" w:space="0" w:color="auto"/>
            <w:left w:val="none" w:sz="0" w:space="0" w:color="auto"/>
            <w:bottom w:val="none" w:sz="0" w:space="0" w:color="auto"/>
            <w:right w:val="none" w:sz="0" w:space="0" w:color="auto"/>
          </w:divBdr>
        </w:div>
        <w:div w:id="1528103830">
          <w:marLeft w:val="0"/>
          <w:marRight w:val="0"/>
          <w:marTop w:val="0"/>
          <w:marBottom w:val="0"/>
          <w:divBdr>
            <w:top w:val="none" w:sz="0" w:space="0" w:color="auto"/>
            <w:left w:val="none" w:sz="0" w:space="0" w:color="auto"/>
            <w:bottom w:val="none" w:sz="0" w:space="0" w:color="auto"/>
            <w:right w:val="none" w:sz="0" w:space="0" w:color="auto"/>
          </w:divBdr>
        </w:div>
        <w:div w:id="1528716169">
          <w:marLeft w:val="0"/>
          <w:marRight w:val="0"/>
          <w:marTop w:val="0"/>
          <w:marBottom w:val="0"/>
          <w:divBdr>
            <w:top w:val="none" w:sz="0" w:space="0" w:color="auto"/>
            <w:left w:val="none" w:sz="0" w:space="0" w:color="auto"/>
            <w:bottom w:val="none" w:sz="0" w:space="0" w:color="auto"/>
            <w:right w:val="none" w:sz="0" w:space="0" w:color="auto"/>
          </w:divBdr>
        </w:div>
        <w:div w:id="1534882833">
          <w:marLeft w:val="0"/>
          <w:marRight w:val="0"/>
          <w:marTop w:val="0"/>
          <w:marBottom w:val="0"/>
          <w:divBdr>
            <w:top w:val="none" w:sz="0" w:space="0" w:color="auto"/>
            <w:left w:val="none" w:sz="0" w:space="0" w:color="auto"/>
            <w:bottom w:val="none" w:sz="0" w:space="0" w:color="auto"/>
            <w:right w:val="none" w:sz="0" w:space="0" w:color="auto"/>
          </w:divBdr>
        </w:div>
        <w:div w:id="1535846509">
          <w:marLeft w:val="0"/>
          <w:marRight w:val="0"/>
          <w:marTop w:val="0"/>
          <w:marBottom w:val="0"/>
          <w:divBdr>
            <w:top w:val="none" w:sz="0" w:space="0" w:color="auto"/>
            <w:left w:val="none" w:sz="0" w:space="0" w:color="auto"/>
            <w:bottom w:val="none" w:sz="0" w:space="0" w:color="auto"/>
            <w:right w:val="none" w:sz="0" w:space="0" w:color="auto"/>
          </w:divBdr>
        </w:div>
        <w:div w:id="1546091609">
          <w:marLeft w:val="0"/>
          <w:marRight w:val="0"/>
          <w:marTop w:val="0"/>
          <w:marBottom w:val="0"/>
          <w:divBdr>
            <w:top w:val="none" w:sz="0" w:space="0" w:color="auto"/>
            <w:left w:val="none" w:sz="0" w:space="0" w:color="auto"/>
            <w:bottom w:val="none" w:sz="0" w:space="0" w:color="auto"/>
            <w:right w:val="none" w:sz="0" w:space="0" w:color="auto"/>
          </w:divBdr>
        </w:div>
        <w:div w:id="1554852037">
          <w:marLeft w:val="0"/>
          <w:marRight w:val="0"/>
          <w:marTop w:val="0"/>
          <w:marBottom w:val="0"/>
          <w:divBdr>
            <w:top w:val="none" w:sz="0" w:space="0" w:color="auto"/>
            <w:left w:val="none" w:sz="0" w:space="0" w:color="auto"/>
            <w:bottom w:val="none" w:sz="0" w:space="0" w:color="auto"/>
            <w:right w:val="none" w:sz="0" w:space="0" w:color="auto"/>
          </w:divBdr>
        </w:div>
        <w:div w:id="1582248993">
          <w:marLeft w:val="0"/>
          <w:marRight w:val="0"/>
          <w:marTop w:val="0"/>
          <w:marBottom w:val="0"/>
          <w:divBdr>
            <w:top w:val="none" w:sz="0" w:space="0" w:color="auto"/>
            <w:left w:val="none" w:sz="0" w:space="0" w:color="auto"/>
            <w:bottom w:val="none" w:sz="0" w:space="0" w:color="auto"/>
            <w:right w:val="none" w:sz="0" w:space="0" w:color="auto"/>
          </w:divBdr>
        </w:div>
        <w:div w:id="1594319734">
          <w:marLeft w:val="0"/>
          <w:marRight w:val="0"/>
          <w:marTop w:val="0"/>
          <w:marBottom w:val="0"/>
          <w:divBdr>
            <w:top w:val="none" w:sz="0" w:space="0" w:color="auto"/>
            <w:left w:val="none" w:sz="0" w:space="0" w:color="auto"/>
            <w:bottom w:val="none" w:sz="0" w:space="0" w:color="auto"/>
            <w:right w:val="none" w:sz="0" w:space="0" w:color="auto"/>
          </w:divBdr>
        </w:div>
        <w:div w:id="1608778079">
          <w:marLeft w:val="0"/>
          <w:marRight w:val="0"/>
          <w:marTop w:val="0"/>
          <w:marBottom w:val="0"/>
          <w:divBdr>
            <w:top w:val="none" w:sz="0" w:space="0" w:color="auto"/>
            <w:left w:val="none" w:sz="0" w:space="0" w:color="auto"/>
            <w:bottom w:val="none" w:sz="0" w:space="0" w:color="auto"/>
            <w:right w:val="none" w:sz="0" w:space="0" w:color="auto"/>
          </w:divBdr>
        </w:div>
        <w:div w:id="1610895322">
          <w:marLeft w:val="0"/>
          <w:marRight w:val="0"/>
          <w:marTop w:val="0"/>
          <w:marBottom w:val="0"/>
          <w:divBdr>
            <w:top w:val="none" w:sz="0" w:space="0" w:color="auto"/>
            <w:left w:val="none" w:sz="0" w:space="0" w:color="auto"/>
            <w:bottom w:val="none" w:sz="0" w:space="0" w:color="auto"/>
            <w:right w:val="none" w:sz="0" w:space="0" w:color="auto"/>
          </w:divBdr>
        </w:div>
        <w:div w:id="1618028977">
          <w:marLeft w:val="0"/>
          <w:marRight w:val="0"/>
          <w:marTop w:val="0"/>
          <w:marBottom w:val="0"/>
          <w:divBdr>
            <w:top w:val="none" w:sz="0" w:space="0" w:color="auto"/>
            <w:left w:val="none" w:sz="0" w:space="0" w:color="auto"/>
            <w:bottom w:val="none" w:sz="0" w:space="0" w:color="auto"/>
            <w:right w:val="none" w:sz="0" w:space="0" w:color="auto"/>
          </w:divBdr>
        </w:div>
        <w:div w:id="1618295111">
          <w:marLeft w:val="0"/>
          <w:marRight w:val="0"/>
          <w:marTop w:val="0"/>
          <w:marBottom w:val="0"/>
          <w:divBdr>
            <w:top w:val="none" w:sz="0" w:space="0" w:color="auto"/>
            <w:left w:val="none" w:sz="0" w:space="0" w:color="auto"/>
            <w:bottom w:val="none" w:sz="0" w:space="0" w:color="auto"/>
            <w:right w:val="none" w:sz="0" w:space="0" w:color="auto"/>
          </w:divBdr>
        </w:div>
        <w:div w:id="1620988413">
          <w:marLeft w:val="0"/>
          <w:marRight w:val="0"/>
          <w:marTop w:val="0"/>
          <w:marBottom w:val="0"/>
          <w:divBdr>
            <w:top w:val="none" w:sz="0" w:space="0" w:color="auto"/>
            <w:left w:val="none" w:sz="0" w:space="0" w:color="auto"/>
            <w:bottom w:val="none" w:sz="0" w:space="0" w:color="auto"/>
            <w:right w:val="none" w:sz="0" w:space="0" w:color="auto"/>
          </w:divBdr>
        </w:div>
        <w:div w:id="1631210399">
          <w:marLeft w:val="0"/>
          <w:marRight w:val="0"/>
          <w:marTop w:val="0"/>
          <w:marBottom w:val="0"/>
          <w:divBdr>
            <w:top w:val="none" w:sz="0" w:space="0" w:color="auto"/>
            <w:left w:val="none" w:sz="0" w:space="0" w:color="auto"/>
            <w:bottom w:val="none" w:sz="0" w:space="0" w:color="auto"/>
            <w:right w:val="none" w:sz="0" w:space="0" w:color="auto"/>
          </w:divBdr>
        </w:div>
        <w:div w:id="1636642358">
          <w:marLeft w:val="0"/>
          <w:marRight w:val="0"/>
          <w:marTop w:val="0"/>
          <w:marBottom w:val="0"/>
          <w:divBdr>
            <w:top w:val="none" w:sz="0" w:space="0" w:color="auto"/>
            <w:left w:val="none" w:sz="0" w:space="0" w:color="auto"/>
            <w:bottom w:val="none" w:sz="0" w:space="0" w:color="auto"/>
            <w:right w:val="none" w:sz="0" w:space="0" w:color="auto"/>
          </w:divBdr>
        </w:div>
        <w:div w:id="1638561295">
          <w:marLeft w:val="0"/>
          <w:marRight w:val="0"/>
          <w:marTop w:val="0"/>
          <w:marBottom w:val="0"/>
          <w:divBdr>
            <w:top w:val="none" w:sz="0" w:space="0" w:color="auto"/>
            <w:left w:val="none" w:sz="0" w:space="0" w:color="auto"/>
            <w:bottom w:val="none" w:sz="0" w:space="0" w:color="auto"/>
            <w:right w:val="none" w:sz="0" w:space="0" w:color="auto"/>
          </w:divBdr>
        </w:div>
        <w:div w:id="1644891730">
          <w:marLeft w:val="0"/>
          <w:marRight w:val="0"/>
          <w:marTop w:val="0"/>
          <w:marBottom w:val="0"/>
          <w:divBdr>
            <w:top w:val="none" w:sz="0" w:space="0" w:color="auto"/>
            <w:left w:val="none" w:sz="0" w:space="0" w:color="auto"/>
            <w:bottom w:val="none" w:sz="0" w:space="0" w:color="auto"/>
            <w:right w:val="none" w:sz="0" w:space="0" w:color="auto"/>
          </w:divBdr>
        </w:div>
        <w:div w:id="1656255393">
          <w:marLeft w:val="0"/>
          <w:marRight w:val="0"/>
          <w:marTop w:val="0"/>
          <w:marBottom w:val="0"/>
          <w:divBdr>
            <w:top w:val="none" w:sz="0" w:space="0" w:color="auto"/>
            <w:left w:val="none" w:sz="0" w:space="0" w:color="auto"/>
            <w:bottom w:val="none" w:sz="0" w:space="0" w:color="auto"/>
            <w:right w:val="none" w:sz="0" w:space="0" w:color="auto"/>
          </w:divBdr>
        </w:div>
        <w:div w:id="1659577876">
          <w:marLeft w:val="0"/>
          <w:marRight w:val="0"/>
          <w:marTop w:val="0"/>
          <w:marBottom w:val="0"/>
          <w:divBdr>
            <w:top w:val="none" w:sz="0" w:space="0" w:color="auto"/>
            <w:left w:val="none" w:sz="0" w:space="0" w:color="auto"/>
            <w:bottom w:val="none" w:sz="0" w:space="0" w:color="auto"/>
            <w:right w:val="none" w:sz="0" w:space="0" w:color="auto"/>
          </w:divBdr>
        </w:div>
        <w:div w:id="1666321552">
          <w:marLeft w:val="0"/>
          <w:marRight w:val="0"/>
          <w:marTop w:val="0"/>
          <w:marBottom w:val="0"/>
          <w:divBdr>
            <w:top w:val="none" w:sz="0" w:space="0" w:color="auto"/>
            <w:left w:val="none" w:sz="0" w:space="0" w:color="auto"/>
            <w:bottom w:val="none" w:sz="0" w:space="0" w:color="auto"/>
            <w:right w:val="none" w:sz="0" w:space="0" w:color="auto"/>
          </w:divBdr>
        </w:div>
        <w:div w:id="1683119194">
          <w:marLeft w:val="0"/>
          <w:marRight w:val="0"/>
          <w:marTop w:val="0"/>
          <w:marBottom w:val="0"/>
          <w:divBdr>
            <w:top w:val="none" w:sz="0" w:space="0" w:color="auto"/>
            <w:left w:val="none" w:sz="0" w:space="0" w:color="auto"/>
            <w:bottom w:val="none" w:sz="0" w:space="0" w:color="auto"/>
            <w:right w:val="none" w:sz="0" w:space="0" w:color="auto"/>
          </w:divBdr>
        </w:div>
        <w:div w:id="1688867068">
          <w:marLeft w:val="0"/>
          <w:marRight w:val="0"/>
          <w:marTop w:val="0"/>
          <w:marBottom w:val="0"/>
          <w:divBdr>
            <w:top w:val="none" w:sz="0" w:space="0" w:color="auto"/>
            <w:left w:val="none" w:sz="0" w:space="0" w:color="auto"/>
            <w:bottom w:val="none" w:sz="0" w:space="0" w:color="auto"/>
            <w:right w:val="none" w:sz="0" w:space="0" w:color="auto"/>
          </w:divBdr>
        </w:div>
        <w:div w:id="1694963362">
          <w:marLeft w:val="0"/>
          <w:marRight w:val="0"/>
          <w:marTop w:val="0"/>
          <w:marBottom w:val="0"/>
          <w:divBdr>
            <w:top w:val="none" w:sz="0" w:space="0" w:color="auto"/>
            <w:left w:val="none" w:sz="0" w:space="0" w:color="auto"/>
            <w:bottom w:val="none" w:sz="0" w:space="0" w:color="auto"/>
            <w:right w:val="none" w:sz="0" w:space="0" w:color="auto"/>
          </w:divBdr>
        </w:div>
        <w:div w:id="1703827533">
          <w:marLeft w:val="0"/>
          <w:marRight w:val="0"/>
          <w:marTop w:val="0"/>
          <w:marBottom w:val="0"/>
          <w:divBdr>
            <w:top w:val="none" w:sz="0" w:space="0" w:color="auto"/>
            <w:left w:val="none" w:sz="0" w:space="0" w:color="auto"/>
            <w:bottom w:val="none" w:sz="0" w:space="0" w:color="auto"/>
            <w:right w:val="none" w:sz="0" w:space="0" w:color="auto"/>
          </w:divBdr>
        </w:div>
        <w:div w:id="1705060131">
          <w:marLeft w:val="0"/>
          <w:marRight w:val="0"/>
          <w:marTop w:val="0"/>
          <w:marBottom w:val="0"/>
          <w:divBdr>
            <w:top w:val="none" w:sz="0" w:space="0" w:color="auto"/>
            <w:left w:val="none" w:sz="0" w:space="0" w:color="auto"/>
            <w:bottom w:val="none" w:sz="0" w:space="0" w:color="auto"/>
            <w:right w:val="none" w:sz="0" w:space="0" w:color="auto"/>
          </w:divBdr>
        </w:div>
        <w:div w:id="1710299622">
          <w:marLeft w:val="0"/>
          <w:marRight w:val="0"/>
          <w:marTop w:val="0"/>
          <w:marBottom w:val="0"/>
          <w:divBdr>
            <w:top w:val="none" w:sz="0" w:space="0" w:color="auto"/>
            <w:left w:val="none" w:sz="0" w:space="0" w:color="auto"/>
            <w:bottom w:val="none" w:sz="0" w:space="0" w:color="auto"/>
            <w:right w:val="none" w:sz="0" w:space="0" w:color="auto"/>
          </w:divBdr>
        </w:div>
        <w:div w:id="1713768358">
          <w:marLeft w:val="0"/>
          <w:marRight w:val="0"/>
          <w:marTop w:val="0"/>
          <w:marBottom w:val="0"/>
          <w:divBdr>
            <w:top w:val="none" w:sz="0" w:space="0" w:color="auto"/>
            <w:left w:val="none" w:sz="0" w:space="0" w:color="auto"/>
            <w:bottom w:val="none" w:sz="0" w:space="0" w:color="auto"/>
            <w:right w:val="none" w:sz="0" w:space="0" w:color="auto"/>
          </w:divBdr>
        </w:div>
        <w:div w:id="1730421324">
          <w:marLeft w:val="0"/>
          <w:marRight w:val="0"/>
          <w:marTop w:val="0"/>
          <w:marBottom w:val="0"/>
          <w:divBdr>
            <w:top w:val="none" w:sz="0" w:space="0" w:color="auto"/>
            <w:left w:val="none" w:sz="0" w:space="0" w:color="auto"/>
            <w:bottom w:val="none" w:sz="0" w:space="0" w:color="auto"/>
            <w:right w:val="none" w:sz="0" w:space="0" w:color="auto"/>
          </w:divBdr>
        </w:div>
        <w:div w:id="1735544330">
          <w:marLeft w:val="0"/>
          <w:marRight w:val="0"/>
          <w:marTop w:val="0"/>
          <w:marBottom w:val="0"/>
          <w:divBdr>
            <w:top w:val="none" w:sz="0" w:space="0" w:color="auto"/>
            <w:left w:val="none" w:sz="0" w:space="0" w:color="auto"/>
            <w:bottom w:val="none" w:sz="0" w:space="0" w:color="auto"/>
            <w:right w:val="none" w:sz="0" w:space="0" w:color="auto"/>
          </w:divBdr>
        </w:div>
        <w:div w:id="1748385053">
          <w:marLeft w:val="0"/>
          <w:marRight w:val="0"/>
          <w:marTop w:val="0"/>
          <w:marBottom w:val="0"/>
          <w:divBdr>
            <w:top w:val="none" w:sz="0" w:space="0" w:color="auto"/>
            <w:left w:val="none" w:sz="0" w:space="0" w:color="auto"/>
            <w:bottom w:val="none" w:sz="0" w:space="0" w:color="auto"/>
            <w:right w:val="none" w:sz="0" w:space="0" w:color="auto"/>
          </w:divBdr>
        </w:div>
        <w:div w:id="1769815827">
          <w:marLeft w:val="0"/>
          <w:marRight w:val="0"/>
          <w:marTop w:val="0"/>
          <w:marBottom w:val="0"/>
          <w:divBdr>
            <w:top w:val="none" w:sz="0" w:space="0" w:color="auto"/>
            <w:left w:val="none" w:sz="0" w:space="0" w:color="auto"/>
            <w:bottom w:val="none" w:sz="0" w:space="0" w:color="auto"/>
            <w:right w:val="none" w:sz="0" w:space="0" w:color="auto"/>
          </w:divBdr>
        </w:div>
        <w:div w:id="1772047509">
          <w:marLeft w:val="0"/>
          <w:marRight w:val="0"/>
          <w:marTop w:val="0"/>
          <w:marBottom w:val="0"/>
          <w:divBdr>
            <w:top w:val="none" w:sz="0" w:space="0" w:color="auto"/>
            <w:left w:val="none" w:sz="0" w:space="0" w:color="auto"/>
            <w:bottom w:val="none" w:sz="0" w:space="0" w:color="auto"/>
            <w:right w:val="none" w:sz="0" w:space="0" w:color="auto"/>
          </w:divBdr>
        </w:div>
        <w:div w:id="1792431291">
          <w:marLeft w:val="0"/>
          <w:marRight w:val="0"/>
          <w:marTop w:val="0"/>
          <w:marBottom w:val="0"/>
          <w:divBdr>
            <w:top w:val="none" w:sz="0" w:space="0" w:color="auto"/>
            <w:left w:val="none" w:sz="0" w:space="0" w:color="auto"/>
            <w:bottom w:val="none" w:sz="0" w:space="0" w:color="auto"/>
            <w:right w:val="none" w:sz="0" w:space="0" w:color="auto"/>
          </w:divBdr>
        </w:div>
        <w:div w:id="1812552474">
          <w:marLeft w:val="0"/>
          <w:marRight w:val="0"/>
          <w:marTop w:val="0"/>
          <w:marBottom w:val="0"/>
          <w:divBdr>
            <w:top w:val="none" w:sz="0" w:space="0" w:color="auto"/>
            <w:left w:val="none" w:sz="0" w:space="0" w:color="auto"/>
            <w:bottom w:val="none" w:sz="0" w:space="0" w:color="auto"/>
            <w:right w:val="none" w:sz="0" w:space="0" w:color="auto"/>
          </w:divBdr>
        </w:div>
        <w:div w:id="1815490684">
          <w:marLeft w:val="0"/>
          <w:marRight w:val="0"/>
          <w:marTop w:val="0"/>
          <w:marBottom w:val="0"/>
          <w:divBdr>
            <w:top w:val="none" w:sz="0" w:space="0" w:color="auto"/>
            <w:left w:val="none" w:sz="0" w:space="0" w:color="auto"/>
            <w:bottom w:val="none" w:sz="0" w:space="0" w:color="auto"/>
            <w:right w:val="none" w:sz="0" w:space="0" w:color="auto"/>
          </w:divBdr>
        </w:div>
        <w:div w:id="1824809414">
          <w:marLeft w:val="0"/>
          <w:marRight w:val="0"/>
          <w:marTop w:val="0"/>
          <w:marBottom w:val="0"/>
          <w:divBdr>
            <w:top w:val="none" w:sz="0" w:space="0" w:color="auto"/>
            <w:left w:val="none" w:sz="0" w:space="0" w:color="auto"/>
            <w:bottom w:val="none" w:sz="0" w:space="0" w:color="auto"/>
            <w:right w:val="none" w:sz="0" w:space="0" w:color="auto"/>
          </w:divBdr>
        </w:div>
        <w:div w:id="1846163471">
          <w:marLeft w:val="0"/>
          <w:marRight w:val="0"/>
          <w:marTop w:val="0"/>
          <w:marBottom w:val="0"/>
          <w:divBdr>
            <w:top w:val="none" w:sz="0" w:space="0" w:color="auto"/>
            <w:left w:val="none" w:sz="0" w:space="0" w:color="auto"/>
            <w:bottom w:val="none" w:sz="0" w:space="0" w:color="auto"/>
            <w:right w:val="none" w:sz="0" w:space="0" w:color="auto"/>
          </w:divBdr>
        </w:div>
        <w:div w:id="1857885527">
          <w:marLeft w:val="0"/>
          <w:marRight w:val="0"/>
          <w:marTop w:val="0"/>
          <w:marBottom w:val="0"/>
          <w:divBdr>
            <w:top w:val="none" w:sz="0" w:space="0" w:color="auto"/>
            <w:left w:val="none" w:sz="0" w:space="0" w:color="auto"/>
            <w:bottom w:val="none" w:sz="0" w:space="0" w:color="auto"/>
            <w:right w:val="none" w:sz="0" w:space="0" w:color="auto"/>
          </w:divBdr>
        </w:div>
        <w:div w:id="1873879623">
          <w:marLeft w:val="0"/>
          <w:marRight w:val="0"/>
          <w:marTop w:val="0"/>
          <w:marBottom w:val="0"/>
          <w:divBdr>
            <w:top w:val="none" w:sz="0" w:space="0" w:color="auto"/>
            <w:left w:val="none" w:sz="0" w:space="0" w:color="auto"/>
            <w:bottom w:val="none" w:sz="0" w:space="0" w:color="auto"/>
            <w:right w:val="none" w:sz="0" w:space="0" w:color="auto"/>
          </w:divBdr>
        </w:div>
        <w:div w:id="1876692469">
          <w:marLeft w:val="0"/>
          <w:marRight w:val="0"/>
          <w:marTop w:val="0"/>
          <w:marBottom w:val="0"/>
          <w:divBdr>
            <w:top w:val="none" w:sz="0" w:space="0" w:color="auto"/>
            <w:left w:val="none" w:sz="0" w:space="0" w:color="auto"/>
            <w:bottom w:val="none" w:sz="0" w:space="0" w:color="auto"/>
            <w:right w:val="none" w:sz="0" w:space="0" w:color="auto"/>
          </w:divBdr>
        </w:div>
        <w:div w:id="1888567272">
          <w:marLeft w:val="0"/>
          <w:marRight w:val="0"/>
          <w:marTop w:val="0"/>
          <w:marBottom w:val="0"/>
          <w:divBdr>
            <w:top w:val="none" w:sz="0" w:space="0" w:color="auto"/>
            <w:left w:val="none" w:sz="0" w:space="0" w:color="auto"/>
            <w:bottom w:val="none" w:sz="0" w:space="0" w:color="auto"/>
            <w:right w:val="none" w:sz="0" w:space="0" w:color="auto"/>
          </w:divBdr>
        </w:div>
        <w:div w:id="1903976512">
          <w:marLeft w:val="0"/>
          <w:marRight w:val="0"/>
          <w:marTop w:val="0"/>
          <w:marBottom w:val="0"/>
          <w:divBdr>
            <w:top w:val="none" w:sz="0" w:space="0" w:color="auto"/>
            <w:left w:val="none" w:sz="0" w:space="0" w:color="auto"/>
            <w:bottom w:val="none" w:sz="0" w:space="0" w:color="auto"/>
            <w:right w:val="none" w:sz="0" w:space="0" w:color="auto"/>
          </w:divBdr>
        </w:div>
        <w:div w:id="1926063144">
          <w:marLeft w:val="0"/>
          <w:marRight w:val="0"/>
          <w:marTop w:val="0"/>
          <w:marBottom w:val="0"/>
          <w:divBdr>
            <w:top w:val="none" w:sz="0" w:space="0" w:color="auto"/>
            <w:left w:val="none" w:sz="0" w:space="0" w:color="auto"/>
            <w:bottom w:val="none" w:sz="0" w:space="0" w:color="auto"/>
            <w:right w:val="none" w:sz="0" w:space="0" w:color="auto"/>
          </w:divBdr>
        </w:div>
        <w:div w:id="1928229766">
          <w:marLeft w:val="0"/>
          <w:marRight w:val="0"/>
          <w:marTop w:val="0"/>
          <w:marBottom w:val="0"/>
          <w:divBdr>
            <w:top w:val="none" w:sz="0" w:space="0" w:color="auto"/>
            <w:left w:val="none" w:sz="0" w:space="0" w:color="auto"/>
            <w:bottom w:val="none" w:sz="0" w:space="0" w:color="auto"/>
            <w:right w:val="none" w:sz="0" w:space="0" w:color="auto"/>
          </w:divBdr>
        </w:div>
        <w:div w:id="1936399882">
          <w:marLeft w:val="0"/>
          <w:marRight w:val="0"/>
          <w:marTop w:val="0"/>
          <w:marBottom w:val="0"/>
          <w:divBdr>
            <w:top w:val="none" w:sz="0" w:space="0" w:color="auto"/>
            <w:left w:val="none" w:sz="0" w:space="0" w:color="auto"/>
            <w:bottom w:val="none" w:sz="0" w:space="0" w:color="auto"/>
            <w:right w:val="none" w:sz="0" w:space="0" w:color="auto"/>
          </w:divBdr>
        </w:div>
        <w:div w:id="1940673996">
          <w:marLeft w:val="0"/>
          <w:marRight w:val="0"/>
          <w:marTop w:val="0"/>
          <w:marBottom w:val="0"/>
          <w:divBdr>
            <w:top w:val="none" w:sz="0" w:space="0" w:color="auto"/>
            <w:left w:val="none" w:sz="0" w:space="0" w:color="auto"/>
            <w:bottom w:val="none" w:sz="0" w:space="0" w:color="auto"/>
            <w:right w:val="none" w:sz="0" w:space="0" w:color="auto"/>
          </w:divBdr>
        </w:div>
        <w:div w:id="1947350409">
          <w:marLeft w:val="0"/>
          <w:marRight w:val="0"/>
          <w:marTop w:val="0"/>
          <w:marBottom w:val="0"/>
          <w:divBdr>
            <w:top w:val="none" w:sz="0" w:space="0" w:color="auto"/>
            <w:left w:val="none" w:sz="0" w:space="0" w:color="auto"/>
            <w:bottom w:val="none" w:sz="0" w:space="0" w:color="auto"/>
            <w:right w:val="none" w:sz="0" w:space="0" w:color="auto"/>
          </w:divBdr>
        </w:div>
        <w:div w:id="1951431634">
          <w:marLeft w:val="0"/>
          <w:marRight w:val="0"/>
          <w:marTop w:val="0"/>
          <w:marBottom w:val="0"/>
          <w:divBdr>
            <w:top w:val="none" w:sz="0" w:space="0" w:color="auto"/>
            <w:left w:val="none" w:sz="0" w:space="0" w:color="auto"/>
            <w:bottom w:val="none" w:sz="0" w:space="0" w:color="auto"/>
            <w:right w:val="none" w:sz="0" w:space="0" w:color="auto"/>
          </w:divBdr>
        </w:div>
        <w:div w:id="1954896989">
          <w:marLeft w:val="0"/>
          <w:marRight w:val="0"/>
          <w:marTop w:val="0"/>
          <w:marBottom w:val="0"/>
          <w:divBdr>
            <w:top w:val="none" w:sz="0" w:space="0" w:color="auto"/>
            <w:left w:val="none" w:sz="0" w:space="0" w:color="auto"/>
            <w:bottom w:val="none" w:sz="0" w:space="0" w:color="auto"/>
            <w:right w:val="none" w:sz="0" w:space="0" w:color="auto"/>
          </w:divBdr>
        </w:div>
        <w:div w:id="1963996498">
          <w:marLeft w:val="0"/>
          <w:marRight w:val="0"/>
          <w:marTop w:val="0"/>
          <w:marBottom w:val="0"/>
          <w:divBdr>
            <w:top w:val="none" w:sz="0" w:space="0" w:color="auto"/>
            <w:left w:val="none" w:sz="0" w:space="0" w:color="auto"/>
            <w:bottom w:val="none" w:sz="0" w:space="0" w:color="auto"/>
            <w:right w:val="none" w:sz="0" w:space="0" w:color="auto"/>
          </w:divBdr>
        </w:div>
        <w:div w:id="1972206159">
          <w:marLeft w:val="0"/>
          <w:marRight w:val="0"/>
          <w:marTop w:val="0"/>
          <w:marBottom w:val="0"/>
          <w:divBdr>
            <w:top w:val="none" w:sz="0" w:space="0" w:color="auto"/>
            <w:left w:val="none" w:sz="0" w:space="0" w:color="auto"/>
            <w:bottom w:val="none" w:sz="0" w:space="0" w:color="auto"/>
            <w:right w:val="none" w:sz="0" w:space="0" w:color="auto"/>
          </w:divBdr>
        </w:div>
        <w:div w:id="1987121271">
          <w:marLeft w:val="0"/>
          <w:marRight w:val="0"/>
          <w:marTop w:val="0"/>
          <w:marBottom w:val="0"/>
          <w:divBdr>
            <w:top w:val="none" w:sz="0" w:space="0" w:color="auto"/>
            <w:left w:val="none" w:sz="0" w:space="0" w:color="auto"/>
            <w:bottom w:val="none" w:sz="0" w:space="0" w:color="auto"/>
            <w:right w:val="none" w:sz="0" w:space="0" w:color="auto"/>
          </w:divBdr>
        </w:div>
        <w:div w:id="1989165213">
          <w:marLeft w:val="0"/>
          <w:marRight w:val="0"/>
          <w:marTop w:val="0"/>
          <w:marBottom w:val="0"/>
          <w:divBdr>
            <w:top w:val="none" w:sz="0" w:space="0" w:color="auto"/>
            <w:left w:val="none" w:sz="0" w:space="0" w:color="auto"/>
            <w:bottom w:val="none" w:sz="0" w:space="0" w:color="auto"/>
            <w:right w:val="none" w:sz="0" w:space="0" w:color="auto"/>
          </w:divBdr>
        </w:div>
        <w:div w:id="1989942185">
          <w:marLeft w:val="0"/>
          <w:marRight w:val="0"/>
          <w:marTop w:val="0"/>
          <w:marBottom w:val="0"/>
          <w:divBdr>
            <w:top w:val="none" w:sz="0" w:space="0" w:color="auto"/>
            <w:left w:val="none" w:sz="0" w:space="0" w:color="auto"/>
            <w:bottom w:val="none" w:sz="0" w:space="0" w:color="auto"/>
            <w:right w:val="none" w:sz="0" w:space="0" w:color="auto"/>
          </w:divBdr>
        </w:div>
        <w:div w:id="1994984511">
          <w:marLeft w:val="0"/>
          <w:marRight w:val="0"/>
          <w:marTop w:val="0"/>
          <w:marBottom w:val="0"/>
          <w:divBdr>
            <w:top w:val="none" w:sz="0" w:space="0" w:color="auto"/>
            <w:left w:val="none" w:sz="0" w:space="0" w:color="auto"/>
            <w:bottom w:val="none" w:sz="0" w:space="0" w:color="auto"/>
            <w:right w:val="none" w:sz="0" w:space="0" w:color="auto"/>
          </w:divBdr>
        </w:div>
        <w:div w:id="1997763913">
          <w:marLeft w:val="0"/>
          <w:marRight w:val="0"/>
          <w:marTop w:val="0"/>
          <w:marBottom w:val="0"/>
          <w:divBdr>
            <w:top w:val="none" w:sz="0" w:space="0" w:color="auto"/>
            <w:left w:val="none" w:sz="0" w:space="0" w:color="auto"/>
            <w:bottom w:val="none" w:sz="0" w:space="0" w:color="auto"/>
            <w:right w:val="none" w:sz="0" w:space="0" w:color="auto"/>
          </w:divBdr>
        </w:div>
        <w:div w:id="1998147670">
          <w:marLeft w:val="0"/>
          <w:marRight w:val="0"/>
          <w:marTop w:val="0"/>
          <w:marBottom w:val="0"/>
          <w:divBdr>
            <w:top w:val="none" w:sz="0" w:space="0" w:color="auto"/>
            <w:left w:val="none" w:sz="0" w:space="0" w:color="auto"/>
            <w:bottom w:val="none" w:sz="0" w:space="0" w:color="auto"/>
            <w:right w:val="none" w:sz="0" w:space="0" w:color="auto"/>
          </w:divBdr>
        </w:div>
        <w:div w:id="1999268307">
          <w:marLeft w:val="0"/>
          <w:marRight w:val="0"/>
          <w:marTop w:val="0"/>
          <w:marBottom w:val="0"/>
          <w:divBdr>
            <w:top w:val="none" w:sz="0" w:space="0" w:color="auto"/>
            <w:left w:val="none" w:sz="0" w:space="0" w:color="auto"/>
            <w:bottom w:val="none" w:sz="0" w:space="0" w:color="auto"/>
            <w:right w:val="none" w:sz="0" w:space="0" w:color="auto"/>
          </w:divBdr>
        </w:div>
        <w:div w:id="2026445964">
          <w:marLeft w:val="0"/>
          <w:marRight w:val="0"/>
          <w:marTop w:val="0"/>
          <w:marBottom w:val="0"/>
          <w:divBdr>
            <w:top w:val="none" w:sz="0" w:space="0" w:color="auto"/>
            <w:left w:val="none" w:sz="0" w:space="0" w:color="auto"/>
            <w:bottom w:val="none" w:sz="0" w:space="0" w:color="auto"/>
            <w:right w:val="none" w:sz="0" w:space="0" w:color="auto"/>
          </w:divBdr>
        </w:div>
        <w:div w:id="2027057332">
          <w:marLeft w:val="0"/>
          <w:marRight w:val="0"/>
          <w:marTop w:val="0"/>
          <w:marBottom w:val="0"/>
          <w:divBdr>
            <w:top w:val="none" w:sz="0" w:space="0" w:color="auto"/>
            <w:left w:val="none" w:sz="0" w:space="0" w:color="auto"/>
            <w:bottom w:val="none" w:sz="0" w:space="0" w:color="auto"/>
            <w:right w:val="none" w:sz="0" w:space="0" w:color="auto"/>
          </w:divBdr>
        </w:div>
        <w:div w:id="2028090892">
          <w:marLeft w:val="0"/>
          <w:marRight w:val="0"/>
          <w:marTop w:val="0"/>
          <w:marBottom w:val="0"/>
          <w:divBdr>
            <w:top w:val="none" w:sz="0" w:space="0" w:color="auto"/>
            <w:left w:val="none" w:sz="0" w:space="0" w:color="auto"/>
            <w:bottom w:val="none" w:sz="0" w:space="0" w:color="auto"/>
            <w:right w:val="none" w:sz="0" w:space="0" w:color="auto"/>
          </w:divBdr>
        </w:div>
        <w:div w:id="2029942967">
          <w:marLeft w:val="0"/>
          <w:marRight w:val="0"/>
          <w:marTop w:val="0"/>
          <w:marBottom w:val="0"/>
          <w:divBdr>
            <w:top w:val="none" w:sz="0" w:space="0" w:color="auto"/>
            <w:left w:val="none" w:sz="0" w:space="0" w:color="auto"/>
            <w:bottom w:val="none" w:sz="0" w:space="0" w:color="auto"/>
            <w:right w:val="none" w:sz="0" w:space="0" w:color="auto"/>
          </w:divBdr>
        </w:div>
        <w:div w:id="2038968201">
          <w:marLeft w:val="0"/>
          <w:marRight w:val="0"/>
          <w:marTop w:val="0"/>
          <w:marBottom w:val="0"/>
          <w:divBdr>
            <w:top w:val="none" w:sz="0" w:space="0" w:color="auto"/>
            <w:left w:val="none" w:sz="0" w:space="0" w:color="auto"/>
            <w:bottom w:val="none" w:sz="0" w:space="0" w:color="auto"/>
            <w:right w:val="none" w:sz="0" w:space="0" w:color="auto"/>
          </w:divBdr>
        </w:div>
        <w:div w:id="2039814750">
          <w:marLeft w:val="0"/>
          <w:marRight w:val="0"/>
          <w:marTop w:val="0"/>
          <w:marBottom w:val="0"/>
          <w:divBdr>
            <w:top w:val="none" w:sz="0" w:space="0" w:color="auto"/>
            <w:left w:val="none" w:sz="0" w:space="0" w:color="auto"/>
            <w:bottom w:val="none" w:sz="0" w:space="0" w:color="auto"/>
            <w:right w:val="none" w:sz="0" w:space="0" w:color="auto"/>
          </w:divBdr>
        </w:div>
        <w:div w:id="2042628909">
          <w:marLeft w:val="0"/>
          <w:marRight w:val="0"/>
          <w:marTop w:val="0"/>
          <w:marBottom w:val="0"/>
          <w:divBdr>
            <w:top w:val="none" w:sz="0" w:space="0" w:color="auto"/>
            <w:left w:val="none" w:sz="0" w:space="0" w:color="auto"/>
            <w:bottom w:val="none" w:sz="0" w:space="0" w:color="auto"/>
            <w:right w:val="none" w:sz="0" w:space="0" w:color="auto"/>
          </w:divBdr>
        </w:div>
        <w:div w:id="2053381317">
          <w:marLeft w:val="0"/>
          <w:marRight w:val="0"/>
          <w:marTop w:val="0"/>
          <w:marBottom w:val="0"/>
          <w:divBdr>
            <w:top w:val="none" w:sz="0" w:space="0" w:color="auto"/>
            <w:left w:val="none" w:sz="0" w:space="0" w:color="auto"/>
            <w:bottom w:val="none" w:sz="0" w:space="0" w:color="auto"/>
            <w:right w:val="none" w:sz="0" w:space="0" w:color="auto"/>
          </w:divBdr>
        </w:div>
        <w:div w:id="2056193277">
          <w:marLeft w:val="0"/>
          <w:marRight w:val="0"/>
          <w:marTop w:val="0"/>
          <w:marBottom w:val="0"/>
          <w:divBdr>
            <w:top w:val="none" w:sz="0" w:space="0" w:color="auto"/>
            <w:left w:val="none" w:sz="0" w:space="0" w:color="auto"/>
            <w:bottom w:val="none" w:sz="0" w:space="0" w:color="auto"/>
            <w:right w:val="none" w:sz="0" w:space="0" w:color="auto"/>
          </w:divBdr>
        </w:div>
        <w:div w:id="2062096776">
          <w:marLeft w:val="0"/>
          <w:marRight w:val="0"/>
          <w:marTop w:val="0"/>
          <w:marBottom w:val="0"/>
          <w:divBdr>
            <w:top w:val="none" w:sz="0" w:space="0" w:color="auto"/>
            <w:left w:val="none" w:sz="0" w:space="0" w:color="auto"/>
            <w:bottom w:val="none" w:sz="0" w:space="0" w:color="auto"/>
            <w:right w:val="none" w:sz="0" w:space="0" w:color="auto"/>
          </w:divBdr>
        </w:div>
        <w:div w:id="2068186321">
          <w:marLeft w:val="0"/>
          <w:marRight w:val="0"/>
          <w:marTop w:val="0"/>
          <w:marBottom w:val="0"/>
          <w:divBdr>
            <w:top w:val="none" w:sz="0" w:space="0" w:color="auto"/>
            <w:left w:val="none" w:sz="0" w:space="0" w:color="auto"/>
            <w:bottom w:val="none" w:sz="0" w:space="0" w:color="auto"/>
            <w:right w:val="none" w:sz="0" w:space="0" w:color="auto"/>
          </w:divBdr>
        </w:div>
        <w:div w:id="2082016607">
          <w:marLeft w:val="0"/>
          <w:marRight w:val="0"/>
          <w:marTop w:val="0"/>
          <w:marBottom w:val="0"/>
          <w:divBdr>
            <w:top w:val="none" w:sz="0" w:space="0" w:color="auto"/>
            <w:left w:val="none" w:sz="0" w:space="0" w:color="auto"/>
            <w:bottom w:val="none" w:sz="0" w:space="0" w:color="auto"/>
            <w:right w:val="none" w:sz="0" w:space="0" w:color="auto"/>
          </w:divBdr>
        </w:div>
        <w:div w:id="2094430001">
          <w:marLeft w:val="0"/>
          <w:marRight w:val="0"/>
          <w:marTop w:val="0"/>
          <w:marBottom w:val="0"/>
          <w:divBdr>
            <w:top w:val="none" w:sz="0" w:space="0" w:color="auto"/>
            <w:left w:val="none" w:sz="0" w:space="0" w:color="auto"/>
            <w:bottom w:val="none" w:sz="0" w:space="0" w:color="auto"/>
            <w:right w:val="none" w:sz="0" w:space="0" w:color="auto"/>
          </w:divBdr>
        </w:div>
        <w:div w:id="2098092964">
          <w:marLeft w:val="0"/>
          <w:marRight w:val="0"/>
          <w:marTop w:val="0"/>
          <w:marBottom w:val="0"/>
          <w:divBdr>
            <w:top w:val="none" w:sz="0" w:space="0" w:color="auto"/>
            <w:left w:val="none" w:sz="0" w:space="0" w:color="auto"/>
            <w:bottom w:val="none" w:sz="0" w:space="0" w:color="auto"/>
            <w:right w:val="none" w:sz="0" w:space="0" w:color="auto"/>
          </w:divBdr>
        </w:div>
        <w:div w:id="2101096973">
          <w:marLeft w:val="0"/>
          <w:marRight w:val="0"/>
          <w:marTop w:val="0"/>
          <w:marBottom w:val="0"/>
          <w:divBdr>
            <w:top w:val="none" w:sz="0" w:space="0" w:color="auto"/>
            <w:left w:val="none" w:sz="0" w:space="0" w:color="auto"/>
            <w:bottom w:val="none" w:sz="0" w:space="0" w:color="auto"/>
            <w:right w:val="none" w:sz="0" w:space="0" w:color="auto"/>
          </w:divBdr>
        </w:div>
        <w:div w:id="2105682450">
          <w:marLeft w:val="0"/>
          <w:marRight w:val="0"/>
          <w:marTop w:val="0"/>
          <w:marBottom w:val="0"/>
          <w:divBdr>
            <w:top w:val="none" w:sz="0" w:space="0" w:color="auto"/>
            <w:left w:val="none" w:sz="0" w:space="0" w:color="auto"/>
            <w:bottom w:val="none" w:sz="0" w:space="0" w:color="auto"/>
            <w:right w:val="none" w:sz="0" w:space="0" w:color="auto"/>
          </w:divBdr>
        </w:div>
        <w:div w:id="2111269546">
          <w:marLeft w:val="0"/>
          <w:marRight w:val="0"/>
          <w:marTop w:val="0"/>
          <w:marBottom w:val="0"/>
          <w:divBdr>
            <w:top w:val="none" w:sz="0" w:space="0" w:color="auto"/>
            <w:left w:val="none" w:sz="0" w:space="0" w:color="auto"/>
            <w:bottom w:val="none" w:sz="0" w:space="0" w:color="auto"/>
            <w:right w:val="none" w:sz="0" w:space="0" w:color="auto"/>
          </w:divBdr>
        </w:div>
        <w:div w:id="2111386822">
          <w:marLeft w:val="0"/>
          <w:marRight w:val="0"/>
          <w:marTop w:val="0"/>
          <w:marBottom w:val="0"/>
          <w:divBdr>
            <w:top w:val="none" w:sz="0" w:space="0" w:color="auto"/>
            <w:left w:val="none" w:sz="0" w:space="0" w:color="auto"/>
            <w:bottom w:val="none" w:sz="0" w:space="0" w:color="auto"/>
            <w:right w:val="none" w:sz="0" w:space="0" w:color="auto"/>
          </w:divBdr>
        </w:div>
        <w:div w:id="2111969636">
          <w:marLeft w:val="0"/>
          <w:marRight w:val="0"/>
          <w:marTop w:val="0"/>
          <w:marBottom w:val="0"/>
          <w:divBdr>
            <w:top w:val="none" w:sz="0" w:space="0" w:color="auto"/>
            <w:left w:val="none" w:sz="0" w:space="0" w:color="auto"/>
            <w:bottom w:val="none" w:sz="0" w:space="0" w:color="auto"/>
            <w:right w:val="none" w:sz="0" w:space="0" w:color="auto"/>
          </w:divBdr>
        </w:div>
        <w:div w:id="2116510057">
          <w:marLeft w:val="0"/>
          <w:marRight w:val="0"/>
          <w:marTop w:val="0"/>
          <w:marBottom w:val="0"/>
          <w:divBdr>
            <w:top w:val="none" w:sz="0" w:space="0" w:color="auto"/>
            <w:left w:val="none" w:sz="0" w:space="0" w:color="auto"/>
            <w:bottom w:val="none" w:sz="0" w:space="0" w:color="auto"/>
            <w:right w:val="none" w:sz="0" w:space="0" w:color="auto"/>
          </w:divBdr>
        </w:div>
        <w:div w:id="2135638245">
          <w:marLeft w:val="0"/>
          <w:marRight w:val="0"/>
          <w:marTop w:val="0"/>
          <w:marBottom w:val="0"/>
          <w:divBdr>
            <w:top w:val="none" w:sz="0" w:space="0" w:color="auto"/>
            <w:left w:val="none" w:sz="0" w:space="0" w:color="auto"/>
            <w:bottom w:val="none" w:sz="0" w:space="0" w:color="auto"/>
            <w:right w:val="none" w:sz="0" w:space="0" w:color="auto"/>
          </w:divBdr>
        </w:div>
        <w:div w:id="2139714194">
          <w:marLeft w:val="0"/>
          <w:marRight w:val="0"/>
          <w:marTop w:val="0"/>
          <w:marBottom w:val="0"/>
          <w:divBdr>
            <w:top w:val="none" w:sz="0" w:space="0" w:color="auto"/>
            <w:left w:val="none" w:sz="0" w:space="0" w:color="auto"/>
            <w:bottom w:val="none" w:sz="0" w:space="0" w:color="auto"/>
            <w:right w:val="none" w:sz="0" w:space="0" w:color="auto"/>
          </w:divBdr>
        </w:div>
        <w:div w:id="2139762883">
          <w:marLeft w:val="0"/>
          <w:marRight w:val="0"/>
          <w:marTop w:val="0"/>
          <w:marBottom w:val="0"/>
          <w:divBdr>
            <w:top w:val="none" w:sz="0" w:space="0" w:color="auto"/>
            <w:left w:val="none" w:sz="0" w:space="0" w:color="auto"/>
            <w:bottom w:val="none" w:sz="0" w:space="0" w:color="auto"/>
            <w:right w:val="none" w:sz="0" w:space="0" w:color="auto"/>
          </w:divBdr>
        </w:div>
        <w:div w:id="2141219306">
          <w:marLeft w:val="0"/>
          <w:marRight w:val="0"/>
          <w:marTop w:val="0"/>
          <w:marBottom w:val="0"/>
          <w:divBdr>
            <w:top w:val="none" w:sz="0" w:space="0" w:color="auto"/>
            <w:left w:val="none" w:sz="0" w:space="0" w:color="auto"/>
            <w:bottom w:val="none" w:sz="0" w:space="0" w:color="auto"/>
            <w:right w:val="none" w:sz="0" w:space="0" w:color="auto"/>
          </w:divBdr>
        </w:div>
        <w:div w:id="2143383789">
          <w:marLeft w:val="0"/>
          <w:marRight w:val="0"/>
          <w:marTop w:val="0"/>
          <w:marBottom w:val="0"/>
          <w:divBdr>
            <w:top w:val="none" w:sz="0" w:space="0" w:color="auto"/>
            <w:left w:val="none" w:sz="0" w:space="0" w:color="auto"/>
            <w:bottom w:val="none" w:sz="0" w:space="0" w:color="auto"/>
            <w:right w:val="none" w:sz="0" w:space="0" w:color="auto"/>
          </w:divBdr>
        </w:div>
      </w:divsChild>
    </w:div>
    <w:div w:id="1937471334">
      <w:bodyDiv w:val="1"/>
      <w:marLeft w:val="0"/>
      <w:marRight w:val="0"/>
      <w:marTop w:val="0"/>
      <w:marBottom w:val="0"/>
      <w:divBdr>
        <w:top w:val="none" w:sz="0" w:space="0" w:color="auto"/>
        <w:left w:val="none" w:sz="0" w:space="0" w:color="auto"/>
        <w:bottom w:val="none" w:sz="0" w:space="0" w:color="auto"/>
        <w:right w:val="none" w:sz="0" w:space="0" w:color="auto"/>
      </w:divBdr>
      <w:divsChild>
        <w:div w:id="1509178088">
          <w:marLeft w:val="0"/>
          <w:marRight w:val="0"/>
          <w:marTop w:val="0"/>
          <w:marBottom w:val="0"/>
          <w:divBdr>
            <w:top w:val="none" w:sz="0" w:space="0" w:color="auto"/>
            <w:left w:val="none" w:sz="0" w:space="0" w:color="auto"/>
            <w:bottom w:val="none" w:sz="0" w:space="0" w:color="auto"/>
            <w:right w:val="none" w:sz="0" w:space="0" w:color="auto"/>
          </w:divBdr>
          <w:divsChild>
            <w:div w:id="256905743">
              <w:marLeft w:val="0"/>
              <w:marRight w:val="0"/>
              <w:marTop w:val="0"/>
              <w:marBottom w:val="0"/>
              <w:divBdr>
                <w:top w:val="none" w:sz="0" w:space="0" w:color="auto"/>
                <w:left w:val="none" w:sz="0" w:space="0" w:color="auto"/>
                <w:bottom w:val="none" w:sz="0" w:space="0" w:color="auto"/>
                <w:right w:val="none" w:sz="0" w:space="0" w:color="auto"/>
              </w:divBdr>
            </w:div>
            <w:div w:id="118883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1226">
      <w:bodyDiv w:val="1"/>
      <w:marLeft w:val="0"/>
      <w:marRight w:val="0"/>
      <w:marTop w:val="0"/>
      <w:marBottom w:val="0"/>
      <w:divBdr>
        <w:top w:val="none" w:sz="0" w:space="0" w:color="auto"/>
        <w:left w:val="none" w:sz="0" w:space="0" w:color="auto"/>
        <w:bottom w:val="none" w:sz="0" w:space="0" w:color="auto"/>
        <w:right w:val="none" w:sz="0" w:space="0" w:color="auto"/>
      </w:divBdr>
      <w:divsChild>
        <w:div w:id="1712068382">
          <w:marLeft w:val="0"/>
          <w:marRight w:val="0"/>
          <w:marTop w:val="0"/>
          <w:marBottom w:val="0"/>
          <w:divBdr>
            <w:top w:val="none" w:sz="0" w:space="0" w:color="auto"/>
            <w:left w:val="none" w:sz="0" w:space="0" w:color="auto"/>
            <w:bottom w:val="none" w:sz="0" w:space="0" w:color="auto"/>
            <w:right w:val="none" w:sz="0" w:space="0" w:color="auto"/>
          </w:divBdr>
        </w:div>
      </w:divsChild>
    </w:div>
    <w:div w:id="1993409532">
      <w:bodyDiv w:val="1"/>
      <w:marLeft w:val="0"/>
      <w:marRight w:val="0"/>
      <w:marTop w:val="0"/>
      <w:marBottom w:val="0"/>
      <w:divBdr>
        <w:top w:val="none" w:sz="0" w:space="0" w:color="auto"/>
        <w:left w:val="none" w:sz="0" w:space="0" w:color="auto"/>
        <w:bottom w:val="none" w:sz="0" w:space="0" w:color="auto"/>
        <w:right w:val="none" w:sz="0" w:space="0" w:color="auto"/>
      </w:divBdr>
      <w:divsChild>
        <w:div w:id="606697243">
          <w:marLeft w:val="0"/>
          <w:marRight w:val="0"/>
          <w:marTop w:val="0"/>
          <w:marBottom w:val="0"/>
          <w:divBdr>
            <w:top w:val="none" w:sz="0" w:space="0" w:color="auto"/>
            <w:left w:val="none" w:sz="0" w:space="0" w:color="auto"/>
            <w:bottom w:val="none" w:sz="0" w:space="0" w:color="auto"/>
            <w:right w:val="none" w:sz="0" w:space="0" w:color="auto"/>
          </w:divBdr>
          <w:divsChild>
            <w:div w:id="900292450">
              <w:marLeft w:val="0"/>
              <w:marRight w:val="0"/>
              <w:marTop w:val="0"/>
              <w:marBottom w:val="0"/>
              <w:divBdr>
                <w:top w:val="none" w:sz="0" w:space="0" w:color="auto"/>
                <w:left w:val="none" w:sz="0" w:space="0" w:color="auto"/>
                <w:bottom w:val="none" w:sz="0" w:space="0" w:color="auto"/>
                <w:right w:val="none" w:sz="0" w:space="0" w:color="auto"/>
              </w:divBdr>
            </w:div>
            <w:div w:id="164354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86893">
      <w:bodyDiv w:val="1"/>
      <w:marLeft w:val="0"/>
      <w:marRight w:val="0"/>
      <w:marTop w:val="0"/>
      <w:marBottom w:val="0"/>
      <w:divBdr>
        <w:top w:val="none" w:sz="0" w:space="0" w:color="auto"/>
        <w:left w:val="none" w:sz="0" w:space="0" w:color="auto"/>
        <w:bottom w:val="none" w:sz="0" w:space="0" w:color="auto"/>
        <w:right w:val="none" w:sz="0" w:space="0" w:color="auto"/>
      </w:divBdr>
      <w:divsChild>
        <w:div w:id="20277519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536271208\AppData\Roaming\CM_Tools\Templates\WordTemplates\A4\RBCCM\Memo.dotx" TargetMode="External"/></Relationships>
</file>

<file path=word/theme/theme1.xml><?xml version="1.0" encoding="utf-8"?>
<a:theme xmlns:a="http://schemas.openxmlformats.org/drawingml/2006/main" name="NewRBCPresentationToolsThemeFileFromWord">
  <a:themeElements>
    <a:clrScheme name="Custom 1">
      <a:dk1>
        <a:srgbClr val="000000"/>
      </a:dk1>
      <a:lt1>
        <a:srgbClr val="FFFFFF"/>
      </a:lt1>
      <a:dk2>
        <a:srgbClr val="002750"/>
      </a:dk2>
      <a:lt2>
        <a:srgbClr val="ADC2D2"/>
      </a:lt2>
      <a:accent1>
        <a:srgbClr val="002750"/>
      </a:accent1>
      <a:accent2>
        <a:srgbClr val="0051A5"/>
      </a:accent2>
      <a:accent3>
        <a:srgbClr val="6AADE4"/>
      </a:accent3>
      <a:accent4>
        <a:srgbClr val="FFD200"/>
      </a:accent4>
      <a:accent5>
        <a:srgbClr val="8499A6"/>
      </a:accent5>
      <a:accent6>
        <a:srgbClr val="9D8954"/>
      </a:accent6>
      <a:hlink>
        <a:srgbClr val="0051A5"/>
      </a:hlink>
      <a:folHlink>
        <a:srgbClr val="008FFA"/>
      </a:folHlink>
    </a:clrScheme>
    <a:fontScheme name="RBCCM_2014_Landscape">
      <a:majorFont>
        <a:latin typeface="Arial"/>
        <a:ea typeface="Geneva"/>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solidFill>
          <a:srgbClr val="EBF0F5"/>
        </a:solidFill>
        <a:ln>
          <a:noFill/>
        </a:ln>
        <a:effectLst/>
        <a:extLst>
          <a:ext uri="{91240B29-F687-4F45-9708-019B960494DF}">
            <a14:hiddenLine xmlns:a14="http://schemas.microsoft.com/office/drawing/2010/main" w="9525" cap="flat" cmpd="sng" algn="ctr">
              <a:solidFill>
                <a:srgbClr val="000000"/>
              </a:solidFill>
              <a:prstDash val="solid"/>
              <a:round/>
              <a:headEnd type="none" w="med" len="med"/>
              <a:tailEnd type="none" w="med" len="med"/>
            </a14:hiddenLine>
          </a:ext>
          <a:ext uri="{AF507438-7753-43E0-B8FC-AC1667EBCBE1}">
            <a14:hiddenEffects xmlns:a14="http://schemas.microsoft.com/office/drawing/2010/main">
              <a:effectLst>
                <a:outerShdw dist="35921" dir="2700000" algn="ctr" rotWithShape="0">
                  <a:srgbClr val="808080"/>
                </a:outerShdw>
              </a:effectLst>
            </a14:hiddenEffects>
          </a:ext>
        </a:extLst>
      </a:spPr>
      <a:bodyPr rot="0" spcFirstLastPara="0" vertOverflow="overflow" horzOverflow="overflow" vert="horz" wrap="square" lIns="0" tIns="0" rIns="0" bIns="0" numCol="1" spcCol="0" rtlCol="0" fromWordArt="0" anchor="t" anchorCtr="0" forceAA="0" compatLnSpc="1">
        <a:prstTxWarp prst="textNoShape">
          <a:avLst/>
        </a:prstTxWarp>
        <a:noAutofit/>
      </a:bodyPr>
      <a:lstStyle>
        <a:defPPr marL="0" marR="0" indent="0" algn="l" defTabSz="511175" rtl="0" eaLnBrk="1" fontAlgn="base" latinLnBrk="0" hangingPunct="1">
          <a:lnSpc>
            <a:spcPct val="100000"/>
          </a:lnSpc>
          <a:spcBef>
            <a:spcPct val="0"/>
          </a:spcBef>
          <a:spcAft>
            <a:spcPct val="0"/>
          </a:spcAft>
          <a:buClrTx/>
          <a:buSzTx/>
          <a:buFontTx/>
          <a:buNone/>
          <a:tabLst/>
          <a:defRPr kumimoji="0" sz="1000" i="0" u="none" strike="noStrike" cap="none" normalizeH="0" baseline="0" smtClean="0">
            <a:ln>
              <a:noFill/>
            </a:ln>
            <a:solidFill>
              <a:srgbClr val="000000"/>
            </a:solidFill>
            <a:effectLst/>
            <a:latin typeface="Arial" panose="020B0604020202020204" pitchFamily="34" charset="0"/>
            <a:ea typeface="Geneva" pitchFamily="1" charset="-128"/>
          </a:defRPr>
        </a:defPPr>
      </a:lstStyle>
    </a:spDef>
    <a:lnDef>
      <a:spPr bwMode="auto">
        <a:noFill/>
        <a:ln w="9525" cap="flat" cmpd="sng" algn="ctr">
          <a:solidFill>
            <a:srgbClr val="000000"/>
          </a:solidFill>
          <a:prstDash val="solid"/>
          <a:round/>
          <a:headEnd type="none" w="med" len="med"/>
          <a:tailEnd type="none" w="med" len="me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a:spPr>
      <a:bodyPr/>
      <a:lstStyle/>
    </a:lnDef>
    <a:txDef>
      <a:spPr>
        <a:noFill/>
        <a:extLst>
          <a:ext uri="{909E8E84-426E-40DD-AFC4-6F175D3DCCD1}">
            <a14:hiddenFill xmlns:a14="http://schemas.microsoft.com/office/drawing/2010/main">
              <a:solidFill>
                <a:srgbClr val="EBF0F5"/>
              </a:solidFill>
            </a14:hiddenFill>
          </a:ext>
        </a:extLst>
      </a:spPr>
      <a:bodyPr vert="horz" wrap="square" rtlCol="0">
        <a:noAutofit/>
      </a:bodyPr>
      <a:lstStyle>
        <a:defPPr algn="l">
          <a:defRPr sz="1000" dirty="0" smtClean="0">
            <a:solidFill>
              <a:srgbClr val="000000"/>
            </a:solidFill>
            <a:latin typeface="Arial" panose="020B0604020202020204" pitchFamily="34" charset="0"/>
          </a:defRPr>
        </a:defPPr>
      </a:lstStyle>
    </a:txDef>
  </a:objectDefaults>
  <a:extraClrSchemeLst>
    <a:extraClrScheme>
      <a:clrScheme name="RBCCM_2014_Landscape 1">
        <a:dk1>
          <a:srgbClr val="000000"/>
        </a:dk1>
        <a:lt1>
          <a:srgbClr val="FFFFFF"/>
        </a:lt1>
        <a:dk2>
          <a:srgbClr val="003263"/>
        </a:dk2>
        <a:lt2>
          <a:srgbClr val="FFD200"/>
        </a:lt2>
        <a:accent1>
          <a:srgbClr val="0060A9"/>
        </a:accent1>
        <a:accent2>
          <a:srgbClr val="6AADE4"/>
        </a:accent2>
        <a:accent3>
          <a:srgbClr val="FFFFFF"/>
        </a:accent3>
        <a:accent4>
          <a:srgbClr val="000000"/>
        </a:accent4>
        <a:accent5>
          <a:srgbClr val="AAB6D1"/>
        </a:accent5>
        <a:accent6>
          <a:srgbClr val="5F9CCF"/>
        </a:accent6>
        <a:hlink>
          <a:srgbClr val="6F6E6F"/>
        </a:hlink>
        <a:folHlink>
          <a:srgbClr val="8499A6"/>
        </a:folHlink>
      </a:clrScheme>
      <a:clrMap bg1="lt1" tx1="dk1" bg2="lt2" tx2="dk2" accent1="accent1" accent2="accent2" accent3="accent3" accent4="accent4" accent5="accent5" accent6="accent6" hlink="hlink" folHlink="folHlink"/>
    </a:extraClrScheme>
  </a:extraClrSchemeLst>
  <a:custClrLst>
    <a:custClr name="Dark Blue">
      <a:srgbClr val="002750"/>
    </a:custClr>
    <a:custClr name="Bright Blue">
      <a:srgbClr val="0051A5"/>
    </a:custClr>
    <a:custClr name="Light Blue">
      <a:srgbClr val="73B0E3"/>
    </a:custClr>
    <a:custClr name="Yellow">
      <a:srgbClr val="FEDF01"/>
    </a:custClr>
    <a:custClr name="Blue-Grey">
      <a:srgbClr val="8499A6"/>
    </a:custClr>
    <a:custClr name="Gold">
      <a:srgbClr val="E8CF00"/>
    </a:custClr>
    <a:custClr name="Orange">
      <a:srgbClr val="FCA311"/>
    </a:custClr>
    <a:custClr name="Red">
      <a:srgbClr val="9B301B"/>
    </a:custClr>
    <a:custClr name="Silver">
      <a:srgbClr val="700078"/>
    </a:custClr>
    <a:custClr name="Slate">
      <a:srgbClr val="6F6E6F"/>
    </a:custClr>
    <a:custClr name="Dark Blue Tint 1">
      <a:srgbClr val="74748E"/>
    </a:custClr>
    <a:custClr name="Bright Blue Tint 1">
      <a:srgbClr val="0800C3"/>
    </a:custClr>
    <a:custClr name="Light Blue Tint 2">
      <a:srgbClr val="E3F4FF"/>
    </a:custClr>
    <a:custClr name="Yellow Tint 1">
      <a:srgbClr val="FFE692"/>
    </a:custClr>
    <a:custClr name="Blue-Grey Tint 1">
      <a:srgbClr val="ADC2D2"/>
    </a:custClr>
    <a:custClr name="Gold Tint 1">
      <a:srgbClr val="F2E395"/>
    </a:custClr>
    <a:custClr name="Orange Tint 1">
      <a:srgbClr val="FDC16B"/>
    </a:custClr>
    <a:custClr name="Red Tint 1">
      <a:srgbClr val="BD695D"/>
    </a:custClr>
    <a:custClr name="Silver Tint 3">
      <a:srgbClr val="DCDDDE"/>
    </a:custClr>
    <a:custClr name="Slate Tint 1">
      <a:srgbClr val="9D9D9D"/>
    </a:custClr>
    <a:custClr name="Dark Blue Tint 2">
      <a:srgbClr val="BBBAC7"/>
    </a:custClr>
    <a:custClr name="Bright Blue Tint 2">
      <a:srgbClr val="C3E2FA"/>
    </a:custClr>
    <a:custClr name="Grey (table shading)">
      <a:srgbClr val="E6EBF0"/>
    </a:custClr>
    <a:custClr name="Yellow Tint 2">
      <a:srgbClr val="FFF3D5"/>
    </a:custClr>
    <a:custClr name="Blue-Grey Tint 2">
      <a:srgbClr val="D3DDE5"/>
    </a:custClr>
    <a:custClr name="Gold Tint 2">
      <a:srgbClr val="FBF7E6"/>
    </a:custClr>
    <a:custClr name="Orange Tint 2">
      <a:srgbClr val="FFE2BA"/>
    </a:custClr>
    <a:custClr name="Red Tint 2">
      <a:srgbClr val="DFB4AA"/>
    </a:custClr>
    <a:custClr name="Silver tint 4">
      <a:srgbClr val="F2F1F0"/>
    </a:custClr>
    <a:custClr name="Slate Tint 2">
      <a:srgbClr val="D7D7D7"/>
    </a:custClr>
    <a:custClr name="Light Grey">
      <a:srgbClr val="C1B5A5"/>
    </a:custClr>
    <a:custClr name="Beige">
      <a:srgbClr val="B8A970"/>
    </a:custClr>
    <a:custClr name="Brown">
      <a:srgbClr val="906646"/>
    </a:custClr>
    <a:custClr name="Apple">
      <a:srgbClr val="AABA0A"/>
    </a:custClr>
    <a:custClr name="Green">
      <a:srgbClr val="6B702B"/>
    </a:custClr>
    <a:custClr name="Warm red">
      <a:srgbClr val="F93F26"/>
    </a:custClr>
    <a:custClr name="Light Grey Tint 4">
      <a:srgbClr val="F4F2E8"/>
    </a:custClr>
    <a:custClr name="Beige Tint 4">
      <a:srgbClr val="F3F0E8"/>
    </a:custClr>
    <a:custClr name="Grey (map fill)">
      <a:srgbClr val="CDD1D0"/>
    </a:custClr>
    <a:custClr name="Warm red Tint 3">
      <a:srgbClr val="F4CEBB"/>
    </a:custClr>
    <a:custClr name="Light Grey Tint 2">
      <a:srgbClr val="E1DDD5"/>
    </a:custClr>
    <a:custClr name="Beige Tint 2">
      <a:srgbClr val="DFD8BF"/>
    </a:custClr>
    <a:custClr name="Brown Tint 2">
      <a:srgbClr val="D7BFAD"/>
    </a:custClr>
    <a:custClr name="Apple Tint 3">
      <a:srgbClr val="F2F3B9"/>
    </a:custClr>
    <a:custClr name="Green Tint 2">
      <a:srgbClr val="C8CE7C"/>
    </a:custClr>
  </a:custClrLst>
  <a:extLst>
    <a:ext uri="{05A4C25C-085E-4340-85A3-A5531E510DB2}">
      <thm15:themeFamily xmlns:thm15="http://schemas.microsoft.com/office/thememl/2012/main" name="NewRBCPresentationToolsThemeFileFromPowerPoint" id="{0F958595-073D-493C-A424-D79133AF84A0}" vid="{E88EAE35-7907-43BD-926C-094921D8B9C9}"/>
    </a:ext>
  </a:extLst>
</a:theme>
</file>

<file path=docProps/app.xml><?xml version="1.0" encoding="utf-8"?>
<Properties xmlns="http://schemas.openxmlformats.org/officeDocument/2006/extended-properties" xmlns:vt="http://schemas.openxmlformats.org/officeDocument/2006/docPropsVTypes">
  <Template>Memo</Template>
  <TotalTime>2</TotalTime>
  <Pages>1</Pages>
  <Words>14</Words>
  <Characters>77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Supporting your Growth &amp; Profitability</vt:lpstr>
    </vt:vector>
  </TitlesOfParts>
  <Manager/>
  <Company>RBC Investor Services</Company>
  <LinksUpToDate>false</LinksUpToDate>
  <CharactersWithSpaces>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your Growth &amp; Profitability</dc:title>
  <dc:subject/>
  <dc:creator>Ian Sinclair</dc:creator>
  <cp:keywords/>
  <dc:description/>
  <cp:lastModifiedBy>Ian Sinclair</cp:lastModifiedBy>
  <cp:revision>3</cp:revision>
  <cp:lastPrinted>2026-02-01T17:46:00Z</cp:lastPrinted>
  <dcterms:created xsi:type="dcterms:W3CDTF">2026-03-09T12:37:00Z</dcterms:created>
  <dcterms:modified xsi:type="dcterms:W3CDTF">2026-03-09T12:38:00Z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Name">
    <vt:lpwstr>Word Template</vt:lpwstr>
  </property>
  <property fmtid="{D5CDD505-2E9C-101B-9397-08002B2CF9AE}" pid="3" name="Version">
    <vt:lpwstr>1.00</vt:lpwstr>
  </property>
  <property fmtid="{D5CDD505-2E9C-101B-9397-08002B2CF9AE}" pid="4" name="Developer">
    <vt:lpwstr>Dylan Curry, Creative Design Manager</vt:lpwstr>
  </property>
  <property fmtid="{D5CDD505-2E9C-101B-9397-08002B2CF9AE}" pid="5" name="Client">
    <vt:lpwstr>RBC Investor Services</vt:lpwstr>
  </property>
  <property fmtid="{D5CDD505-2E9C-101B-9397-08002B2CF9AE}" pid="6" name="Language">
    <vt:i4>44</vt:i4>
  </property>
  <property fmtid="{D5CDD505-2E9C-101B-9397-08002B2CF9AE}" pid="7" name="ListSeperator">
    <vt:lpwstr/>
  </property>
  <property fmtid="{D5CDD505-2E9C-101B-9397-08002B2CF9AE}" pid="8" name="RBCLogoUsed">
    <vt:lpwstr>RBCCM</vt:lpwstr>
  </property>
  <property fmtid="{D5CDD505-2E9C-101B-9397-08002B2CF9AE}" pid="9" name="RBCGroup">
    <vt:lpwstr>Capital Markets</vt:lpwstr>
  </property>
  <property fmtid="{D5CDD505-2E9C-101B-9397-08002B2CF9AE}" pid="10" name="MSIP_Label_f01692fd-22c0-4d57-8827-ca1b33aa058d_Enabled">
    <vt:lpwstr>true</vt:lpwstr>
  </property>
  <property fmtid="{D5CDD505-2E9C-101B-9397-08002B2CF9AE}" pid="11" name="MSIP_Label_f01692fd-22c0-4d57-8827-ca1b33aa058d_Method">
    <vt:lpwstr>Privileged</vt:lpwstr>
  </property>
  <property fmtid="{D5CDD505-2E9C-101B-9397-08002B2CF9AE}" pid="12" name="MSIP_Label_f01692fd-22c0-4d57-8827-ca1b33aa058d_SiteId">
    <vt:lpwstr>9323b596-236d-4890-bed3-60232a849027</vt:lpwstr>
  </property>
  <property fmtid="{D5CDD505-2E9C-101B-9397-08002B2CF9AE}" pid="13" name="Classification">
    <vt:lpwstr>TT_RBC_Internal</vt:lpwstr>
  </property>
</Properties>
</file>