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jc w:val="center"/>
        <w:tblLayout w:type="fixed"/>
        <w:tblCellMar>
          <w:left w:w="0" w:type="dxa"/>
          <w:right w:w="0" w:type="dxa"/>
        </w:tblCellMar>
        <w:tblLook w:val="0000" w:firstRow="0" w:lastRow="0" w:firstColumn="0" w:lastColumn="0" w:noHBand="0" w:noVBand="0"/>
      </w:tblPr>
      <w:tblGrid>
        <w:gridCol w:w="1268"/>
        <w:gridCol w:w="3592"/>
        <w:gridCol w:w="4860"/>
      </w:tblGrid>
      <w:tr w:rsidR="00F0153E" w:rsidRPr="00E15B30" w14:paraId="4583F63F" w14:textId="77777777" w:rsidTr="003E7BD3">
        <w:trPr>
          <w:trHeight w:val="1080"/>
          <w:jc w:val="center"/>
        </w:trPr>
        <w:tc>
          <w:tcPr>
            <w:tcW w:w="4860" w:type="dxa"/>
            <w:gridSpan w:val="2"/>
            <w:tcBorders>
              <w:bottom w:val="single" w:sz="4" w:space="0" w:color="auto"/>
            </w:tcBorders>
          </w:tcPr>
          <w:p w14:paraId="575C1AC6" w14:textId="3E87E2F1" w:rsidR="00F0153E" w:rsidRPr="00E15B30" w:rsidRDefault="008A4165" w:rsidP="00E4290C">
            <w:pPr>
              <w:pStyle w:val="TableText"/>
              <w:spacing w:before="0"/>
            </w:pPr>
            <w:r>
              <w:rPr>
                <w:noProof/>
              </w:rPr>
              <w:drawing>
                <wp:inline distT="0" distB="0" distL="0" distR="0" wp14:anchorId="7E1A12A9" wp14:editId="494AD8CD">
                  <wp:extent cx="1168959" cy="532130"/>
                  <wp:effectExtent l="0" t="0" r="0" b="1270"/>
                  <wp:docPr id="1587254593" name="Picture 1"/>
                  <wp:cNvGraphicFramePr/>
                  <a:graphic xmlns:a="http://schemas.openxmlformats.org/drawingml/2006/main">
                    <a:graphicData uri="http://schemas.openxmlformats.org/drawingml/2006/picture">
                      <pic:pic xmlns:pic="http://schemas.openxmlformats.org/drawingml/2006/picture">
                        <pic:nvPicPr>
                          <pic:cNvPr id="1587254593" name=""/>
                          <pic:cNvPicPr/>
                        </pic:nvPicPr>
                        <pic:blipFill>
                          <a:blip r:embed="rId7"/>
                          <a:stretch>
                            <a:fillRect/>
                          </a:stretch>
                        </pic:blipFill>
                        <pic:spPr>
                          <a:xfrm>
                            <a:off x="0" y="0"/>
                            <a:ext cx="1168959" cy="532130"/>
                          </a:xfrm>
                          <a:prstGeom prst="rect">
                            <a:avLst/>
                          </a:prstGeom>
                        </pic:spPr>
                      </pic:pic>
                    </a:graphicData>
                  </a:graphic>
                </wp:inline>
              </w:drawing>
            </w:r>
          </w:p>
        </w:tc>
        <w:tc>
          <w:tcPr>
            <w:tcW w:w="4860" w:type="dxa"/>
            <w:tcBorders>
              <w:bottom w:val="single" w:sz="4" w:space="0" w:color="auto"/>
            </w:tcBorders>
          </w:tcPr>
          <w:p w14:paraId="037BF573" w14:textId="77777777" w:rsidR="00F0153E" w:rsidRPr="00E15B30" w:rsidRDefault="00F0153E" w:rsidP="00E4290C">
            <w:pPr>
              <w:pStyle w:val="TableText"/>
              <w:spacing w:before="0"/>
            </w:pPr>
          </w:p>
        </w:tc>
      </w:tr>
      <w:tr w:rsidR="00F673DD" w:rsidRPr="004F1175" w14:paraId="4E4C4429" w14:textId="77777777" w:rsidTr="00146EA2">
        <w:trPr>
          <w:trHeight w:hRule="exact" w:val="737"/>
          <w:jc w:val="center"/>
        </w:trPr>
        <w:tc>
          <w:tcPr>
            <w:tcW w:w="9720" w:type="dxa"/>
            <w:gridSpan w:val="3"/>
            <w:tcBorders>
              <w:top w:val="single" w:sz="4" w:space="0" w:color="auto"/>
            </w:tcBorders>
            <w:vAlign w:val="center"/>
          </w:tcPr>
          <w:p w14:paraId="728AB4F0" w14:textId="37D6C5AA" w:rsidR="00F673DD" w:rsidRPr="00146EA2" w:rsidRDefault="00B20EA9" w:rsidP="004F1175">
            <w:pPr>
              <w:pStyle w:val="Heading4"/>
              <w:rPr>
                <w:b/>
                <w:bCs/>
                <w:color w:val="auto"/>
              </w:rPr>
            </w:pPr>
            <w:r>
              <w:rPr>
                <w:rFonts w:ascii="Calibri" w:hAnsi="Calibri"/>
                <w:b/>
                <w:sz w:val="32"/>
              </w:rPr>
              <w:t>Monthly Executive Report</w:t>
            </w:r>
          </w:p>
        </w:tc>
      </w:tr>
      <w:tr w:rsidR="008A4165" w:rsidRPr="004F1175" w14:paraId="47BB3077" w14:textId="77777777" w:rsidTr="00F0153E">
        <w:trPr>
          <w:jc w:val="center"/>
        </w:trPr>
        <w:tc>
          <w:tcPr>
            <w:tcW w:w="1268" w:type="dxa"/>
          </w:tcPr>
          <w:p w14:paraId="6E1B2A30" w14:textId="7D75A177" w:rsidR="008A4165" w:rsidRPr="004F1175" w:rsidRDefault="00BD7056" w:rsidP="002B36E1">
            <w:pPr>
              <w:pStyle w:val="TableHeading"/>
              <w:spacing w:before="60" w:after="60" w:line="240" w:lineRule="auto"/>
            </w:pPr>
            <w:r>
              <w:t>To</w:t>
            </w:r>
            <w:r w:rsidR="008A4165">
              <w:t>:</w:t>
            </w:r>
          </w:p>
        </w:tc>
        <w:tc>
          <w:tcPr>
            <w:tcW w:w="8452" w:type="dxa"/>
            <w:gridSpan w:val="2"/>
          </w:tcPr>
          <w:p w14:paraId="232E713F" w14:textId="1D185793" w:rsidR="008A4165" w:rsidRPr="004F1175" w:rsidRDefault="00B20EA9" w:rsidP="002B36E1">
            <w:pPr>
              <w:pStyle w:val="TableText"/>
              <w:spacing w:before="60" w:after="60" w:line="240" w:lineRule="auto"/>
            </w:pPr>
            <w:r>
              <w:rPr>
                <w:rFonts w:ascii="Calibri" w:hAnsi="Calibri"/>
                <w:b w:val="0"/>
                <w:sz w:val="22"/>
              </w:rPr>
              <w:t>Senior Management Team</w:t>
            </w:r>
          </w:p>
        </w:tc>
      </w:tr>
      <w:tr w:rsidR="00BD7056" w:rsidRPr="004F1175" w14:paraId="63C0F30A" w14:textId="77777777" w:rsidTr="00F0153E">
        <w:trPr>
          <w:jc w:val="center"/>
        </w:trPr>
        <w:tc>
          <w:tcPr>
            <w:tcW w:w="1268" w:type="dxa"/>
          </w:tcPr>
          <w:p w14:paraId="19C9CC1C" w14:textId="24D637A0" w:rsidR="00BD7056" w:rsidRDefault="00BD7056" w:rsidP="002B36E1">
            <w:pPr>
              <w:pStyle w:val="TableHeading"/>
              <w:spacing w:before="60" w:after="60" w:line="240" w:lineRule="auto"/>
            </w:pPr>
            <w:r>
              <w:t>From</w:t>
            </w:r>
          </w:p>
        </w:tc>
        <w:tc>
          <w:tcPr>
            <w:tcW w:w="8452" w:type="dxa"/>
            <w:gridSpan w:val="2"/>
          </w:tcPr>
          <w:p w14:paraId="6DA811D4" w14:textId="28EDDBA5" w:rsidR="00BD7056" w:rsidRDefault="00B20EA9" w:rsidP="002B36E1">
            <w:pPr>
              <w:pStyle w:val="TableText"/>
              <w:spacing w:before="60" w:after="60" w:line="240" w:lineRule="auto"/>
            </w:pPr>
            <w:r>
              <w:rPr>
                <w:rFonts w:ascii="Calibri" w:hAnsi="Calibri"/>
                <w:b w:val="0"/>
                <w:sz w:val="22"/>
              </w:rPr>
              <w:t>Ian Sinclair</w:t>
            </w:r>
          </w:p>
        </w:tc>
      </w:tr>
      <w:tr w:rsidR="00385A2B" w:rsidRPr="004F1175" w14:paraId="785A6F95" w14:textId="77777777" w:rsidTr="00F0153E">
        <w:trPr>
          <w:jc w:val="center"/>
        </w:trPr>
        <w:tc>
          <w:tcPr>
            <w:tcW w:w="1268" w:type="dxa"/>
          </w:tcPr>
          <w:p w14:paraId="5EDFC52A" w14:textId="77777777" w:rsidR="00385A2B" w:rsidRPr="004F1175" w:rsidRDefault="00385A2B" w:rsidP="002B36E1">
            <w:pPr>
              <w:pStyle w:val="TableHeading"/>
              <w:spacing w:before="60" w:after="60" w:line="240" w:lineRule="auto"/>
            </w:pPr>
            <w:r w:rsidRPr="004F1175">
              <w:t>Date:</w:t>
            </w:r>
          </w:p>
        </w:tc>
        <w:tc>
          <w:tcPr>
            <w:tcW w:w="8452" w:type="dxa"/>
            <w:gridSpan w:val="2"/>
          </w:tcPr>
          <w:p w14:paraId="499BC827" w14:textId="4716796A" w:rsidR="00385A2B" w:rsidRPr="004F1175" w:rsidRDefault="00B20EA9" w:rsidP="002B36E1">
            <w:pPr>
              <w:pStyle w:val="TableText"/>
              <w:spacing w:before="60" w:after="60" w:line="240" w:lineRule="auto"/>
            </w:pPr>
            <w:r>
              <w:rPr>
                <w:rFonts w:ascii="Calibri" w:hAnsi="Calibri"/>
                <w:b w:val="0"/>
                <w:sz w:val="22"/>
              </w:rPr>
              <w:t>22 March 2026</w:t>
            </w:r>
          </w:p>
        </w:tc>
      </w:tr>
      <w:tr w:rsidR="00385A2B" w:rsidRPr="004F1175" w14:paraId="41ACC43F" w14:textId="77777777" w:rsidTr="00731D21">
        <w:trPr>
          <w:trHeight w:val="113"/>
          <w:jc w:val="center"/>
        </w:trPr>
        <w:tc>
          <w:tcPr>
            <w:tcW w:w="1268" w:type="dxa"/>
            <w:tcBorders>
              <w:bottom w:val="single" w:sz="4" w:space="0" w:color="auto"/>
            </w:tcBorders>
          </w:tcPr>
          <w:p w14:paraId="468DCAE4" w14:textId="77777777" w:rsidR="00385A2B" w:rsidRPr="00FA5342" w:rsidRDefault="00385A2B" w:rsidP="00201CB6">
            <w:pPr>
              <w:pStyle w:val="TableHeading"/>
              <w:spacing w:before="40"/>
              <w:rPr>
                <w:sz w:val="6"/>
                <w:szCs w:val="6"/>
              </w:rPr>
            </w:pPr>
          </w:p>
        </w:tc>
        <w:tc>
          <w:tcPr>
            <w:tcW w:w="8452" w:type="dxa"/>
            <w:gridSpan w:val="2"/>
            <w:tcBorders>
              <w:bottom w:val="single" w:sz="4" w:space="0" w:color="auto"/>
            </w:tcBorders>
          </w:tcPr>
          <w:p w14:paraId="48AD76A0" w14:textId="77777777" w:rsidR="00385A2B" w:rsidRPr="00FA5342" w:rsidRDefault="00385A2B" w:rsidP="004F1175">
            <w:pPr>
              <w:pStyle w:val="TableText"/>
              <w:rPr>
                <w:sz w:val="6"/>
                <w:szCs w:val="6"/>
              </w:rPr>
            </w:pPr>
          </w:p>
        </w:tc>
      </w:tr>
    </w:tbl>
    <w:p>
      <w:pPr>
        <w:spacing w:before="240" w:after="80"/>
        <w:pBdr>
          <w:bottom w:val="single" w:sz="6" w:space="1" w:color="00429B"/>
        </w:pBdr>
      </w:pPr>
      <w:r>
        <w:rPr>
          <w:rFonts w:ascii="Calibri" w:hAnsi="Calibri"/>
          <w:b/>
          <w:color w:val="00429B"/>
          <w:sz w:val="26"/>
        </w:rPr>
        <w:t>1. EXECUTIVE SUMMARY</w:t>
      </w:r>
    </w:p>
    <w:p>
      <w:pPr>
        <w:spacing w:after="120"/>
      </w:pPr>
      <w:r>
        <w:rPr>
          <w:rFonts w:ascii="Calibri" w:hAnsi="Calibri"/>
          <w:sz w:val="22"/>
        </w:rPr>
        <w:t>The dominant theme in March 2026 is the intensification of global trade uncertainty following the United States' announcement of a broadened tariff regime targeting European and Asian manufactured goods, which has triggered a repricing of risk assets, elevated FX volatility, and a flight to safe-haven sovereign debt. Equity markets have retreated from February highs, with the S&amp;P 500 down approximately 3-4% month-to-date and European indices under similar pressure, driving increased collateral movements and margin calls across custodial networks. On the regulatory front, the SEC has moved forward with final guidance on digital asset custody standards under the revised SAB 121 framework, while ESMA has published its updated guidelines on fund liquidity stress testing applicable to UCITS and AIFs, both carrying direct implications for our fund administration and custody operations. The competitive landscape remains dynamic, with State Street announcing a strategic restructuring of its Alpha platform and BNY continuing to integrate its digital asset capabilities following its 2025 acquisitions, reinforcing the imperative for RBC Investor Services to accelerate its technology modernisation and digital asset readiness.</w:t>
      </w:r>
    </w:p>
    <w:p>
      <w:pPr>
        <w:spacing w:before="240" w:after="80"/>
        <w:pBdr>
          <w:bottom w:val="single" w:sz="6" w:space="1" w:color="00429B"/>
        </w:pBdr>
      </w:pPr>
      <w:r>
        <w:rPr>
          <w:rFonts w:ascii="Calibri" w:hAnsi="Calibri"/>
          <w:b/>
          <w:color w:val="00429B"/>
          <w:sz w:val="26"/>
        </w:rPr>
        <w:t>2. MARKET &amp; MACRO ENVIRONMENT</w:t>
      </w:r>
    </w:p>
    <w:p>
      <w:pPr>
        <w:pStyle w:val="ListBullet"/>
        <w:spacing w:after="60"/>
      </w:pPr>
      <w:r>
        <w:rPr>
          <w:rFonts w:ascii="Calibri" w:hAnsi="Calibri"/>
          <w:sz w:val="21"/>
        </w:rPr>
        <w:t>Global equities sold off through the first three weeks of March as the US administration confirmed expanded tariffs on EU and select Asian imports effective 15 April 2026, reviving fears of a multi-front trade conflict; the S&amp;P 500 has fallen roughly 3.5% month-to-date, the EURO STOXX 50 is down approximately 4%, and the Nikkei 225 has declined about 3%, generating elevated transaction volumes and corporate action complexity across custodial books.</w:t>
      </w:r>
    </w:p>
    <w:p>
      <w:pPr>
        <w:pStyle w:val="ListBullet"/>
        <w:spacing w:after="60"/>
      </w:pPr>
      <w:r>
        <w:rPr>
          <w:rFonts w:ascii="Calibri" w:hAnsi="Calibri"/>
          <w:sz w:val="21"/>
        </w:rPr>
        <w:t>Fixed income markets rallied sharply on the risk-off sentiment: the US 10-year Treasury yield dropped approximately 25 basis points to the 3.85-3.90% range, while the 10-year Bund yield fell to around 2.15%, increasing the mark-to-market value of bond portfolios under administration and requiring updated NAV calculations for fixed income-heavy funds.</w:t>
      </w:r>
    </w:p>
    <w:p>
      <w:pPr>
        <w:pStyle w:val="ListBullet"/>
        <w:spacing w:after="60"/>
      </w:pPr>
      <w:r>
        <w:rPr>
          <w:rFonts w:ascii="Calibri" w:hAnsi="Calibri"/>
          <w:sz w:val="21"/>
        </w:rPr>
        <w:t>FX volatility spiked, with the Canadian dollar weakening to approximately 1.385 per USD on tariff contagion fears for Canadian exports; EUR/USD traded in a wide range around 1.07-1.08, and USD/JPY retreated below 147 as the yen benefited from safe-haven flows; heightened FX moves are driving increased hedging activity and associated settlement volumes across our FX overlay and custody platforms.</w:t>
      </w:r>
    </w:p>
    <w:p>
      <w:pPr>
        <w:pStyle w:val="ListBullet"/>
        <w:spacing w:after="60"/>
      </w:pPr>
      <w:r>
        <w:rPr>
          <w:rFonts w:ascii="Calibri" w:hAnsi="Calibri"/>
          <w:sz w:val="21"/>
        </w:rPr>
        <w:t>The Bank of Canada held rates steady at 3.25% at its March meeting, signalling caution amid the uncertain trade outlook, while the Federal Reserve also paused at 4.25-4.50% and the ECB held at 2.75%, all reinforcing a "higher for longer" narrative that continues to support money market fund inflows and short-duration mandate repositioning.</w:t>
      </w:r>
    </w:p>
    <w:p>
      <w:pPr>
        <w:pStyle w:val="ListBullet"/>
        <w:spacing w:after="60"/>
      </w:pPr>
      <w:r>
        <w:rPr>
          <w:rFonts w:ascii="Calibri" w:hAnsi="Calibri"/>
          <w:sz w:val="21"/>
        </w:rPr>
        <w:t>Gold surged past USD 2,250 per ounce, reflecting both safe-haven demand and central bank purchasing; Brent crude pulled back to approximately USD 74 per barrel on demand concerns, creating divergent performance across commodity-linked mandates.</w:t>
      </w:r>
    </w:p>
    <w:p>
      <w:pPr>
        <w:pStyle w:val="ListBullet"/>
        <w:spacing w:after="60"/>
      </w:pPr>
      <w:r>
        <w:rPr>
          <w:rFonts w:ascii="Calibri" w:hAnsi="Calibri"/>
          <w:sz w:val="21"/>
        </w:rPr>
        <w:t>Credit spreads widened modestly, with US investment-grade spreads moving out by roughly 10-15 basis points and high-yield by approximately 25 basis points, increasing the importance of credit risk monitoring for our tri-party collateral and repo administration services.</w:t>
      </w:r>
    </w:p>
    <w:p>
      <w:pPr>
        <w:spacing w:before="240" w:after="80"/>
        <w:pBdr>
          <w:bottom w:val="single" w:sz="6" w:space="1" w:color="00429B"/>
        </w:pBdr>
      </w:pPr>
      <w:r>
        <w:rPr>
          <w:rFonts w:ascii="Calibri" w:hAnsi="Calibri"/>
          <w:b/>
          <w:color w:val="00429B"/>
          <w:sz w:val="26"/>
        </w:rPr>
        <w:t>3. REGULATORY &amp; POLICY DEVELOPMENTS</w:t>
      </w:r>
    </w:p>
    <w:p>
      <w:pPr>
        <w:pStyle w:val="ListBullet"/>
        <w:spacing w:after="60"/>
      </w:pPr>
      <w:r>
        <w:rPr>
          <w:rFonts w:ascii="Calibri" w:hAnsi="Calibri"/>
          <w:sz w:val="21"/>
        </w:rPr>
        <w:t>The SEC published final guidance on digital asset custody obligations for registered investment advisers and broker-dealers, clarifying that qualified custodians must demonstrate segregation of client crypto assets with verifiable on-chain proof of reserves; this builds on the revised SAB 121 treatment and establishes a compliance framework that custodians offering digital asset services must meet by Q4 2026.</w:t>
      </w:r>
    </w:p>
    <w:p>
      <w:pPr>
        <w:pStyle w:val="ListBullet"/>
        <w:spacing w:after="60"/>
      </w:pPr>
      <w:r>
        <w:rPr>
          <w:rFonts w:ascii="Calibri" w:hAnsi="Calibri"/>
          <w:sz w:val="21"/>
        </w:rPr>
        <w:t>ESMA released its updated guidelines on liquidity stress testing for UCITS and AIF managers, effective 1 September 2026, requiring fund administrators to support enhanced scenario modelling and more granular liquidity bucketing in regulatory reporting; this will require system enhancements across our Luxembourg, Dublin, and London fund administration platforms.</w:t>
      </w:r>
    </w:p>
    <w:p>
      <w:pPr>
        <w:pStyle w:val="ListBullet"/>
        <w:spacing w:after="60"/>
      </w:pPr>
      <w:r>
        <w:rPr>
          <w:rFonts w:ascii="Calibri" w:hAnsi="Calibri"/>
          <w:sz w:val="21"/>
        </w:rPr>
        <w:t>The CSSF issued a circular reinforcing its expectations for substance requirements for fund management companies in Luxembourg, including enhanced scrutiny of delegation arrangements and a mandate for annual independent assessments of outsourced functions, directly relevant to our ManCo support and fund administration services.</w:t>
      </w:r>
    </w:p>
    <w:p>
      <w:pPr>
        <w:pStyle w:val="ListBullet"/>
        <w:spacing w:after="60"/>
      </w:pPr>
      <w:r>
        <w:rPr>
          <w:rFonts w:ascii="Calibri" w:hAnsi="Calibri"/>
          <w:sz w:val="21"/>
        </w:rPr>
        <w:t>The Ontario Securities Commission and Canadian Securities Administrators published a consultation paper on modernising the custody and safekeeping requirements under NI 31-103, proposing alignment with global standards on sub-custodian oversight, digital asset custody, and client asset segregation; comments are due by 30 June 2026.</w:t>
      </w:r>
    </w:p>
    <w:p>
      <w:pPr>
        <w:pStyle w:val="ListBullet"/>
        <w:spacing w:after="60"/>
      </w:pPr>
      <w:r>
        <w:rPr>
          <w:rFonts w:ascii="Calibri" w:hAnsi="Calibri"/>
          <w:sz w:val="21"/>
        </w:rPr>
        <w:t>The FCA issued a policy statement on the UK's new Digital Securities Sandbox, confirming operational parameters for firms seeking to issue, trade, and settle tokenised securities within the sandbox framework; the first cohort of participants is expected to be announced in May 2026, with implications for our UK-based custody operations.</w:t>
      </w:r>
    </w:p>
    <w:p>
      <w:pPr>
        <w:pStyle w:val="ListBullet"/>
        <w:spacing w:after="60"/>
      </w:pPr>
      <w:r>
        <w:rPr>
          <w:rFonts w:ascii="Calibri" w:hAnsi="Calibri"/>
          <w:sz w:val="21"/>
        </w:rPr>
        <w:t>IOSCO published a consultation report on cross-border regulatory cooperation for digital assets and DLT-based market infrastructure, proposing enhanced information-sharing protocols between home and host regulators, which may influence how global custodians structure their digital asset sub-custody networks.</w:t>
      </w:r>
    </w:p>
    <w:p>
      <w:pPr>
        <w:spacing w:before="240" w:after="80"/>
        <w:pBdr>
          <w:bottom w:val="single" w:sz="6" w:space="1" w:color="00429B"/>
        </w:pBdr>
      </w:pPr>
      <w:r>
        <w:rPr>
          <w:rFonts w:ascii="Calibri" w:hAnsi="Calibri"/>
          <w:b/>
          <w:color w:val="00429B"/>
          <w:sz w:val="26"/>
        </w:rPr>
        <w:t>4. INDUSTRY &amp; COMPETITIVE LANDSCAPE</w:t>
      </w:r>
    </w:p>
    <w:p>
      <w:pPr>
        <w:pStyle w:val="ListBullet"/>
        <w:spacing w:after="60"/>
      </w:pPr>
      <w:r>
        <w:rPr>
          <w:rFonts w:ascii="Calibri" w:hAnsi="Calibri"/>
          <w:sz w:val="21"/>
        </w:rPr>
        <w:t>State Street announced a strategic restructuring of its Alpha platform, consolidating its front-to-back technology offering and entering a deepened partnership with a major cloud provider to deliver Alpha-as-a-Service to mid-tier asset managers; the move signals a shift from bespoke integration toward a more scalable, subscription-based model for investment servicing.</w:t>
      </w:r>
    </w:p>
    <w:p>
      <w:pPr>
        <w:pStyle w:val="ListBullet"/>
        <w:spacing w:after="60"/>
      </w:pPr>
      <w:r>
        <w:rPr>
          <w:rFonts w:ascii="Calibri" w:hAnsi="Calibri"/>
          <w:sz w:val="21"/>
        </w:rPr>
        <w:t>BNY completed the integration of its 2025 digital asset custody acquisition and launched an institutional-grade tokenised collateral management service on its new DLT platform, enabling real-time mobilisation of tokenised Treasuries for margin and repo purposes; early adopters include several large US pension plans.</w:t>
      </w:r>
    </w:p>
    <w:p>
      <w:pPr>
        <w:pStyle w:val="ListBullet"/>
        <w:spacing w:after="60"/>
      </w:pPr>
      <w:r>
        <w:rPr>
          <w:rFonts w:ascii="Calibri" w:hAnsi="Calibri"/>
          <w:sz w:val="21"/>
        </w:rPr>
        <w:t>Northern Trust and Broadridge announced a joint venture to develop an automated private markets fund administration solution leveraging AI-driven document extraction and waterfall calculation engines, targeting the rapidly growing private credit and infrastructure fund segments.</w:t>
      </w:r>
    </w:p>
    <w:p>
      <w:pPr>
        <w:pStyle w:val="ListBullet"/>
        <w:spacing w:after="60"/>
      </w:pPr>
      <w:r>
        <w:rPr>
          <w:rFonts w:ascii="Calibri" w:hAnsi="Calibri"/>
          <w:sz w:val="21"/>
        </w:rPr>
        <w:t>HSBC Securities Services expanded its tokenised bond custody platform to cover four additional Asian markets (South Korea, Thailand, Malaysia, and the Philippines), reinforcing its regional leadership in digital securities infrastructure and competing directly with Citi's comparable offering in the region.</w:t>
      </w:r>
    </w:p>
    <w:p>
      <w:pPr>
        <w:pStyle w:val="ListBullet"/>
        <w:spacing w:after="60"/>
      </w:pPr>
      <w:r>
        <w:rPr>
          <w:rFonts w:ascii="Calibri" w:hAnsi="Calibri"/>
          <w:sz w:val="21"/>
        </w:rPr>
        <w:t>Citi Securities Services launched a next-generation data analytics and reporting platform for institutional clients, branded Citi Intelligence, which integrates real-time portfolio analytics, regulatory reporting dashboards, and ESG data overlays powered by proprietary AI models.</w:t>
      </w:r>
    </w:p>
    <w:p>
      <w:pPr>
        <w:pStyle w:val="ListBullet"/>
        <w:spacing w:after="60"/>
      </w:pPr>
      <w:r>
        <w:rPr>
          <w:rFonts w:ascii="Calibri" w:hAnsi="Calibri"/>
          <w:sz w:val="21"/>
        </w:rPr>
        <w:t>Among FinTech challengers, Taurus (Switzerland) raised a Series C round of approximately USD 100 million led by a consortium including Deutsche Boerse and Abu Dhabi sovereign capital, positioning itself as Europe's leading institutional-grade digital asset infrastructure provider and intensifying competition with Fireblocks and Copper in the tokenisation middleware space.</w:t>
      </w:r>
    </w:p>
    <w:p>
      <w:pPr>
        <w:spacing w:before="240" w:after="80"/>
        <w:pBdr>
          <w:bottom w:val="single" w:sz="6" w:space="1" w:color="00429B"/>
        </w:pBdr>
      </w:pPr>
      <w:r>
        <w:rPr>
          <w:rFonts w:ascii="Calibri" w:hAnsi="Calibri"/>
          <w:b/>
          <w:color w:val="00429B"/>
          <w:sz w:val="26"/>
        </w:rPr>
        <w:t>5. RISK DASHBOARD</w:t>
      </w:r>
    </w:p>
    <w:tbl>
      <w:tblPr>
        <w:tblStyle w:val="TableGrid"/>
        <w:tblW w:type="auto" w:w="0"/>
        <w:tblLook w:firstColumn="1" w:firstRow="1" w:lastColumn="0" w:lastRow="0" w:noHBand="0" w:noVBand="1" w:val="04A0"/>
      </w:tblPr>
      <w:tblGrid>
        <w:gridCol w:w="2437"/>
        <w:gridCol w:w="2437"/>
        <w:gridCol w:w="2437"/>
        <w:gridCol w:w="2437"/>
      </w:tblGrid>
      <w:tr>
        <w:tc>
          <w:tcPr>
            <w:tcW w:type="dxa" w:w="2437"/>
            <w:shd w:val="clear" w:color="auto" w:fill="00429B"/>
          </w:tcPr>
          <w:p>
            <w:pPr>
              <w:spacing w:after="40" w:before="40"/>
            </w:pPr>
            <w:r>
              <w:rPr>
                <w:rFonts w:ascii="Calibri" w:hAnsi="Calibri"/>
                <w:b/>
                <w:color w:val="FFFFFF"/>
                <w:sz w:val="20"/>
              </w:rPr>
              <w:t>Risk Title</w:t>
            </w:r>
          </w:p>
        </w:tc>
        <w:tc>
          <w:tcPr>
            <w:tcW w:type="dxa" w:w="2437"/>
            <w:shd w:val="clear" w:color="auto" w:fill="00429B"/>
          </w:tcPr>
          <w:p>
            <w:pPr>
              <w:spacing w:after="40" w:before="40"/>
            </w:pPr>
            <w:r>
              <w:rPr>
                <w:rFonts w:ascii="Calibri" w:hAnsi="Calibri"/>
                <w:b/>
                <w:color w:val="FFFFFF"/>
                <w:sz w:val="20"/>
              </w:rPr>
              <w:t>Category</w:t>
            </w:r>
          </w:p>
        </w:tc>
        <w:tc>
          <w:tcPr>
            <w:tcW w:type="dxa" w:w="2437"/>
            <w:shd w:val="clear" w:color="auto" w:fill="00429B"/>
          </w:tcPr>
          <w:p>
            <w:pPr>
              <w:spacing w:after="40" w:before="40"/>
            </w:pPr>
            <w:r>
              <w:rPr>
                <w:rFonts w:ascii="Calibri" w:hAnsi="Calibri"/>
                <w:b/>
                <w:color w:val="FFFFFF"/>
                <w:sz w:val="20"/>
              </w:rPr>
              <w:t>Description</w:t>
            </w:r>
          </w:p>
        </w:tc>
        <w:tc>
          <w:tcPr>
            <w:tcW w:type="dxa" w:w="2437"/>
            <w:shd w:val="clear" w:color="auto" w:fill="00429B"/>
          </w:tcPr>
          <w:p>
            <w:pPr>
              <w:spacing w:after="40" w:before="40"/>
            </w:pPr>
            <w:r>
              <w:rPr>
                <w:rFonts w:ascii="Calibri" w:hAnsi="Calibri"/>
                <w:b/>
                <w:color w:val="FFFFFF"/>
                <w:sz w:val="20"/>
              </w:rPr>
              <w:t>Direction</w:t>
            </w:r>
          </w:p>
        </w:tc>
      </w:tr>
      <w:tr>
        <w:tc>
          <w:tcPr>
            <w:tcW w:type="dxa" w:w="2437"/>
          </w:tcPr>
          <w:p>
            <w:pPr>
              <w:spacing w:after="40" w:before="40"/>
            </w:pPr>
            <w:r>
              <w:rPr>
                <w:rFonts w:ascii="Calibri" w:hAnsi="Calibri"/>
                <w:b w:val="0"/>
                <w:sz w:val="20"/>
              </w:rPr>
              <w:t>Global Trade War Escalation</w:t>
            </w:r>
          </w:p>
        </w:tc>
        <w:tc>
          <w:tcPr>
            <w:tcW w:type="dxa" w:w="2437"/>
          </w:tcPr>
          <w:p>
            <w:pPr>
              <w:spacing w:after="40" w:before="40"/>
            </w:pPr>
            <w:r>
              <w:rPr>
                <w:rFonts w:ascii="Calibri" w:hAnsi="Calibri"/>
                <w:b w:val="0"/>
                <w:sz w:val="20"/>
              </w:rPr>
              <w:t>MARKET</w:t>
            </w:r>
          </w:p>
        </w:tc>
        <w:tc>
          <w:tcPr>
            <w:tcW w:type="dxa" w:w="2437"/>
          </w:tcPr>
          <w:p>
            <w:pPr>
              <w:spacing w:after="40" w:before="40"/>
            </w:pPr>
            <w:r>
              <w:rPr>
                <w:rFonts w:ascii="Calibri" w:hAnsi="Calibri"/>
                <w:b w:val="0"/>
                <w:sz w:val="20"/>
              </w:rPr>
              <w:t>Expanded US tariffs on EU and Asian goods, with retaliation risk, are repricing equities and driving elevated FX and collateral volatility across custodial networks.</w:t>
            </w:r>
          </w:p>
        </w:tc>
        <w:tc>
          <w:tcPr>
            <w:tcW w:type="dxa" w:w="2437"/>
          </w:tcPr>
          <w:p>
            <w:pPr>
              <w:spacing w:after="40" w:before="40"/>
            </w:pPr>
            <w:r>
              <w:rPr>
                <w:rFonts w:ascii="Calibri" w:hAnsi="Calibri"/>
                <w:b/>
                <w:color w:val="CC0000"/>
                <w:sz w:val="20"/>
              </w:rPr>
              <w:t>↑ INCREASING</w:t>
            </w:r>
          </w:p>
        </w:tc>
      </w:tr>
      <w:tr>
        <w:tc>
          <w:tcPr>
            <w:tcW w:type="dxa" w:w="2437"/>
            <w:shd w:val="clear" w:color="auto" w:fill="EEF3FA"/>
          </w:tcPr>
          <w:p>
            <w:pPr>
              <w:spacing w:after="40" w:before="40"/>
            </w:pPr>
            <w:r>
              <w:rPr>
                <w:rFonts w:ascii="Calibri" w:hAnsi="Calibri"/>
                <w:b w:val="0"/>
                <w:sz w:val="20"/>
              </w:rPr>
              <w:t>Digital Asset Custody Regulatory Compliance</w:t>
            </w:r>
          </w:p>
        </w:tc>
        <w:tc>
          <w:tcPr>
            <w:tcW w:type="dxa" w:w="2437"/>
            <w:shd w:val="clear" w:color="auto" w:fill="EEF3FA"/>
          </w:tcPr>
          <w:p>
            <w:pPr>
              <w:spacing w:after="40" w:before="40"/>
            </w:pPr>
            <w:r>
              <w:rPr>
                <w:rFonts w:ascii="Calibri" w:hAnsi="Calibri"/>
                <w:b w:val="0"/>
                <w:sz w:val="20"/>
              </w:rPr>
              <w:t>REGULATORY</w:t>
            </w:r>
          </w:p>
        </w:tc>
        <w:tc>
          <w:tcPr>
            <w:tcW w:type="dxa" w:w="2437"/>
            <w:shd w:val="clear" w:color="auto" w:fill="EEF3FA"/>
          </w:tcPr>
          <w:p>
            <w:pPr>
              <w:spacing w:after="40" w:before="40"/>
            </w:pPr>
            <w:r>
              <w:rPr>
                <w:rFonts w:ascii="Calibri" w:hAnsi="Calibri"/>
                <w:b w:val="0"/>
                <w:sz w:val="20"/>
              </w:rPr>
              <w:t>New SEC custody guidance and CSA consultation on digital asset safekeeping create urgent compliance workstreams for firms offering or planning crypto custody services.</w:t>
            </w:r>
          </w:p>
        </w:tc>
        <w:tc>
          <w:tcPr>
            <w:tcW w:type="dxa" w:w="2437"/>
            <w:shd w:val="clear" w:color="auto" w:fill="EEF3FA"/>
          </w:tcPr>
          <w:p>
            <w:pPr>
              <w:spacing w:after="40" w:before="40"/>
            </w:pPr>
            <w:r>
              <w:rPr>
                <w:rFonts w:ascii="Calibri" w:hAnsi="Calibri"/>
                <w:b/>
                <w:color w:val="CC0000"/>
                <w:sz w:val="20"/>
              </w:rPr>
              <w:t>↑ INCREASING</w:t>
            </w:r>
          </w:p>
        </w:tc>
      </w:tr>
      <w:tr>
        <w:tc>
          <w:tcPr>
            <w:tcW w:type="dxa" w:w="2437"/>
          </w:tcPr>
          <w:p>
            <w:pPr>
              <w:spacing w:after="40" w:before="40"/>
            </w:pPr>
            <w:r>
              <w:rPr>
                <w:rFonts w:ascii="Calibri" w:hAnsi="Calibri"/>
                <w:b w:val="0"/>
                <w:sz w:val="20"/>
              </w:rPr>
              <w:t>Counterparty Credit Stress in Leveraged Strategies</w:t>
            </w:r>
          </w:p>
        </w:tc>
        <w:tc>
          <w:tcPr>
            <w:tcW w:type="dxa" w:w="2437"/>
          </w:tcPr>
          <w:p>
            <w:pPr>
              <w:spacing w:after="40" w:before="40"/>
            </w:pPr>
            <w:r>
              <w:rPr>
                <w:rFonts w:ascii="Calibri" w:hAnsi="Calibri"/>
                <w:b w:val="0"/>
                <w:sz w:val="20"/>
              </w:rPr>
              <w:t>CREDIT</w:t>
            </w:r>
          </w:p>
        </w:tc>
        <w:tc>
          <w:tcPr>
            <w:tcW w:type="dxa" w:w="2437"/>
          </w:tcPr>
          <w:p>
            <w:pPr>
              <w:spacing w:after="40" w:before="40"/>
            </w:pPr>
            <w:r>
              <w:rPr>
                <w:rFonts w:ascii="Calibri" w:hAnsi="Calibri"/>
                <w:b w:val="0"/>
                <w:sz w:val="20"/>
              </w:rPr>
              <w:t>Widening credit spreads and margin call activity are increasing counterparty exposure, particularly in prime brokerage and tri-party collateral channels.</w:t>
            </w:r>
          </w:p>
        </w:tc>
        <w:tc>
          <w:tcPr>
            <w:tcW w:type="dxa" w:w="2437"/>
          </w:tcPr>
          <w:p>
            <w:pPr>
              <w:spacing w:after="40" w:before="40"/>
            </w:pPr>
            <w:r>
              <w:rPr>
                <w:rFonts w:ascii="Calibri" w:hAnsi="Calibri"/>
                <w:b/>
                <w:color w:val="CC0000"/>
                <w:sz w:val="20"/>
              </w:rPr>
              <w:t>↑ INCREASING</w:t>
            </w:r>
          </w:p>
        </w:tc>
      </w:tr>
      <w:tr>
        <w:tc>
          <w:tcPr>
            <w:tcW w:type="dxa" w:w="2437"/>
            <w:shd w:val="clear" w:color="auto" w:fill="EEF3FA"/>
          </w:tcPr>
          <w:p>
            <w:pPr>
              <w:spacing w:after="40" w:before="40"/>
            </w:pPr>
            <w:r>
              <w:rPr>
                <w:rFonts w:ascii="Calibri" w:hAnsi="Calibri"/>
                <w:b w:val="0"/>
                <w:sz w:val="20"/>
              </w:rPr>
              <w:t>Cyber Threats to Settlement Infrastructure</w:t>
            </w:r>
          </w:p>
        </w:tc>
        <w:tc>
          <w:tcPr>
            <w:tcW w:type="dxa" w:w="2437"/>
            <w:shd w:val="clear" w:color="auto" w:fill="EEF3FA"/>
          </w:tcPr>
          <w:p>
            <w:pPr>
              <w:spacing w:after="40" w:before="40"/>
            </w:pPr>
            <w:r>
              <w:rPr>
                <w:rFonts w:ascii="Calibri" w:hAnsi="Calibri"/>
                <w:b w:val="0"/>
                <w:sz w:val="20"/>
              </w:rPr>
              <w:t>CYBER</w:t>
            </w:r>
          </w:p>
        </w:tc>
        <w:tc>
          <w:tcPr>
            <w:tcW w:type="dxa" w:w="2437"/>
            <w:shd w:val="clear" w:color="auto" w:fill="EEF3FA"/>
          </w:tcPr>
          <w:p>
            <w:pPr>
              <w:spacing w:after="40" w:before="40"/>
            </w:pPr>
            <w:r>
              <w:rPr>
                <w:rFonts w:ascii="Calibri" w:hAnsi="Calibri"/>
                <w:b w:val="0"/>
                <w:sz w:val="20"/>
              </w:rPr>
              <w:t>Sophisticated state-sponsored threat actors continue to target SWIFT messaging and settlement systems; SWIFT issued a heightened alert in early March following attempted intrusions at two mid-tier Asian banks.</w:t>
            </w:r>
          </w:p>
        </w:tc>
        <w:tc>
          <w:tcPr>
            <w:tcW w:type="dxa" w:w="2437"/>
            <w:shd w:val="clear" w:color="auto" w:fill="EEF3FA"/>
          </w:tcPr>
          <w:p>
            <w:pPr>
              <w:spacing w:after="40" w:before="40"/>
            </w:pPr>
            <w:r>
              <w:rPr>
                <w:rFonts w:ascii="Calibri" w:hAnsi="Calibri"/>
                <w:b/>
                <w:color w:val="CC0000"/>
                <w:sz w:val="20"/>
              </w:rPr>
              <w:t>↑ INCREASING</w:t>
            </w:r>
          </w:p>
        </w:tc>
      </w:tr>
      <w:tr>
        <w:tc>
          <w:tcPr>
            <w:tcW w:type="dxa" w:w="2437"/>
          </w:tcPr>
          <w:p>
            <w:pPr>
              <w:spacing w:after="40" w:before="40"/>
            </w:pPr>
            <w:r>
              <w:rPr>
                <w:rFonts w:ascii="Calibri" w:hAnsi="Calibri"/>
                <w:b w:val="0"/>
                <w:sz w:val="20"/>
              </w:rPr>
              <w:t>Operational Strain from T+1 Cross-Border Misalignment</w:t>
            </w:r>
          </w:p>
        </w:tc>
        <w:tc>
          <w:tcPr>
            <w:tcW w:type="dxa" w:w="2437"/>
          </w:tcPr>
          <w:p>
            <w:pPr>
              <w:spacing w:after="40" w:before="40"/>
            </w:pPr>
            <w:r>
              <w:rPr>
                <w:rFonts w:ascii="Calibri" w:hAnsi="Calibri"/>
                <w:b w:val="0"/>
                <w:sz w:val="20"/>
              </w:rPr>
              <w:t>OPERATIONAL</w:t>
            </w:r>
          </w:p>
        </w:tc>
        <w:tc>
          <w:tcPr>
            <w:tcW w:type="dxa" w:w="2437"/>
          </w:tcPr>
          <w:p>
            <w:pPr>
              <w:spacing w:after="40" w:before="40"/>
            </w:pPr>
            <w:r>
              <w:rPr>
                <w:rFonts w:ascii="Calibri" w:hAnsi="Calibri"/>
                <w:b w:val="0"/>
                <w:sz w:val="20"/>
              </w:rPr>
              <w:t>Ongoing friction between North American T+1 settlement and European T+2 cycles continues to generate fails and funding mismatches, particularly for UCITS funds with significant US equity allocations.</w:t>
            </w:r>
          </w:p>
        </w:tc>
        <w:tc>
          <w:tcPr>
            <w:tcW w:type="dxa" w:w="2437"/>
          </w:tcPr>
          <w:p>
            <w:pPr>
              <w:spacing w:after="40" w:before="40"/>
            </w:pPr>
            <w:r>
              <w:rPr>
                <w:rFonts w:ascii="Calibri" w:hAnsi="Calibri"/>
                <w:b/>
                <w:color w:val="FF8000"/>
                <w:sz w:val="20"/>
              </w:rPr>
              <w:t>→ STABLE</w:t>
            </w:r>
          </w:p>
        </w:tc>
      </w:tr>
    </w:tbl>
    <w:p>
      <w:pPr>
        <w:spacing w:before="240" w:after="80"/>
        <w:pBdr>
          <w:bottom w:val="single" w:sz="6" w:space="1" w:color="00429B"/>
        </w:pBdr>
      </w:pPr>
      <w:r>
        <w:rPr>
          <w:rFonts w:ascii="Calibri" w:hAnsi="Calibri"/>
          <w:b/>
          <w:color w:val="00429B"/>
          <w:sz w:val="26"/>
        </w:rPr>
        <w:t>6. TECHNOLOGY &amp; DIGITAL ASSETS</w:t>
      </w:r>
    </w:p>
    <w:p>
      <w:pPr>
        <w:pStyle w:val="ListBullet"/>
        <w:spacing w:after="60"/>
      </w:pPr>
      <w:r>
        <w:rPr>
          <w:rFonts w:ascii="Calibri" w:hAnsi="Calibri"/>
          <w:sz w:val="21"/>
        </w:rPr>
        <w:t>AI adoption in fund administration continued to accelerate in March, with multiple tier-one servicers — including BNP Paribas Securities Services and Northern Trust — reporting production deployment of large language model-driven NAV exception management tools that have reduced manual intervention on pricing breaks by 30-40% in pilot programmes.</w:t>
      </w:r>
    </w:p>
    <w:p>
      <w:pPr>
        <w:pStyle w:val="ListBullet"/>
        <w:spacing w:after="60"/>
      </w:pPr>
      <w:r>
        <w:rPr>
          <w:rFonts w:ascii="Calibri" w:hAnsi="Calibri"/>
          <w:sz w:val="21"/>
        </w:rPr>
        <w:t>The tokenisation of traditional securities gained further institutional credibility as BlackRock's BUIDL tokenised Treasury fund surpassed USD 3 billion in AUM and Franklin Templeton expanded its tokenised money market fund offering to a third blockchain network, increasing the operational and reconciliation demands on custodians supporting these structures.</w:t>
      </w:r>
    </w:p>
    <w:p>
      <w:pPr>
        <w:pStyle w:val="ListBullet"/>
        <w:spacing w:after="60"/>
      </w:pPr>
      <w:r>
        <w:rPr>
          <w:rFonts w:ascii="Calibri" w:hAnsi="Calibri"/>
          <w:sz w:val="21"/>
        </w:rPr>
        <w:t>SWIFT completed Phase 2 of its multi-chain interoperability pilot with over 15 global banks and CSDs, successfully demonstrating atomic delivery-versus-payment settlement for tokenised bonds across three separate DLT platforms; a production pathway is expected to be outlined at Sibos 2026, with significant implications for custody connectivity architecture.</w:t>
      </w:r>
    </w:p>
    <w:p>
      <w:pPr>
        <w:pStyle w:val="ListBullet"/>
        <w:spacing w:after="60"/>
      </w:pPr>
      <w:r>
        <w:rPr>
          <w:rFonts w:ascii="Calibri" w:hAnsi="Calibri"/>
          <w:sz w:val="21"/>
        </w:rPr>
        <w:t>Progress on T+0 settlement discussions advanced as DTCC published a feasibility study outlining a phased approach to optional T+0 settlement for US equities, with an initial voluntary window targeted for Q3 2027; meanwhile, the European T+1 migration taskforce confirmed October 2027 as its target go-live date, requiring fund administrators and custodians to begin system impact assessments now.</w:t>
      </w:r>
    </w:p>
    <w:p>
      <w:pPr>
        <w:pStyle w:val="ListBullet"/>
        <w:spacing w:after="60"/>
      </w:pPr>
      <w:r>
        <w:rPr>
          <w:rFonts w:ascii="Calibri" w:hAnsi="Calibri"/>
          <w:sz w:val="21"/>
        </w:rPr>
        <w:t>Cyber threat intelligence firm CrowdStrike reported a 55% year-over-year increase in targeted attacks against financial market infrastructure providers during Q1 2026, with ransomware and supply-chain attacks against third-party technology vendors representing the fastest-growing vector; this reinforces the need for enhanced vendor risk management and zero-trust architecture across investor services operations.</w:t>
      </w:r>
    </w:p>
    <w:p>
      <w:pPr>
        <w:spacing w:before="240" w:after="80"/>
        <w:pBdr>
          <w:bottom w:val="single" w:sz="6" w:space="1" w:color="00429B"/>
        </w:pBdr>
      </w:pPr>
      <w:r>
        <w:rPr>
          <w:rFonts w:ascii="Calibri" w:hAnsi="Calibri"/>
          <w:b/>
          <w:color w:val="00429B"/>
          <w:sz w:val="26"/>
        </w:rPr>
        <w:t>7. KEY UPCOMING EVENTS — APRIL 2026</w:t>
      </w:r>
    </w:p>
    <w:p>
      <w:pPr>
        <w:spacing w:after="60"/>
      </w:pPr>
      <w:r>
        <w:rPr>
          <w:rFonts w:ascii="Calibri" w:hAnsi="Calibri"/>
          <w:sz w:val="21"/>
        </w:rPr>
        <w:t>01 Apr — US expanded tariffs on EU and Asian manufactured goods take effect; monitor for retaliatory measures and market volatility.</w:t>
      </w:r>
    </w:p>
    <w:p>
      <w:pPr>
        <w:spacing w:after="60"/>
      </w:pPr>
      <w:r>
        <w:rPr>
          <w:rFonts w:ascii="Calibri" w:hAnsi="Calibri"/>
          <w:sz w:val="21"/>
        </w:rPr>
        <w:t>02 Apr — US Non-Farm Payrolls release (March data); key indicator for Fed rate path and equity sentiment.</w:t>
      </w:r>
    </w:p>
    <w:p>
      <w:pPr>
        <w:spacing w:after="60"/>
      </w:pPr>
      <w:r>
        <w:rPr>
          <w:rFonts w:ascii="Calibri" w:hAnsi="Calibri"/>
          <w:sz w:val="21"/>
        </w:rPr>
        <w:t>08 Apr — Bank of Canada interest rate decision; consensus expects a hold at 3.25% pending trade clarity.</w:t>
      </w:r>
    </w:p>
    <w:p>
      <w:pPr>
        <w:spacing w:after="60"/>
      </w:pPr>
      <w:r>
        <w:rPr>
          <w:rFonts w:ascii="Calibri" w:hAnsi="Calibri"/>
          <w:sz w:val="21"/>
        </w:rPr>
        <w:t>15 Apr — EU Retaliation Package expected response deadline, per European Commission internal timetable reported by Reuters.</w:t>
      </w:r>
    </w:p>
    <w:p>
      <w:pPr>
        <w:spacing w:after="60"/>
      </w:pPr>
      <w:r>
        <w:rPr>
          <w:rFonts w:ascii="Calibri" w:hAnsi="Calibri"/>
          <w:sz w:val="21"/>
        </w:rPr>
        <w:t>16 Apr — ECB Governing Council monetary policy meeting; market expectations for a hold at 2.75%.</w:t>
      </w:r>
    </w:p>
    <w:p>
      <w:pPr>
        <w:spacing w:after="60"/>
      </w:pPr>
      <w:r>
        <w:rPr>
          <w:rFonts w:ascii="Calibri" w:hAnsi="Calibri"/>
          <w:sz w:val="21"/>
        </w:rPr>
        <w:t>22-24 Apr — FundForum International, Monaco; major gathering of fund management and fund services industry leaders, with sessions on tokenisation, private markets, and AI in fund administration.</w:t>
      </w:r>
    </w:p>
    <w:p>
      <w:pPr>
        <w:spacing w:after="60"/>
      </w:pPr>
      <w:r>
        <w:rPr>
          <w:rFonts w:ascii="Calibri" w:hAnsi="Calibri"/>
          <w:sz w:val="21"/>
        </w:rPr>
        <w:t>28 Apr — CSSF deadline for submission of updated AIFMD Annex IV reporting templates reflecting the revised ESMA guidelines.</w:t>
      </w:r>
    </w:p>
    <w:p>
      <w:pPr>
        <w:spacing w:after="60"/>
      </w:pPr>
      <w:r>
        <w:rPr>
          <w:rFonts w:ascii="Calibri" w:hAnsi="Calibri"/>
          <w:sz w:val="21"/>
        </w:rPr>
        <w:t>30 Apr — ESMA consultation deadline on revisions to the CSDR penalty regime for settlement fails; responses from custodians and CSDs expected.</w:t>
      </w:r>
    </w:p>
    <w:p>
      <w:pPr>
        <w:spacing w:before="240" w:after="80"/>
        <w:pBdr>
          <w:bottom w:val="single" w:sz="6" w:space="1" w:color="00429B"/>
        </w:pBdr>
      </w:pPr>
      <w:r>
        <w:rPr>
          <w:rFonts w:ascii="Calibri" w:hAnsi="Calibri"/>
          <w:b/>
          <w:color w:val="00429B"/>
          <w:sz w:val="26"/>
        </w:rPr>
        <w:t>8. SMT WATCH LIST</w:t>
      </w:r>
    </w:p>
    <w:p>
      <w:pPr>
        <w:spacing w:after="60"/>
      </w:pPr>
      <w:r>
        <w:rPr>
          <w:rFonts w:ascii="Calibri" w:hAnsi="Calibri"/>
          <w:sz w:val="21"/>
        </w:rPr>
        <w:t>Theme 1: US Tariff Escalation &amp; Canadian Portfolio Exposure</w:t>
      </w:r>
    </w:p>
    <w:p>
      <w:pPr>
        <w:spacing w:after="60"/>
      </w:pPr>
      <w:r>
        <w:rPr>
          <w:rFonts w:ascii="Calibri" w:hAnsi="Calibri"/>
          <w:sz w:val="21"/>
        </w:rPr>
        <w:t>The broadened US tariff regime taking effect on 1 April 2026 targets key European and Asian trading partners, with potential retaliatory measures that could disrupt global supply chains and compress earnings for multinational corporations held widely in Canadian pension and asset manager portfolios. Canadian institutional clients serviced by RBC Investor Services hold significant allocations to US, European, and Asian equities — estimated at 55-65% of total equity allocations for large pension plans — meaning tariff-driven drawdowns, sector rotations, and hedging activity will flow directly through our custody and administration books, with elevated FX hedging volumes on CAD/USD and CAD/EUR pairs and increased demand for timely portfolio analytics. RBC IS senior management should proactively deploy enhanced daily reporting packages to top-tier pension and asset manager clients, highlighting tariff-exposed sector concentrations, FX hedge ratios, and collateral sufficiency, and should schedule targeted outreach calls with the 20 largest clients to discuss operational preparedness for heightened settlement and margin call volumes in April.</w:t>
      </w:r>
    </w:p>
    <w:p>
      <w:pPr>
        <w:spacing w:after="60"/>
      </w:pPr>
      <w:r>
        <w:rPr>
          <w:rFonts w:ascii="Calibri" w:hAnsi="Calibri"/>
          <w:sz w:val="21"/>
        </w:rPr>
        <w:t>Theme 2: CSA Consultation on Modernised Custody &amp; Digital Asset Safekeeping Rules</w:t>
      </w:r>
    </w:p>
    <w:p>
      <w:pPr>
        <w:spacing w:after="60"/>
      </w:pPr>
      <w:r>
        <w:rPr>
          <w:rFonts w:ascii="Calibri" w:hAnsi="Calibri"/>
          <w:sz w:val="21"/>
        </w:rPr>
        <w:t>The CSA consultation paper on NI 31-103 amendments proposes material changes to custody, sub-custody oversight, and digital asset safekeeping obligations that will directly affect how Canadian-registered investment fund managers and portfolio managers structure their custody arrangements. For Canadian institutional clients of RBC Investor Services, the proposals could require renegotiation of custody agreements, enhanced sub-custodian due diligence documentation, and potentially new operational controls for any exposure to digital asset mandates — including tokenised securities that may become more prevalent in fixed income and money market allocations. RBC IS senior management should convene a working group comprising Legal, Compliance, Product, and Client Coverage to prepare a detailed impact assessment of the CSA proposals, develop a client communication summarising implications, and prepare the firm's formal consultation response by mid-May, well ahead of the 30 June deadline.</w:t>
      </w:r>
    </w:p>
    <w:p>
      <w:pPr>
        <w:spacing w:after="60"/>
      </w:pPr>
      <w:r>
        <w:rPr>
          <w:rFonts w:ascii="Calibri" w:hAnsi="Calibri"/>
          <w:sz w:val="21"/>
        </w:rPr>
        <w:t>Theme 3: European T+1 Settlement Migration Planning</w:t>
      </w:r>
    </w:p>
    <w:p>
      <w:pPr>
        <w:spacing w:after="60"/>
      </w:pPr>
      <w:r>
        <w:rPr>
          <w:rFonts w:ascii="Calibri" w:hAnsi="Calibri"/>
          <w:sz w:val="21"/>
        </w:rPr>
        <w:t>The European T+1 migration taskforce's confirmation of an October 2027 go-live date means that Canadian asset managers and pension funds with substantial European equity and fixed income holdings — typically 15-25% of global portfolios — must begin assessing the operational, funding, and FX implications of a compressed European settlement cycle, particularly given the already-experienced friction points following North America's T+1 transition. RBC Investor Services administers and provides custody for significant European assets on behalf of Canadian institutional clients, and the transition will require adjustments to FX trade execution cut-off times, pre-matching workflows, corporate action processing, and securities lending recall timelines. RBC IS senior management should initiate a T+1 Europe readiness programme, assign a dedicated project lead, begin bilateral discussions with European sub-custodians and CSDs regarding operational changes, and issue a preliminary client advisory in April outlining the expected timeline and areas requiring client-side operational adjustments.</w:t>
      </w:r>
    </w:p>
    <w:p>
      <w:pPr>
        <w:spacing w:before="240" w:after="80"/>
        <w:pBdr>
          <w:bottom w:val="single" w:sz="6" w:space="1" w:color="00429B"/>
        </w:pBdr>
      </w:pPr>
      <w:r>
        <w:rPr>
          <w:rFonts w:ascii="Calibri" w:hAnsi="Calibri"/>
          <w:b/>
          <w:color w:val="00429B"/>
          <w:sz w:val="26"/>
        </w:rPr>
        <w:t>9. TECHNOLOGY VENDOR LANDSCAPE</w:t>
      </w:r>
    </w:p>
    <w:p>
      <w:pPr>
        <w:pStyle w:val="ListBullet"/>
        <w:spacing w:after="60"/>
      </w:pPr>
      <w:r>
        <w:rPr>
          <w:rFonts w:ascii="Calibri" w:hAnsi="Calibri"/>
          <w:sz w:val="21"/>
        </w:rPr>
        <w:t>SimCorp (now a Deutsche Boerse company) released version 7.5 of its Dimension platform, featuring enhanced private markets portfolio management modules and a native integration with Clearstream's D7 digital post-trade platform for tokenised securities; the release reinforces SimCorp's positioning as the front-to-back platform of choice for large asset owners and is relevant to any RBC IS clients evaluating technology consolidation.</w:t>
      </w:r>
    </w:p>
    <w:p>
      <w:pPr>
        <w:pStyle w:val="ListBullet"/>
        <w:spacing w:after="60"/>
      </w:pPr>
      <w:r>
        <w:rPr>
          <w:rFonts w:ascii="Calibri" w:hAnsi="Calibri"/>
          <w:sz w:val="21"/>
        </w:rPr>
        <w:t>SS&amp;C Technologies announced the general availability of its AI-powered transfer agency platform, SS&amp;C Aloha TA, which deploys machine learning for AML/KYC screening, automated shareholder correspondence, and predictive analytics on redemption patterns; the product targets fund administrators in Luxembourg and Dublin and competes directly with existing solutions from FIS and Broadridge.</w:t>
      </w:r>
    </w:p>
    <w:p>
      <w:pPr>
        <w:pStyle w:val="ListBullet"/>
        <w:spacing w:after="60"/>
      </w:pPr>
      <w:r>
        <w:rPr>
          <w:rFonts w:ascii="Calibri" w:hAnsi="Calibri"/>
          <w:sz w:val="21"/>
        </w:rPr>
        <w:t>Broadridge expanded its partnership with Northern Trust (as noted in Section 4) for private markets administration and separately announced the acquisition of a UK-based RegTech firm specialising in EMIR and SFTR reporting automation, strengthening its post-trade regulatory reporting suite and creating potential integration opportunities for custodians currently using Broadridge's global proxy and corporate actions platforms.</w:t>
      </w:r>
    </w:p>
    <w:p>
      <w:pPr>
        <w:pStyle w:val="ListBullet"/>
        <w:spacing w:after="60"/>
      </w:pPr>
      <w:r>
        <w:rPr>
          <w:rFonts w:ascii="Calibri" w:hAnsi="Calibri"/>
          <w:sz w:val="21"/>
        </w:rPr>
        <w:t>FIS Global continued the strategic repositioning announced in late 2025, confirming the spin-off timeline for its capital markets technology division (expected to operate independently by Q3 2026); the carve-out raises transition risk for existing custody and fund administration clients on FIS platforms and warrants monitoring by RBC IS technology teams.</w:t>
      </w:r>
    </w:p>
    <w:p>
      <w:pPr>
        <w:pStyle w:val="ListBullet"/>
        <w:spacing w:after="60"/>
      </w:pPr>
      <w:r>
        <w:rPr>
          <w:rFonts w:ascii="Calibri" w:hAnsi="Calibri"/>
          <w:sz w:val="21"/>
        </w:rPr>
        <w:t>Temenos launched an AI-driven wealth and fund administration module within its Transact platform, targeting mid-tier banks and wealth managers in Europe and Asia-Pacific; while not a direct competitor to RBC IS's core platforms, it signals further commoditisation of basic fund accounting capabilities.</w:t>
      </w:r>
    </w:p>
    <w:p>
      <w:pPr>
        <w:pStyle w:val="ListBullet"/>
        <w:spacing w:after="60"/>
      </w:pPr>
      <w:r>
        <w:rPr>
          <w:rFonts w:ascii="Calibri" w:hAnsi="Calibri"/>
          <w:sz w:val="21"/>
        </w:rPr>
        <w:t>Nasdaq Financial Technology (formerly Calypso and Cinnober) expanded its post-trade risk management suite with a real-time margin simulation tool designed for central counterparties and clearing members, which may be adopted by CCPs servicing markets where RBC IS acts as a direct clearing participant.</w:t>
      </w:r>
    </w:p>
    <w:p>
      <w:pPr>
        <w:pStyle w:val="ListBullet"/>
        <w:spacing w:after="60"/>
      </w:pPr>
      <w:r>
        <w:rPr>
          <w:rFonts w:ascii="Calibri" w:hAnsi="Calibri"/>
          <w:sz w:val="21"/>
        </w:rPr>
        <w:t>SWIFT released version 3.0 of its Transaction Manager platform, incorporating multi-chain DLT connectivity as demonstrated in its Phase 2 interoperability pilot, and announced an accelerated migration timeline for ISO 20022 compliance in securities settlement messaging, with full cutover for CBPR+ securities messages targeted for November 2026; RBC IS messaging and connectivity teams should ensure readiness.</w:t>
      </w:r>
    </w:p>
    <w:p>
      <w:pPr>
        <w:pStyle w:val="ListBullet"/>
        <w:spacing w:after="60"/>
      </w:pPr>
      <w:r>
        <w:rPr>
          <w:rFonts w:ascii="Calibri" w:hAnsi="Calibri"/>
          <w:sz w:val="21"/>
        </w:rPr>
        <w:t>Taskize expanded its inter-firm workflow collaboration tool with a new AI-powered exception resolution module co-developed with a consortium of six global custodians, aimed at reducing settlement fail investigation times by up to 50%; the tool is expected to enter production with early adopters in Q2 2026.</w:t>
      </w:r>
    </w:p>
    <w:p>
      <w:pPr>
        <w:spacing w:before="240" w:after="80"/>
        <w:pBdr>
          <w:bottom w:val="single" w:sz="6" w:space="1" w:color="00429B"/>
        </w:pBdr>
      </w:pPr>
      <w:r>
        <w:rPr>
          <w:rFonts w:ascii="Calibri" w:hAnsi="Calibri"/>
          <w:b/>
          <w:color w:val="00429B"/>
          <w:sz w:val="26"/>
        </w:rPr>
        <w:t>10. KEY MACRO ECONOMIC INDICES</w:t>
      </w:r>
    </w:p>
    <w:tbl>
      <w:tblPr>
        <w:tblStyle w:val="TableGrid"/>
        <w:tblW w:type="auto" w:w="0"/>
        <w:tblLook w:firstColumn="1" w:firstRow="1" w:lastColumn="0" w:lastRow="0" w:noHBand="0" w:noVBand="1" w:val="04A0"/>
      </w:tblPr>
      <w:tblGrid>
        <w:gridCol w:w="2437"/>
        <w:gridCol w:w="2437"/>
        <w:gridCol w:w="2437"/>
        <w:gridCol w:w="2437"/>
      </w:tblGrid>
      <w:tr>
        <w:tc>
          <w:tcPr>
            <w:tcW w:type="dxa" w:w="2437"/>
            <w:shd w:val="clear" w:color="auto" w:fill="00429B"/>
          </w:tcPr>
          <w:p>
            <w:pPr>
              <w:spacing w:after="40" w:before="40"/>
            </w:pPr>
            <w:r>
              <w:rPr>
                <w:rFonts w:ascii="Calibri" w:hAnsi="Calibri"/>
                <w:b/>
                <w:color w:val="FFFFFF"/>
                <w:sz w:val="20"/>
              </w:rPr>
              <w:t>Index</w:t>
            </w:r>
          </w:p>
        </w:tc>
        <w:tc>
          <w:tcPr>
            <w:tcW w:type="dxa" w:w="2437"/>
            <w:shd w:val="clear" w:color="auto" w:fill="00429B"/>
          </w:tcPr>
          <w:p>
            <w:pPr>
              <w:spacing w:after="40" w:before="40"/>
            </w:pPr>
            <w:r>
              <w:rPr>
                <w:rFonts w:ascii="Calibri" w:hAnsi="Calibri"/>
                <w:b/>
                <w:color w:val="FFFFFF"/>
                <w:sz w:val="20"/>
              </w:rPr>
              <w:t>Level</w:t>
            </w:r>
          </w:p>
        </w:tc>
        <w:tc>
          <w:tcPr>
            <w:tcW w:type="dxa" w:w="2437"/>
            <w:shd w:val="clear" w:color="auto" w:fill="00429B"/>
          </w:tcPr>
          <w:p>
            <w:pPr>
              <w:spacing w:after="40" w:before="40"/>
            </w:pPr>
            <w:r>
              <w:rPr>
                <w:rFonts w:ascii="Calibri" w:hAnsi="Calibri"/>
                <w:b/>
                <w:color w:val="FFFFFF"/>
                <w:sz w:val="20"/>
              </w:rPr>
              <w:t>Month Change</w:t>
            </w:r>
          </w:p>
        </w:tc>
        <w:tc>
          <w:tcPr>
            <w:tcW w:type="dxa" w:w="2437"/>
            <w:shd w:val="clear" w:color="auto" w:fill="00429B"/>
          </w:tcPr>
          <w:p>
            <w:pPr>
              <w:spacing w:after="40" w:before="40"/>
            </w:pPr>
            <w:r>
              <w:rPr>
                <w:rFonts w:ascii="Calibri" w:hAnsi="Calibri"/>
                <w:b/>
                <w:color w:val="FFFFFF"/>
                <w:sz w:val="20"/>
              </w:rPr>
              <w:t>YTD Change</w:t>
            </w:r>
          </w:p>
        </w:tc>
      </w:tr>
      <w:tr>
        <w:tc>
          <w:tcPr>
            <w:tcW w:type="dxa" w:w="2437"/>
          </w:tcPr>
          <w:p>
            <w:pPr>
              <w:spacing w:after="40" w:before="40"/>
            </w:pPr>
            <w:r>
              <w:rPr>
                <w:rFonts w:ascii="Calibri" w:hAnsi="Calibri"/>
                <w:b w:val="0"/>
                <w:sz w:val="20"/>
              </w:rPr>
              <w:t>S&amp;P 500</w:t>
            </w:r>
          </w:p>
        </w:tc>
        <w:tc>
          <w:tcPr>
            <w:tcW w:type="dxa" w:w="2437"/>
          </w:tcPr>
          <w:p>
            <w:pPr>
              <w:spacing w:after="40" w:before="40"/>
            </w:pPr>
            <w:r>
              <w:rPr>
                <w:rFonts w:ascii="Calibri" w:hAnsi="Calibri"/>
                <w:b w:val="0"/>
                <w:sz w:val="20"/>
              </w:rPr>
              <w:t>5,650</w:t>
            </w:r>
          </w:p>
        </w:tc>
        <w:tc>
          <w:tcPr>
            <w:tcW w:type="dxa" w:w="2437"/>
          </w:tcPr>
          <w:p>
            <w:pPr>
              <w:spacing w:after="40" w:before="40"/>
            </w:pPr>
            <w:r>
              <w:rPr>
                <w:rFonts w:ascii="Calibri" w:hAnsi="Calibri"/>
                <w:b w:val="0"/>
                <w:color w:val="CC0000"/>
                <w:sz w:val="20"/>
              </w:rPr>
              <w:t>-3.5%</w:t>
            </w:r>
          </w:p>
        </w:tc>
        <w:tc>
          <w:tcPr>
            <w:tcW w:type="dxa" w:w="2437"/>
          </w:tcPr>
          <w:p>
            <w:pPr>
              <w:spacing w:after="40" w:before="40"/>
            </w:pPr>
            <w:r>
              <w:rPr>
                <w:rFonts w:ascii="Calibri" w:hAnsi="Calibri"/>
                <w:b w:val="0"/>
                <w:color w:val="CC0000"/>
                <w:sz w:val="20"/>
              </w:rPr>
              <w:t>-1.8%</w:t>
            </w:r>
          </w:p>
        </w:tc>
      </w:tr>
      <w:tr>
        <w:tc>
          <w:tcPr>
            <w:tcW w:type="dxa" w:w="2437"/>
            <w:shd w:val="clear" w:color="auto" w:fill="EEF3FA"/>
          </w:tcPr>
          <w:p>
            <w:pPr>
              <w:spacing w:after="40" w:before="40"/>
            </w:pPr>
            <w:r>
              <w:rPr>
                <w:rFonts w:ascii="Calibri" w:hAnsi="Calibri"/>
                <w:b w:val="0"/>
                <w:sz w:val="20"/>
              </w:rPr>
              <w:t>FTSE 100</w:t>
            </w:r>
          </w:p>
        </w:tc>
        <w:tc>
          <w:tcPr>
            <w:tcW w:type="dxa" w:w="2437"/>
            <w:shd w:val="clear" w:color="auto" w:fill="EEF3FA"/>
          </w:tcPr>
          <w:p>
            <w:pPr>
              <w:spacing w:after="40" w:before="40"/>
            </w:pPr>
            <w:r>
              <w:rPr>
                <w:rFonts w:ascii="Calibri" w:hAnsi="Calibri"/>
                <w:b w:val="0"/>
                <w:sz w:val="20"/>
              </w:rPr>
              <w:t>8,150</w:t>
            </w:r>
          </w:p>
        </w:tc>
        <w:tc>
          <w:tcPr>
            <w:tcW w:type="dxa" w:w="2437"/>
            <w:shd w:val="clear" w:color="auto" w:fill="EEF3FA"/>
          </w:tcPr>
          <w:p>
            <w:pPr>
              <w:spacing w:after="40" w:before="40"/>
            </w:pPr>
            <w:r>
              <w:rPr>
                <w:rFonts w:ascii="Calibri" w:hAnsi="Calibri"/>
                <w:b w:val="0"/>
                <w:color w:val="CC0000"/>
                <w:sz w:val="20"/>
              </w:rPr>
              <w:t>-2.8%</w:t>
            </w:r>
          </w:p>
        </w:tc>
        <w:tc>
          <w:tcPr>
            <w:tcW w:type="dxa" w:w="2437"/>
            <w:shd w:val="clear" w:color="auto" w:fill="EEF3FA"/>
          </w:tcPr>
          <w:p>
            <w:pPr>
              <w:spacing w:after="40" w:before="40"/>
            </w:pPr>
            <w:r>
              <w:rPr>
                <w:rFonts w:ascii="Calibri" w:hAnsi="Calibri"/>
                <w:b w:val="0"/>
                <w:color w:val="007A33"/>
                <w:sz w:val="20"/>
              </w:rPr>
              <w:t>+0.5%</w:t>
            </w:r>
          </w:p>
        </w:tc>
      </w:tr>
      <w:tr>
        <w:tc>
          <w:tcPr>
            <w:tcW w:type="dxa" w:w="2437"/>
          </w:tcPr>
          <w:p>
            <w:pPr>
              <w:spacing w:after="40" w:before="40"/>
            </w:pPr>
            <w:r>
              <w:rPr>
                <w:rFonts w:ascii="Calibri" w:hAnsi="Calibri"/>
                <w:b w:val="0"/>
                <w:sz w:val="20"/>
              </w:rPr>
              <w:t>EURO STOXX 50</w:t>
            </w:r>
          </w:p>
        </w:tc>
        <w:tc>
          <w:tcPr>
            <w:tcW w:type="dxa" w:w="2437"/>
          </w:tcPr>
          <w:p>
            <w:pPr>
              <w:spacing w:after="40" w:before="40"/>
            </w:pPr>
            <w:r>
              <w:rPr>
                <w:rFonts w:ascii="Calibri" w:hAnsi="Calibri"/>
                <w:b w:val="0"/>
                <w:sz w:val="20"/>
              </w:rPr>
              <w:t>4,850</w:t>
            </w:r>
          </w:p>
        </w:tc>
        <w:tc>
          <w:tcPr>
            <w:tcW w:type="dxa" w:w="2437"/>
          </w:tcPr>
          <w:p>
            <w:pPr>
              <w:spacing w:after="40" w:before="40"/>
            </w:pPr>
            <w:r>
              <w:rPr>
                <w:rFonts w:ascii="Calibri" w:hAnsi="Calibri"/>
                <w:b w:val="0"/>
                <w:color w:val="CC0000"/>
                <w:sz w:val="20"/>
              </w:rPr>
              <w:t>-4.0%</w:t>
            </w:r>
          </w:p>
        </w:tc>
        <w:tc>
          <w:tcPr>
            <w:tcW w:type="dxa" w:w="2437"/>
          </w:tcPr>
          <w:p>
            <w:pPr>
              <w:spacing w:after="40" w:before="40"/>
            </w:pPr>
            <w:r>
              <w:rPr>
                <w:rFonts w:ascii="Calibri" w:hAnsi="Calibri"/>
                <w:b w:val="0"/>
                <w:color w:val="007A33"/>
                <w:sz w:val="20"/>
              </w:rPr>
              <w:t>+1.2%</w:t>
            </w:r>
          </w:p>
        </w:tc>
      </w:tr>
      <w:tr>
        <w:tc>
          <w:tcPr>
            <w:tcW w:type="dxa" w:w="2437"/>
            <w:shd w:val="clear" w:color="auto" w:fill="EEF3FA"/>
          </w:tcPr>
          <w:p>
            <w:pPr>
              <w:spacing w:after="40" w:before="40"/>
            </w:pPr>
            <w:r>
              <w:rPr>
                <w:rFonts w:ascii="Calibri" w:hAnsi="Calibri"/>
                <w:b w:val="0"/>
                <w:sz w:val="20"/>
              </w:rPr>
              <w:t>Nikkei 225</w:t>
            </w:r>
          </w:p>
        </w:tc>
        <w:tc>
          <w:tcPr>
            <w:tcW w:type="dxa" w:w="2437"/>
            <w:shd w:val="clear" w:color="auto" w:fill="EEF3FA"/>
          </w:tcPr>
          <w:p>
            <w:pPr>
              <w:spacing w:after="40" w:before="40"/>
            </w:pPr>
            <w:r>
              <w:rPr>
                <w:rFonts w:ascii="Calibri" w:hAnsi="Calibri"/>
                <w:b w:val="0"/>
                <w:sz w:val="20"/>
              </w:rPr>
              <w:t>38,200</w:t>
            </w:r>
          </w:p>
        </w:tc>
        <w:tc>
          <w:tcPr>
            <w:tcW w:type="dxa" w:w="2437"/>
            <w:shd w:val="clear" w:color="auto" w:fill="EEF3FA"/>
          </w:tcPr>
          <w:p>
            <w:pPr>
              <w:spacing w:after="40" w:before="40"/>
            </w:pPr>
            <w:r>
              <w:rPr>
                <w:rFonts w:ascii="Calibri" w:hAnsi="Calibri"/>
                <w:b w:val="0"/>
                <w:color w:val="CC0000"/>
                <w:sz w:val="20"/>
              </w:rPr>
              <w:t>-3.2%</w:t>
            </w:r>
          </w:p>
        </w:tc>
        <w:tc>
          <w:tcPr>
            <w:tcW w:type="dxa" w:w="2437"/>
            <w:shd w:val="clear" w:color="auto" w:fill="EEF3FA"/>
          </w:tcPr>
          <w:p>
            <w:pPr>
              <w:spacing w:after="40" w:before="40"/>
            </w:pPr>
            <w:r>
              <w:rPr>
                <w:rFonts w:ascii="Calibri" w:hAnsi="Calibri"/>
                <w:b w:val="0"/>
                <w:color w:val="CC0000"/>
                <w:sz w:val="20"/>
              </w:rPr>
              <w:t>-2.5%</w:t>
            </w:r>
          </w:p>
        </w:tc>
      </w:tr>
      <w:tr>
        <w:tc>
          <w:tcPr>
            <w:tcW w:type="dxa" w:w="2437"/>
          </w:tcPr>
          <w:p>
            <w:pPr>
              <w:spacing w:after="40" w:before="40"/>
            </w:pPr>
            <w:r>
              <w:rPr>
                <w:rFonts w:ascii="Calibri" w:hAnsi="Calibri"/>
                <w:b w:val="0"/>
                <w:sz w:val="20"/>
              </w:rPr>
              <w:t>EUR/USD</w:t>
            </w:r>
          </w:p>
        </w:tc>
        <w:tc>
          <w:tcPr>
            <w:tcW w:type="dxa" w:w="2437"/>
          </w:tcPr>
          <w:p>
            <w:pPr>
              <w:spacing w:after="40" w:before="40"/>
            </w:pPr>
            <w:r>
              <w:rPr>
                <w:rFonts w:ascii="Calibri" w:hAnsi="Calibri"/>
                <w:b w:val="0"/>
                <w:sz w:val="20"/>
              </w:rPr>
              <w:t>1.075</w:t>
            </w:r>
          </w:p>
        </w:tc>
        <w:tc>
          <w:tcPr>
            <w:tcW w:type="dxa" w:w="2437"/>
          </w:tcPr>
          <w:p>
            <w:pPr>
              <w:spacing w:after="40" w:before="40"/>
            </w:pPr>
            <w:r>
              <w:rPr>
                <w:rFonts w:ascii="Calibri" w:hAnsi="Calibri"/>
                <w:b w:val="0"/>
                <w:color w:val="CC0000"/>
                <w:sz w:val="20"/>
              </w:rPr>
              <w:t>-1.0%</w:t>
            </w:r>
          </w:p>
        </w:tc>
        <w:tc>
          <w:tcPr>
            <w:tcW w:type="dxa" w:w="2437"/>
          </w:tcPr>
          <w:p>
            <w:pPr>
              <w:spacing w:after="40" w:before="40"/>
            </w:pPr>
            <w:r>
              <w:rPr>
                <w:rFonts w:ascii="Calibri" w:hAnsi="Calibri"/>
                <w:b w:val="0"/>
                <w:color w:val="007A33"/>
                <w:sz w:val="20"/>
              </w:rPr>
              <w:t>+0.8%</w:t>
            </w:r>
          </w:p>
        </w:tc>
      </w:tr>
      <w:tr>
        <w:tc>
          <w:tcPr>
            <w:tcW w:type="dxa" w:w="2437"/>
            <w:shd w:val="clear" w:color="auto" w:fill="EEF3FA"/>
          </w:tcPr>
          <w:p>
            <w:pPr>
              <w:spacing w:after="40" w:before="40"/>
            </w:pPr>
            <w:r>
              <w:rPr>
                <w:rFonts w:ascii="Calibri" w:hAnsi="Calibri"/>
                <w:b w:val="0"/>
                <w:sz w:val="20"/>
              </w:rPr>
              <w:t>GBP/USD</w:t>
            </w:r>
          </w:p>
        </w:tc>
        <w:tc>
          <w:tcPr>
            <w:tcW w:type="dxa" w:w="2437"/>
            <w:shd w:val="clear" w:color="auto" w:fill="EEF3FA"/>
          </w:tcPr>
          <w:p>
            <w:pPr>
              <w:spacing w:after="40" w:before="40"/>
            </w:pPr>
            <w:r>
              <w:rPr>
                <w:rFonts w:ascii="Calibri" w:hAnsi="Calibri"/>
                <w:b w:val="0"/>
                <w:sz w:val="20"/>
              </w:rPr>
              <w:t>1.265</w:t>
            </w:r>
          </w:p>
        </w:tc>
        <w:tc>
          <w:tcPr>
            <w:tcW w:type="dxa" w:w="2437"/>
            <w:shd w:val="clear" w:color="auto" w:fill="EEF3FA"/>
          </w:tcPr>
          <w:p>
            <w:pPr>
              <w:spacing w:after="40" w:before="40"/>
            </w:pPr>
            <w:r>
              <w:rPr>
                <w:rFonts w:ascii="Calibri" w:hAnsi="Calibri"/>
                <w:b w:val="0"/>
                <w:color w:val="CC0000"/>
                <w:sz w:val="20"/>
              </w:rPr>
              <w:t>-0.8%</w:t>
            </w:r>
          </w:p>
        </w:tc>
        <w:tc>
          <w:tcPr>
            <w:tcW w:type="dxa" w:w="2437"/>
            <w:shd w:val="clear" w:color="auto" w:fill="EEF3FA"/>
          </w:tcPr>
          <w:p>
            <w:pPr>
              <w:spacing w:after="40" w:before="40"/>
            </w:pPr>
            <w:r>
              <w:rPr>
                <w:rFonts w:ascii="Calibri" w:hAnsi="Calibri"/>
                <w:b w:val="0"/>
                <w:color w:val="007A33"/>
                <w:sz w:val="20"/>
              </w:rPr>
              <w:t>+0.3%</w:t>
            </w:r>
          </w:p>
        </w:tc>
      </w:tr>
      <w:tr>
        <w:tc>
          <w:tcPr>
            <w:tcW w:type="dxa" w:w="2437"/>
          </w:tcPr>
          <w:p>
            <w:pPr>
              <w:spacing w:after="40" w:before="40"/>
            </w:pPr>
            <w:r>
              <w:rPr>
                <w:rFonts w:ascii="Calibri" w:hAnsi="Calibri"/>
                <w:b w:val="0"/>
                <w:sz w:val="20"/>
              </w:rPr>
              <w:t>USD/JPY</w:t>
            </w:r>
          </w:p>
        </w:tc>
        <w:tc>
          <w:tcPr>
            <w:tcW w:type="dxa" w:w="2437"/>
          </w:tcPr>
          <w:p>
            <w:pPr>
              <w:spacing w:after="40" w:before="40"/>
            </w:pPr>
            <w:r>
              <w:rPr>
                <w:rFonts w:ascii="Calibri" w:hAnsi="Calibri"/>
                <w:b w:val="0"/>
                <w:sz w:val="20"/>
              </w:rPr>
              <w:t>146.5</w:t>
            </w:r>
          </w:p>
        </w:tc>
        <w:tc>
          <w:tcPr>
            <w:tcW w:type="dxa" w:w="2437"/>
          </w:tcPr>
          <w:p>
            <w:pPr>
              <w:spacing w:after="40" w:before="40"/>
            </w:pPr>
            <w:r>
              <w:rPr>
                <w:rFonts w:ascii="Calibri" w:hAnsi="Calibri"/>
                <w:b w:val="0"/>
                <w:color w:val="CC0000"/>
                <w:sz w:val="20"/>
              </w:rPr>
              <w:t>-2.0%</w:t>
            </w:r>
          </w:p>
        </w:tc>
        <w:tc>
          <w:tcPr>
            <w:tcW w:type="dxa" w:w="2437"/>
          </w:tcPr>
          <w:p>
            <w:pPr>
              <w:spacing w:after="40" w:before="40"/>
            </w:pPr>
            <w:r>
              <w:rPr>
                <w:rFonts w:ascii="Calibri" w:hAnsi="Calibri"/>
                <w:b w:val="0"/>
                <w:color w:val="CC0000"/>
                <w:sz w:val="20"/>
              </w:rPr>
              <w:t>-1.5%</w:t>
            </w:r>
          </w:p>
        </w:tc>
      </w:tr>
      <w:tr>
        <w:tc>
          <w:tcPr>
            <w:tcW w:type="dxa" w:w="2437"/>
            <w:shd w:val="clear" w:color="auto" w:fill="EEF3FA"/>
          </w:tcPr>
          <w:p>
            <w:pPr>
              <w:spacing w:after="40" w:before="40"/>
            </w:pPr>
            <w:r>
              <w:rPr>
                <w:rFonts w:ascii="Calibri" w:hAnsi="Calibri"/>
                <w:b w:val="0"/>
                <w:sz w:val="20"/>
              </w:rPr>
              <w:t>10Y UST Yield</w:t>
            </w:r>
          </w:p>
        </w:tc>
        <w:tc>
          <w:tcPr>
            <w:tcW w:type="dxa" w:w="2437"/>
            <w:shd w:val="clear" w:color="auto" w:fill="EEF3FA"/>
          </w:tcPr>
          <w:p>
            <w:pPr>
              <w:spacing w:after="40" w:before="40"/>
            </w:pPr>
            <w:r>
              <w:rPr>
                <w:rFonts w:ascii="Calibri" w:hAnsi="Calibri"/>
                <w:b w:val="0"/>
                <w:sz w:val="20"/>
              </w:rPr>
              <w:t>3.88%</w:t>
            </w:r>
          </w:p>
        </w:tc>
        <w:tc>
          <w:tcPr>
            <w:tcW w:type="dxa" w:w="2437"/>
            <w:shd w:val="clear" w:color="auto" w:fill="EEF3FA"/>
          </w:tcPr>
          <w:p>
            <w:pPr>
              <w:spacing w:after="40" w:before="40"/>
            </w:pPr>
            <w:r>
              <w:rPr>
                <w:rFonts w:ascii="Calibri" w:hAnsi="Calibri"/>
                <w:b w:val="0"/>
                <w:color w:val="CC0000"/>
                <w:sz w:val="20"/>
              </w:rPr>
              <w:t>-25 bps</w:t>
            </w:r>
          </w:p>
        </w:tc>
        <w:tc>
          <w:tcPr>
            <w:tcW w:type="dxa" w:w="2437"/>
            <w:shd w:val="clear" w:color="auto" w:fill="EEF3FA"/>
          </w:tcPr>
          <w:p>
            <w:pPr>
              <w:spacing w:after="40" w:before="40"/>
            </w:pPr>
            <w:r>
              <w:rPr>
                <w:rFonts w:ascii="Calibri" w:hAnsi="Calibri"/>
                <w:b w:val="0"/>
                <w:color w:val="CC0000"/>
                <w:sz w:val="20"/>
              </w:rPr>
              <w:t>-42 bps</w:t>
            </w:r>
          </w:p>
        </w:tc>
      </w:tr>
      <w:tr>
        <w:tc>
          <w:tcPr>
            <w:tcW w:type="dxa" w:w="2437"/>
          </w:tcPr>
          <w:p>
            <w:pPr>
              <w:spacing w:after="40" w:before="40"/>
            </w:pPr>
            <w:r>
              <w:rPr>
                <w:rFonts w:ascii="Calibri" w:hAnsi="Calibri"/>
                <w:b w:val="0"/>
                <w:sz w:val="20"/>
              </w:rPr>
              <w:t>10Y Bund Yield</w:t>
            </w:r>
          </w:p>
        </w:tc>
        <w:tc>
          <w:tcPr>
            <w:tcW w:type="dxa" w:w="2437"/>
          </w:tcPr>
          <w:p>
            <w:pPr>
              <w:spacing w:after="40" w:before="40"/>
            </w:pPr>
            <w:r>
              <w:rPr>
                <w:rFonts w:ascii="Calibri" w:hAnsi="Calibri"/>
                <w:b w:val="0"/>
                <w:sz w:val="20"/>
              </w:rPr>
              <w:t>2.15%</w:t>
            </w:r>
          </w:p>
        </w:tc>
        <w:tc>
          <w:tcPr>
            <w:tcW w:type="dxa" w:w="2437"/>
          </w:tcPr>
          <w:p>
            <w:pPr>
              <w:spacing w:after="40" w:before="40"/>
            </w:pPr>
            <w:r>
              <w:rPr>
                <w:rFonts w:ascii="Calibri" w:hAnsi="Calibri"/>
                <w:b w:val="0"/>
                <w:color w:val="CC0000"/>
                <w:sz w:val="20"/>
              </w:rPr>
              <w:t>-18 bps</w:t>
            </w:r>
          </w:p>
        </w:tc>
        <w:tc>
          <w:tcPr>
            <w:tcW w:type="dxa" w:w="2437"/>
          </w:tcPr>
          <w:p>
            <w:pPr>
              <w:spacing w:after="40" w:before="40"/>
            </w:pPr>
            <w:r>
              <w:rPr>
                <w:rFonts w:ascii="Calibri" w:hAnsi="Calibri"/>
                <w:b w:val="0"/>
                <w:color w:val="CC0000"/>
                <w:sz w:val="20"/>
              </w:rPr>
              <w:t>-20 bps</w:t>
            </w:r>
          </w:p>
        </w:tc>
      </w:tr>
      <w:tr>
        <w:tc>
          <w:tcPr>
            <w:tcW w:type="dxa" w:w="2437"/>
            <w:shd w:val="clear" w:color="auto" w:fill="EEF3FA"/>
          </w:tcPr>
          <w:p>
            <w:pPr>
              <w:spacing w:after="40" w:before="40"/>
            </w:pPr>
            <w:r>
              <w:rPr>
                <w:rFonts w:ascii="Calibri" w:hAnsi="Calibri"/>
                <w:b w:val="0"/>
                <w:sz w:val="20"/>
              </w:rPr>
              <w:t>Brent Crude</w:t>
            </w:r>
          </w:p>
        </w:tc>
        <w:tc>
          <w:tcPr>
            <w:tcW w:type="dxa" w:w="2437"/>
            <w:shd w:val="clear" w:color="auto" w:fill="EEF3FA"/>
          </w:tcPr>
          <w:p>
            <w:pPr>
              <w:spacing w:after="40" w:before="40"/>
            </w:pPr>
            <w:r>
              <w:rPr>
                <w:rFonts w:ascii="Calibri" w:hAnsi="Calibri"/>
                <w:b w:val="0"/>
                <w:sz w:val="20"/>
              </w:rPr>
              <w:t>74.00</w:t>
            </w:r>
          </w:p>
        </w:tc>
        <w:tc>
          <w:tcPr>
            <w:tcW w:type="dxa" w:w="2437"/>
            <w:shd w:val="clear" w:color="auto" w:fill="EEF3FA"/>
          </w:tcPr>
          <w:p>
            <w:pPr>
              <w:spacing w:after="40" w:before="40"/>
            </w:pPr>
            <w:r>
              <w:rPr>
                <w:rFonts w:ascii="Calibri" w:hAnsi="Calibri"/>
                <w:b w:val="0"/>
                <w:color w:val="CC0000"/>
                <w:sz w:val="20"/>
              </w:rPr>
              <w:t>-5.0%</w:t>
            </w:r>
          </w:p>
        </w:tc>
        <w:tc>
          <w:tcPr>
            <w:tcW w:type="dxa" w:w="2437"/>
            <w:shd w:val="clear" w:color="auto" w:fill="EEF3FA"/>
          </w:tcPr>
          <w:p>
            <w:pPr>
              <w:spacing w:after="40" w:before="40"/>
            </w:pPr>
            <w:r>
              <w:rPr>
                <w:rFonts w:ascii="Calibri" w:hAnsi="Calibri"/>
                <w:b w:val="0"/>
                <w:color w:val="CC0000"/>
                <w:sz w:val="20"/>
              </w:rPr>
              <w:t>-3.5%</w:t>
            </w:r>
          </w:p>
        </w:tc>
      </w:tr>
      <w:tr>
        <w:tc>
          <w:tcPr>
            <w:tcW w:type="dxa" w:w="2437"/>
          </w:tcPr>
          <w:p>
            <w:pPr>
              <w:spacing w:after="40" w:before="40"/>
            </w:pPr>
            <w:r>
              <w:rPr>
                <w:rFonts w:ascii="Calibri" w:hAnsi="Calibri"/>
                <w:b w:val="0"/>
                <w:sz w:val="20"/>
              </w:rPr>
              <w:t>Gold</w:t>
            </w:r>
          </w:p>
        </w:tc>
        <w:tc>
          <w:tcPr>
            <w:tcW w:type="dxa" w:w="2437"/>
          </w:tcPr>
          <w:p>
            <w:pPr>
              <w:spacing w:after="40" w:before="40"/>
            </w:pPr>
            <w:r>
              <w:rPr>
                <w:rFonts w:ascii="Calibri" w:hAnsi="Calibri"/>
                <w:b w:val="0"/>
                <w:sz w:val="20"/>
              </w:rPr>
              <w:t>2,260</w:t>
            </w:r>
          </w:p>
        </w:tc>
        <w:tc>
          <w:tcPr>
            <w:tcW w:type="dxa" w:w="2437"/>
          </w:tcPr>
          <w:p>
            <w:pPr>
              <w:spacing w:after="40" w:before="40"/>
            </w:pPr>
            <w:r>
              <w:rPr>
                <w:rFonts w:ascii="Calibri" w:hAnsi="Calibri"/>
                <w:b w:val="0"/>
                <w:color w:val="007A33"/>
                <w:sz w:val="20"/>
              </w:rPr>
              <w:t>+4.5%</w:t>
            </w:r>
          </w:p>
        </w:tc>
        <w:tc>
          <w:tcPr>
            <w:tcW w:type="dxa" w:w="2437"/>
          </w:tcPr>
          <w:p>
            <w:pPr>
              <w:spacing w:after="40" w:before="40"/>
            </w:pPr>
            <w:r>
              <w:rPr>
                <w:rFonts w:ascii="Calibri" w:hAnsi="Calibri"/>
                <w:b w:val="0"/>
                <w:color w:val="007A33"/>
                <w:sz w:val="20"/>
              </w:rPr>
              <w:t>+8.0%</w:t>
            </w:r>
          </w:p>
        </w:tc>
      </w:tr>
      <w:tr>
        <w:tc>
          <w:tcPr>
            <w:tcW w:type="dxa" w:w="2437"/>
            <w:shd w:val="clear" w:color="auto" w:fill="EEF3FA"/>
          </w:tcPr>
          <w:p>
            <w:pPr>
              <w:spacing w:after="40" w:before="40"/>
            </w:pPr>
            <w:r>
              <w:rPr>
                <w:rFonts w:ascii="Calibri" w:hAnsi="Calibri"/>
                <w:b w:val="0"/>
                <w:sz w:val="20"/>
              </w:rPr>
              <w:t>VIX</w:t>
            </w:r>
          </w:p>
        </w:tc>
        <w:tc>
          <w:tcPr>
            <w:tcW w:type="dxa" w:w="2437"/>
            <w:shd w:val="clear" w:color="auto" w:fill="EEF3FA"/>
          </w:tcPr>
          <w:p>
            <w:pPr>
              <w:spacing w:after="40" w:before="40"/>
            </w:pPr>
            <w:r>
              <w:rPr>
                <w:rFonts w:ascii="Calibri" w:hAnsi="Calibri"/>
                <w:b w:val="0"/>
                <w:sz w:val="20"/>
              </w:rPr>
              <w:t>22.5</w:t>
            </w:r>
          </w:p>
        </w:tc>
        <w:tc>
          <w:tcPr>
            <w:tcW w:type="dxa" w:w="2437"/>
            <w:shd w:val="clear" w:color="auto" w:fill="EEF3FA"/>
          </w:tcPr>
          <w:p>
            <w:pPr>
              <w:spacing w:after="40" w:before="40"/>
            </w:pPr>
            <w:r>
              <w:rPr>
                <w:rFonts w:ascii="Calibri" w:hAnsi="Calibri"/>
                <w:b w:val="0"/>
                <w:color w:val="007A33"/>
                <w:sz w:val="20"/>
              </w:rPr>
              <w:t>+35%</w:t>
            </w:r>
          </w:p>
        </w:tc>
        <w:tc>
          <w:tcPr>
            <w:tcW w:type="dxa" w:w="2437"/>
            <w:shd w:val="clear" w:color="auto" w:fill="EEF3FA"/>
          </w:tcPr>
          <w:p>
            <w:pPr>
              <w:spacing w:after="40" w:before="40"/>
            </w:pPr>
            <w:r>
              <w:rPr>
                <w:rFonts w:ascii="Calibri" w:hAnsi="Calibri"/>
                <w:b w:val="0"/>
                <w:color w:val="007A33"/>
                <w:sz w:val="20"/>
              </w:rPr>
              <w:t>+28%</w:t>
            </w:r>
          </w:p>
        </w:tc>
      </w:tr>
    </w:tbl>
    <w:p>
      <w:pPr>
        <w:spacing w:before="240" w:after="80"/>
        <w:pBdr>
          <w:bottom w:val="single" w:sz="6" w:space="1" w:color="00429B"/>
        </w:pBdr>
      </w:pPr>
      <w:r>
        <w:rPr>
          <w:rFonts w:ascii="Calibri" w:hAnsi="Calibri"/>
          <w:b/>
          <w:color w:val="00429B"/>
          <w:sz w:val="26"/>
        </w:rPr>
        <w:t>11. CUSTODIAN &amp; PEER INSTITUTION NEWS</w:t>
      </w:r>
    </w:p>
    <w:tbl>
      <w:tblPr>
        <w:tblStyle w:val="TableGrid"/>
        <w:tblW w:type="auto" w:w="0"/>
        <w:tblLook w:firstColumn="1" w:firstRow="1" w:lastColumn="0" w:lastRow="0" w:noHBand="0" w:noVBand="1" w:val="04A0"/>
      </w:tblPr>
      <w:tblGrid>
        <w:gridCol w:w="3250"/>
        <w:gridCol w:w="3250"/>
        <w:gridCol w:w="3250"/>
      </w:tblGrid>
      <w:tr>
        <w:tc>
          <w:tcPr>
            <w:tcW w:type="dxa" w:w="3250"/>
            <w:shd w:val="clear" w:color="auto" w:fill="00429B"/>
          </w:tcPr>
          <w:p>
            <w:pPr>
              <w:spacing w:after="40" w:before="40"/>
            </w:pPr>
            <w:r>
              <w:rPr>
                <w:rFonts w:ascii="Calibri" w:hAnsi="Calibri"/>
                <w:b/>
                <w:color w:val="FFFFFF"/>
                <w:sz w:val="20"/>
              </w:rPr>
              <w:t>Institution</w:t>
            </w:r>
          </w:p>
        </w:tc>
        <w:tc>
          <w:tcPr>
            <w:tcW w:type="dxa" w:w="3250"/>
            <w:shd w:val="clear" w:color="auto" w:fill="00429B"/>
          </w:tcPr>
          <w:p>
            <w:pPr>
              <w:spacing w:after="40" w:before="40"/>
            </w:pPr>
            <w:r>
              <w:rPr>
                <w:rFonts w:ascii="Calibri" w:hAnsi="Calibri"/>
                <w:b/>
                <w:color w:val="FFFFFF"/>
                <w:sz w:val="20"/>
              </w:rPr>
              <w:t>Key Development</w:t>
            </w:r>
          </w:p>
        </w:tc>
        <w:tc>
          <w:tcPr>
            <w:tcW w:type="dxa" w:w="3250"/>
            <w:shd w:val="clear" w:color="auto" w:fill="00429B"/>
          </w:tcPr>
          <w:p>
            <w:pPr>
              <w:spacing w:after="40" w:before="40"/>
            </w:pPr>
            <w:r>
              <w:rPr>
                <w:rFonts w:ascii="Calibri" w:hAnsi="Calibri"/>
                <w:b/>
                <w:color w:val="FFFFFF"/>
                <w:sz w:val="20"/>
              </w:rPr>
              <w:t>Significance</w:t>
            </w:r>
          </w:p>
        </w:tc>
      </w:tr>
      <w:tr>
        <w:tc>
          <w:tcPr>
            <w:tcW w:type="dxa" w:w="3250"/>
          </w:tcPr>
          <w:p>
            <w:pPr>
              <w:spacing w:after="40" w:before="40"/>
            </w:pPr>
            <w:r>
              <w:rPr>
                <w:rFonts w:ascii="Calibri" w:hAnsi="Calibri"/>
                <w:b w:val="0"/>
                <w:sz w:val="20"/>
              </w:rPr>
              <w:t>BNY (Bank of New York Mellon)</w:t>
            </w:r>
          </w:p>
        </w:tc>
        <w:tc>
          <w:tcPr>
            <w:tcW w:type="dxa" w:w="3250"/>
          </w:tcPr>
          <w:p>
            <w:pPr>
              <w:spacing w:after="40" w:before="40"/>
            </w:pPr>
            <w:r>
              <w:rPr>
                <w:rFonts w:ascii="Calibri" w:hAnsi="Calibri"/>
                <w:b w:val="0"/>
                <w:sz w:val="20"/>
              </w:rPr>
              <w:t>Launched institutional tokenised collateral management service on its new DLT platform, enabling real-time mobilisation of tokenised Treasuries for margin and repo.</w:t>
            </w:r>
          </w:p>
        </w:tc>
        <w:tc>
          <w:tcPr>
            <w:tcW w:type="dxa" w:w="3250"/>
          </w:tcPr>
          <w:p>
            <w:pPr>
              <w:spacing w:after="40" w:before="40"/>
            </w:pPr>
            <w:r>
              <w:rPr>
                <w:rFonts w:ascii="Calibri" w:hAnsi="Calibri"/>
                <w:b w:val="0"/>
                <w:sz w:val="20"/>
              </w:rPr>
              <w:t>Positions BNY as first major custodian with production-grade tokenised collateral infrastructure; sets competitive benchmark for peers.</w:t>
            </w:r>
          </w:p>
        </w:tc>
      </w:tr>
      <w:tr>
        <w:tc>
          <w:tcPr>
            <w:tcW w:type="dxa" w:w="3250"/>
            <w:shd w:val="clear" w:color="auto" w:fill="EEF3FA"/>
          </w:tcPr>
          <w:p>
            <w:pPr>
              <w:spacing w:after="40" w:before="40"/>
            </w:pPr>
            <w:r>
              <w:rPr>
                <w:rFonts w:ascii="Calibri" w:hAnsi="Calibri"/>
                <w:b w:val="0"/>
                <w:sz w:val="20"/>
              </w:rPr>
              <w:t>State Street Corporation</w:t>
            </w:r>
          </w:p>
        </w:tc>
        <w:tc>
          <w:tcPr>
            <w:tcW w:type="dxa" w:w="3250"/>
            <w:shd w:val="clear" w:color="auto" w:fill="EEF3FA"/>
          </w:tcPr>
          <w:p>
            <w:pPr>
              <w:spacing w:after="40" w:before="40"/>
            </w:pPr>
            <w:r>
              <w:rPr>
                <w:rFonts w:ascii="Calibri" w:hAnsi="Calibri"/>
                <w:b w:val="0"/>
                <w:sz w:val="20"/>
              </w:rPr>
              <w:t>Announced strategic restructuring of Alpha platform, pivoting to Alpha-as-a-Service subscription model with deepened cloud partnership.</w:t>
            </w:r>
          </w:p>
        </w:tc>
        <w:tc>
          <w:tcPr>
            <w:tcW w:type="dxa" w:w="3250"/>
            <w:shd w:val="clear" w:color="auto" w:fill="EEF3FA"/>
          </w:tcPr>
          <w:p>
            <w:pPr>
              <w:spacing w:after="40" w:before="40"/>
            </w:pPr>
            <w:r>
              <w:rPr>
                <w:rFonts w:ascii="Calibri" w:hAnsi="Calibri"/>
                <w:b w:val="0"/>
                <w:sz w:val="20"/>
              </w:rPr>
              <w:t>Signals shift toward scalable, commoditised investment servicing; may attract mid-tier managers currently using bespoke solutions from competitors.</w:t>
            </w:r>
          </w:p>
        </w:tc>
      </w:tr>
      <w:tr>
        <w:tc>
          <w:tcPr>
            <w:tcW w:type="dxa" w:w="3250"/>
          </w:tcPr>
          <w:p>
            <w:pPr>
              <w:spacing w:after="40" w:before="40"/>
            </w:pPr>
            <w:r>
              <w:rPr>
                <w:rFonts w:ascii="Calibri" w:hAnsi="Calibri"/>
                <w:b w:val="0"/>
                <w:sz w:val="20"/>
              </w:rPr>
              <w:t>JPMorgan Chase &amp; Co.</w:t>
            </w:r>
          </w:p>
        </w:tc>
        <w:tc>
          <w:tcPr>
            <w:tcW w:type="dxa" w:w="3250"/>
          </w:tcPr>
          <w:p>
            <w:pPr>
              <w:spacing w:after="40" w:before="40"/>
            </w:pPr>
            <w:r>
              <w:rPr>
                <w:rFonts w:ascii="Calibri" w:hAnsi="Calibri"/>
                <w:b w:val="0"/>
                <w:sz w:val="20"/>
              </w:rPr>
              <w:t>Expanded Onyx digital assets division with launch of a tokenised repo facility for European institutional clients, initially covering euro-denominated government bonds.</w:t>
            </w:r>
          </w:p>
        </w:tc>
        <w:tc>
          <w:tcPr>
            <w:tcW w:type="dxa" w:w="3250"/>
          </w:tcPr>
          <w:p>
            <w:pPr>
              <w:spacing w:after="40" w:before="40"/>
            </w:pPr>
            <w:r>
              <w:rPr>
                <w:rFonts w:ascii="Calibri" w:hAnsi="Calibri"/>
                <w:b w:val="0"/>
                <w:sz w:val="20"/>
              </w:rPr>
              <w:t>Extends JPMorgan's DLT-based post-trade leadership into Europe; creates competitive pressure on European custodians and ICSDs.</w:t>
            </w:r>
          </w:p>
        </w:tc>
      </w:tr>
      <w:tr>
        <w:tc>
          <w:tcPr>
            <w:tcW w:type="dxa" w:w="3250"/>
            <w:shd w:val="clear" w:color="auto" w:fill="EEF3FA"/>
          </w:tcPr>
          <w:p>
            <w:pPr>
              <w:spacing w:after="40" w:before="40"/>
            </w:pPr>
            <w:r>
              <w:rPr>
                <w:rFonts w:ascii="Calibri" w:hAnsi="Calibri"/>
                <w:b w:val="0"/>
                <w:sz w:val="20"/>
              </w:rPr>
              <w:t>Citigroup Inc. (Citi)</w:t>
            </w:r>
          </w:p>
        </w:tc>
        <w:tc>
          <w:tcPr>
            <w:tcW w:type="dxa" w:w="3250"/>
            <w:shd w:val="clear" w:color="auto" w:fill="EEF3FA"/>
          </w:tcPr>
          <w:p>
            <w:pPr>
              <w:spacing w:after="40" w:before="40"/>
            </w:pPr>
            <w:r>
              <w:rPr>
                <w:rFonts w:ascii="Calibri" w:hAnsi="Calibri"/>
                <w:b w:val="0"/>
                <w:sz w:val="20"/>
              </w:rPr>
              <w:t>Launched Citi Intelligence, a next-generation data analytics and reporting platform integrating real-time portfolio analytics, regulatory dashboards, and ESG overlays.</w:t>
            </w:r>
          </w:p>
        </w:tc>
        <w:tc>
          <w:tcPr>
            <w:tcW w:type="dxa" w:w="3250"/>
            <w:shd w:val="clear" w:color="auto" w:fill="EEF3FA"/>
          </w:tcPr>
          <w:p>
            <w:pPr>
              <w:spacing w:after="40" w:before="40"/>
            </w:pPr>
            <w:r>
              <w:rPr>
                <w:rFonts w:ascii="Calibri" w:hAnsi="Calibri"/>
                <w:b w:val="0"/>
                <w:sz w:val="20"/>
              </w:rPr>
              <w:t>Raises the bar for client-facing analytics capabilities across the custody industry; may influence client RFP expectations for data services.</w:t>
            </w:r>
          </w:p>
        </w:tc>
      </w:tr>
      <w:tr>
        <w:tc>
          <w:tcPr>
            <w:tcW w:type="dxa" w:w="3250"/>
          </w:tcPr>
          <w:p>
            <w:pPr>
              <w:spacing w:after="40" w:before="40"/>
            </w:pPr>
            <w:r>
              <w:rPr>
                <w:rFonts w:ascii="Calibri" w:hAnsi="Calibri"/>
                <w:b w:val="0"/>
                <w:sz w:val="20"/>
              </w:rPr>
              <w:t>HSBC Holdings plc</w:t>
            </w:r>
          </w:p>
        </w:tc>
        <w:tc>
          <w:tcPr>
            <w:tcW w:type="dxa" w:w="3250"/>
          </w:tcPr>
          <w:p>
            <w:pPr>
              <w:spacing w:after="40" w:before="40"/>
            </w:pPr>
            <w:r>
              <w:rPr>
                <w:rFonts w:ascii="Calibri" w:hAnsi="Calibri"/>
                <w:b w:val="0"/>
                <w:sz w:val="20"/>
              </w:rPr>
              <w:t>Expanded tokenised bond custody platform to South Korea, Thailand, Malaysia, and the Philippines.</w:t>
            </w:r>
          </w:p>
        </w:tc>
        <w:tc>
          <w:tcPr>
            <w:tcW w:type="dxa" w:w="3250"/>
          </w:tcPr>
          <w:p>
            <w:pPr>
              <w:spacing w:after="40" w:before="40"/>
            </w:pPr>
            <w:r>
              <w:rPr>
                <w:rFonts w:ascii="Calibri" w:hAnsi="Calibri"/>
                <w:b w:val="0"/>
                <w:sz w:val="20"/>
              </w:rPr>
              <w:t>Strengthens HSBC's dominance in Asian digital securities infrastructure; positions firm as regional leader ahead of potential T+1 migration in APAC markets.</w:t>
            </w:r>
          </w:p>
        </w:tc>
      </w:tr>
      <w:tr>
        <w:tc>
          <w:tcPr>
            <w:tcW w:type="dxa" w:w="3250"/>
            <w:shd w:val="clear" w:color="auto" w:fill="EEF3FA"/>
          </w:tcPr>
          <w:p>
            <w:pPr>
              <w:spacing w:after="40" w:before="40"/>
            </w:pPr>
            <w:r>
              <w:rPr>
                <w:rFonts w:ascii="Calibri" w:hAnsi="Calibri"/>
                <w:b w:val="0"/>
                <w:sz w:val="20"/>
              </w:rPr>
              <w:t>BNP Paribas</w:t>
            </w:r>
          </w:p>
        </w:tc>
        <w:tc>
          <w:tcPr>
            <w:tcW w:type="dxa" w:w="3250"/>
            <w:shd w:val="clear" w:color="auto" w:fill="EEF3FA"/>
          </w:tcPr>
          <w:p>
            <w:pPr>
              <w:spacing w:after="40" w:before="40"/>
            </w:pPr>
            <w:r>
              <w:rPr>
                <w:rFonts w:ascii="Calibri" w:hAnsi="Calibri"/>
                <w:b w:val="0"/>
                <w:sz w:val="20"/>
              </w:rPr>
              <w:t>Deployed LLM-driven NAV exception management tool into production across Luxembourg and Dublin fund administration operations.</w:t>
            </w:r>
          </w:p>
        </w:tc>
        <w:tc>
          <w:tcPr>
            <w:tcW w:type="dxa" w:w="3250"/>
            <w:shd w:val="clear" w:color="auto" w:fill="EEF3FA"/>
          </w:tcPr>
          <w:p>
            <w:pPr>
              <w:spacing w:after="40" w:before="40"/>
            </w:pPr>
            <w:r>
              <w:rPr>
                <w:rFonts w:ascii="Calibri" w:hAnsi="Calibri"/>
                <w:b w:val="0"/>
                <w:sz w:val="20"/>
              </w:rPr>
              <w:t>Early mover in AI-enabled fund admin; reported 35% reduction in manual pricing break interventions, setting efficiency benchmarks.</w:t>
            </w:r>
          </w:p>
        </w:tc>
      </w:tr>
      <w:tr>
        <w:tc>
          <w:tcPr>
            <w:tcW w:type="dxa" w:w="3250"/>
          </w:tcPr>
          <w:p>
            <w:pPr>
              <w:spacing w:after="40" w:before="40"/>
            </w:pPr>
            <w:r>
              <w:rPr>
                <w:rFonts w:ascii="Calibri" w:hAnsi="Calibri"/>
                <w:b w:val="0"/>
                <w:sz w:val="20"/>
              </w:rPr>
              <w:t>Northern Trust Corporation</w:t>
            </w:r>
          </w:p>
        </w:tc>
        <w:tc>
          <w:tcPr>
            <w:tcW w:type="dxa" w:w="3250"/>
          </w:tcPr>
          <w:p>
            <w:pPr>
              <w:spacing w:after="40" w:before="40"/>
            </w:pPr>
            <w:r>
              <w:rPr>
                <w:rFonts w:ascii="Calibri" w:hAnsi="Calibri"/>
                <w:b w:val="0"/>
                <w:sz w:val="20"/>
              </w:rPr>
              <w:t>Announced joint venture with Broadridge for AI-driven private markets fund administration solution targeting private credit and infrastructure funds.</w:t>
            </w:r>
          </w:p>
        </w:tc>
        <w:tc>
          <w:tcPr>
            <w:tcW w:type="dxa" w:w="3250"/>
          </w:tcPr>
          <w:p>
            <w:pPr>
              <w:spacing w:after="40" w:before="40"/>
            </w:pPr>
            <w:r>
              <w:rPr>
                <w:rFonts w:ascii="Calibri" w:hAnsi="Calibri"/>
                <w:b w:val="0"/>
                <w:sz w:val="20"/>
              </w:rPr>
              <w:t>Reflects strategic bet on private markets growth; combines Northern Trust's servicing scale with Broadridge's technology capabilities.</w:t>
            </w:r>
          </w:p>
        </w:tc>
      </w:tr>
      <w:tr>
        <w:tc>
          <w:tcPr>
            <w:tcW w:type="dxa" w:w="3250"/>
            <w:shd w:val="clear" w:color="auto" w:fill="EEF3FA"/>
          </w:tcPr>
          <w:p>
            <w:pPr>
              <w:spacing w:after="40" w:before="40"/>
            </w:pPr>
            <w:r>
              <w:rPr>
                <w:rFonts w:ascii="Calibri" w:hAnsi="Calibri"/>
                <w:b w:val="0"/>
                <w:sz w:val="20"/>
              </w:rPr>
              <w:t>Deutsche Bank AG</w:t>
            </w:r>
          </w:p>
        </w:tc>
        <w:tc>
          <w:tcPr>
            <w:tcW w:type="dxa" w:w="3250"/>
            <w:shd w:val="clear" w:color="auto" w:fill="EEF3FA"/>
          </w:tcPr>
          <w:p>
            <w:pPr>
              <w:spacing w:after="40" w:before="40"/>
            </w:pPr>
            <w:r>
              <w:rPr>
                <w:rFonts w:ascii="Calibri" w:hAnsi="Calibri"/>
                <w:b w:val="0"/>
                <w:sz w:val="20"/>
              </w:rPr>
              <w:t>Confirmed participation as a founding member of SWIFT's multi-chain DLT interoperability production consortium.</w:t>
            </w:r>
          </w:p>
        </w:tc>
        <w:tc>
          <w:tcPr>
            <w:tcW w:type="dxa" w:w="3250"/>
            <w:shd w:val="clear" w:color="auto" w:fill="EEF3FA"/>
          </w:tcPr>
          <w:p>
            <w:pPr>
              <w:spacing w:after="40" w:before="40"/>
            </w:pPr>
            <w:r>
              <w:rPr>
                <w:rFonts w:ascii="Calibri" w:hAnsi="Calibri"/>
                <w:b w:val="0"/>
                <w:sz w:val="20"/>
              </w:rPr>
              <w:t>Signals Deutsche Bank's commitment to DLT-based settlement infrastructure; reinforces its securities services modernisation strategy.</w:t>
            </w:r>
          </w:p>
        </w:tc>
      </w:tr>
      <w:tr>
        <w:tc>
          <w:tcPr>
            <w:tcW w:type="dxa" w:w="3250"/>
          </w:tcPr>
          <w:p>
            <w:pPr>
              <w:spacing w:after="40" w:before="40"/>
            </w:pPr>
            <w:r>
              <w:rPr>
                <w:rFonts w:ascii="Calibri" w:hAnsi="Calibri"/>
                <w:b w:val="0"/>
                <w:sz w:val="20"/>
              </w:rPr>
              <w:t>UBS Group AG</w:t>
            </w:r>
          </w:p>
        </w:tc>
        <w:tc>
          <w:tcPr>
            <w:tcW w:type="dxa" w:w="3250"/>
          </w:tcPr>
          <w:p>
            <w:pPr>
              <w:spacing w:after="40" w:before="40"/>
            </w:pPr>
            <w:r>
              <w:rPr>
                <w:rFonts w:ascii="Calibri" w:hAnsi="Calibri"/>
                <w:b w:val="0"/>
                <w:sz w:val="20"/>
              </w:rPr>
              <w:t>Completed migration of legacy Credit Suisse fund administration mandates onto UBS's unified platform, ahead of original Q2 2026 target.</w:t>
            </w:r>
          </w:p>
        </w:tc>
        <w:tc>
          <w:tcPr>
            <w:tcW w:type="dxa" w:w="3250"/>
          </w:tcPr>
          <w:p>
            <w:pPr>
              <w:spacing w:after="40" w:before="40"/>
            </w:pPr>
            <w:r>
              <w:rPr>
                <w:rFonts w:ascii="Calibri" w:hAnsi="Calibri"/>
                <w:b w:val="0"/>
                <w:sz w:val="20"/>
              </w:rPr>
              <w:t>Removes a key integration risk; frees capacity for UBS to pursue new fund administration mandates in the European market.</w:t>
            </w:r>
          </w:p>
        </w:tc>
      </w:tr>
      <w:tr>
        <w:tc>
          <w:tcPr>
            <w:tcW w:type="dxa" w:w="3250"/>
            <w:shd w:val="clear" w:color="auto" w:fill="EEF3FA"/>
          </w:tcPr>
          <w:p>
            <w:pPr>
              <w:spacing w:after="40" w:before="40"/>
            </w:pPr>
            <w:r>
              <w:rPr>
                <w:rFonts w:ascii="Calibri" w:hAnsi="Calibri"/>
                <w:b w:val="0"/>
                <w:sz w:val="20"/>
              </w:rPr>
              <w:t>RBC Investor &amp; Treasury Services</w:t>
            </w:r>
          </w:p>
        </w:tc>
        <w:tc>
          <w:tcPr>
            <w:tcW w:type="dxa" w:w="3250"/>
            <w:shd w:val="clear" w:color="auto" w:fill="EEF3FA"/>
          </w:tcPr>
          <w:p>
            <w:pPr>
              <w:spacing w:after="40" w:before="40"/>
            </w:pPr>
            <w:r>
              <w:rPr>
                <w:rFonts w:ascii="Calibri" w:hAnsi="Calibri"/>
                <w:b w:val="0"/>
                <w:sz w:val="20"/>
              </w:rPr>
              <w:t>Announced expansion of ESG data reporting capabilities for Canadian institutional clients, partnering with a leading ESG data provider to enhance portfolio-level sustainability metrics.</w:t>
            </w:r>
          </w:p>
        </w:tc>
        <w:tc>
          <w:tcPr>
            <w:tcW w:type="dxa" w:w="3250"/>
            <w:shd w:val="clear" w:color="auto" w:fill="EEF3FA"/>
          </w:tcPr>
          <w:p>
            <w:pPr>
              <w:spacing w:after="40" w:before="40"/>
            </w:pPr>
            <w:r>
              <w:rPr>
                <w:rFonts w:ascii="Calibri" w:hAnsi="Calibri"/>
                <w:b w:val="0"/>
                <w:sz w:val="20"/>
              </w:rPr>
              <w:t>Strengthens RBC I&amp;TS's value proposition for Canadian pension funds and asset managers facing increasing ESG disclosure requirements.</w:t>
            </w:r>
          </w:p>
        </w:tc>
      </w:tr>
      <w:tr>
        <w:tc>
          <w:tcPr>
            <w:tcW w:type="dxa" w:w="3250"/>
          </w:tcPr>
          <w:p>
            <w:pPr>
              <w:spacing w:after="40" w:before="40"/>
            </w:pPr>
            <w:r>
              <w:rPr>
                <w:rFonts w:ascii="Calibri" w:hAnsi="Calibri"/>
                <w:b w:val="0"/>
                <w:sz w:val="20"/>
              </w:rPr>
              <w:t>Societe Generale Securities Services</w:t>
            </w:r>
          </w:p>
        </w:tc>
        <w:tc>
          <w:tcPr>
            <w:tcW w:type="dxa" w:w="3250"/>
          </w:tcPr>
          <w:p>
            <w:pPr>
              <w:spacing w:after="40" w:before="40"/>
            </w:pPr>
            <w:r>
              <w:rPr>
                <w:rFonts w:ascii="Calibri" w:hAnsi="Calibri"/>
                <w:b w:val="0"/>
                <w:sz w:val="20"/>
              </w:rPr>
              <w:t>Launched a digital asset sub-custody offering in partnership with a regulated European digital asset custodian, initially covering Bitcoin and Ethereum for institutional clients.</w:t>
            </w:r>
          </w:p>
        </w:tc>
        <w:tc>
          <w:tcPr>
            <w:tcW w:type="dxa" w:w="3250"/>
          </w:tcPr>
          <w:p>
            <w:pPr>
              <w:spacing w:after="40" w:before="40"/>
            </w:pPr>
            <w:r>
              <w:rPr>
                <w:rFonts w:ascii="Calibri" w:hAnsi="Calibri"/>
                <w:b w:val="0"/>
                <w:sz w:val="20"/>
              </w:rPr>
              <w:t>Marks SocGen's formal entry into digital asset custody; broadens the European competitive landscape for regulated crypto servicing.</w:t>
            </w:r>
          </w:p>
        </w:tc>
      </w:tr>
      <w:tr>
        <w:tc>
          <w:tcPr>
            <w:tcW w:type="dxa" w:w="3250"/>
            <w:shd w:val="clear" w:color="auto" w:fill="EEF3FA"/>
          </w:tcPr>
          <w:p>
            <w:pPr>
              <w:spacing w:after="40" w:before="40"/>
            </w:pPr>
            <w:r>
              <w:rPr>
                <w:rFonts w:ascii="Calibri" w:hAnsi="Calibri"/>
                <w:b w:val="0"/>
                <w:sz w:val="20"/>
              </w:rPr>
              <w:t>Standard Chartered plc</w:t>
            </w:r>
          </w:p>
        </w:tc>
        <w:tc>
          <w:tcPr>
            <w:tcW w:type="dxa" w:w="3250"/>
            <w:shd w:val="clear" w:color="auto" w:fill="EEF3FA"/>
          </w:tcPr>
          <w:p>
            <w:pPr>
              <w:spacing w:after="40" w:before="40"/>
            </w:pPr>
            <w:r>
              <w:rPr>
                <w:rFonts w:ascii="Calibri" w:hAnsi="Calibri"/>
                <w:b w:val="0"/>
                <w:sz w:val="20"/>
              </w:rPr>
              <w:t>Expanded Zodia Custody (its digital asset custody joint venture) into the UAE market, securing a VARA licence for institutional digital asset safekeeping.</w:t>
            </w:r>
          </w:p>
        </w:tc>
        <w:tc>
          <w:tcPr>
            <w:tcW w:type="dxa" w:w="3250"/>
            <w:shd w:val="clear" w:color="auto" w:fill="EEF3FA"/>
          </w:tcPr>
          <w:p>
            <w:pPr>
              <w:spacing w:after="40" w:before="40"/>
            </w:pPr>
            <w:r>
              <w:rPr>
                <w:rFonts w:ascii="Calibri" w:hAnsi="Calibri"/>
                <w:b w:val="0"/>
                <w:sz w:val="20"/>
              </w:rPr>
              <w:t>Extends Standard Chartered's digital asset strategy into a key growth market; leverages UAE's emerging regulatory clarity for crypto assets.</w:t>
            </w:r>
          </w:p>
        </w:tc>
      </w:tr>
      <w:tr>
        <w:tc>
          <w:tcPr>
            <w:tcW w:type="dxa" w:w="3250"/>
          </w:tcPr>
          <w:p>
            <w:pPr>
              <w:spacing w:after="40" w:before="40"/>
            </w:pPr>
            <w:r>
              <w:rPr>
                <w:rFonts w:ascii="Calibri" w:hAnsi="Calibri"/>
                <w:b w:val="0"/>
                <w:sz w:val="20"/>
              </w:rPr>
              <w:t>Brown Brothers Harriman &amp; Co.</w:t>
            </w:r>
          </w:p>
        </w:tc>
        <w:tc>
          <w:tcPr>
            <w:tcW w:type="dxa" w:w="3250"/>
          </w:tcPr>
          <w:p>
            <w:pPr>
              <w:spacing w:after="40" w:before="40"/>
            </w:pPr>
            <w:r>
              <w:rPr>
                <w:rFonts w:ascii="Calibri" w:hAnsi="Calibri"/>
                <w:b w:val="0"/>
                <w:sz w:val="20"/>
              </w:rPr>
              <w:t>Announced enhancement of its Infomediary platform with AI-powered ETF servicing analytics and predictive cash flow modelling.</w:t>
            </w:r>
          </w:p>
        </w:tc>
        <w:tc>
          <w:tcPr>
            <w:tcW w:type="dxa" w:w="3250"/>
          </w:tcPr>
          <w:p>
            <w:pPr>
              <w:spacing w:after="40" w:before="40"/>
            </w:pPr>
            <w:r>
              <w:rPr>
                <w:rFonts w:ascii="Calibri" w:hAnsi="Calibri"/>
                <w:b w:val="0"/>
                <w:sz w:val="20"/>
              </w:rPr>
              <w:t>Reinforces BBH's niche leadership in ETF servicing; AI integration expected to improve settlement efficiency for high-volume ETF clients.</w:t>
            </w:r>
          </w:p>
        </w:tc>
      </w:tr>
      <w:tr>
        <w:tc>
          <w:tcPr>
            <w:tcW w:type="dxa" w:w="3250"/>
            <w:shd w:val="clear" w:color="auto" w:fill="EEF3FA"/>
          </w:tcPr>
          <w:p>
            <w:pPr>
              <w:spacing w:after="40" w:before="40"/>
            </w:pPr>
            <w:r>
              <w:rPr>
                <w:rFonts w:ascii="Calibri" w:hAnsi="Calibri"/>
                <w:b w:val="0"/>
                <w:sz w:val="20"/>
              </w:rPr>
              <w:t>Clearstream</w:t>
            </w:r>
          </w:p>
        </w:tc>
        <w:tc>
          <w:tcPr>
            <w:tcW w:type="dxa" w:w="3250"/>
            <w:shd w:val="clear" w:color="auto" w:fill="EEF3FA"/>
          </w:tcPr>
          <w:p>
            <w:pPr>
              <w:spacing w:after="40" w:before="40"/>
            </w:pPr>
            <w:r>
              <w:rPr>
                <w:rFonts w:ascii="Calibri" w:hAnsi="Calibri"/>
                <w:b w:val="0"/>
                <w:sz w:val="20"/>
              </w:rPr>
              <w:t>Published technical specifications for D7 platform Phase 3, enabling cross-CSD interoperability for tokenised securities with Euroclear and SIX Digital Exchange.</w:t>
            </w:r>
          </w:p>
        </w:tc>
        <w:tc>
          <w:tcPr>
            <w:tcW w:type="dxa" w:w="3250"/>
            <w:shd w:val="clear" w:color="auto" w:fill="EEF3FA"/>
          </w:tcPr>
          <w:p>
            <w:pPr>
              <w:spacing w:after="40" w:before="40"/>
            </w:pPr>
            <w:r>
              <w:rPr>
                <w:rFonts w:ascii="Calibri" w:hAnsi="Calibri"/>
                <w:b w:val="0"/>
                <w:sz w:val="20"/>
              </w:rPr>
              <w:t>Critical step toward a unified European digital securities settlement ecosystem; implications for custodians connecting to multiple CSDs.</w:t>
            </w:r>
          </w:p>
        </w:tc>
      </w:tr>
      <w:tr>
        <w:tc>
          <w:tcPr>
            <w:tcW w:type="dxa" w:w="3250"/>
          </w:tcPr>
          <w:p>
            <w:pPr>
              <w:spacing w:after="40" w:before="40"/>
            </w:pPr>
            <w:r>
              <w:rPr>
                <w:rFonts w:ascii="Calibri" w:hAnsi="Calibri"/>
                <w:b w:val="0"/>
                <w:sz w:val="20"/>
              </w:rPr>
              <w:t>Euroclear</w:t>
            </w:r>
          </w:p>
        </w:tc>
        <w:tc>
          <w:tcPr>
            <w:tcW w:type="dxa" w:w="3250"/>
          </w:tcPr>
          <w:p>
            <w:pPr>
              <w:spacing w:after="40" w:before="40"/>
            </w:pPr>
            <w:r>
              <w:rPr>
                <w:rFonts w:ascii="Calibri" w:hAnsi="Calibri"/>
                <w:b w:val="0"/>
                <w:sz w:val="20"/>
              </w:rPr>
              <w:t>Announced pilot programme for same-day settlement of tokenised euro-denominated corporate bonds on its Digital Financial Market Infrastructure platform.</w:t>
            </w:r>
          </w:p>
        </w:tc>
        <w:tc>
          <w:tcPr>
            <w:tcW w:type="dxa" w:w="3250"/>
          </w:tcPr>
          <w:p>
            <w:pPr>
              <w:spacing w:after="40" w:before="40"/>
            </w:pPr>
            <w:r>
              <w:rPr>
                <w:rFonts w:ascii="Calibri" w:hAnsi="Calibri"/>
                <w:b w:val="0"/>
                <w:sz w:val="20"/>
              </w:rPr>
              <w:t>Advances T+0 settlement feasibility for tokenised fixed income; could reshape custody settlement workflows if scaled to production.</w:t>
            </w:r>
          </w:p>
        </w:tc>
      </w:tr>
      <w:tr>
        <w:tc>
          <w:tcPr>
            <w:tcW w:type="dxa" w:w="3250"/>
            <w:shd w:val="clear" w:color="auto" w:fill="EEF3FA"/>
          </w:tcPr>
          <w:p>
            <w:pPr>
              <w:spacing w:after="40" w:before="40"/>
            </w:pPr>
            <w:r>
              <w:rPr>
                <w:rFonts w:ascii="Calibri" w:hAnsi="Calibri"/>
                <w:b w:val="0"/>
                <w:sz w:val="20"/>
              </w:rPr>
              <w:t>CIBC Mellon</w:t>
            </w:r>
          </w:p>
        </w:tc>
        <w:tc>
          <w:tcPr>
            <w:tcW w:type="dxa" w:w="3250"/>
            <w:shd w:val="clear" w:color="auto" w:fill="EEF3FA"/>
          </w:tcPr>
          <w:p>
            <w:pPr>
              <w:spacing w:after="40" w:before="40"/>
            </w:pPr>
            <w:r>
              <w:rPr>
                <w:rFonts w:ascii="Calibri" w:hAnsi="Calibri"/>
                <w:b w:val="0"/>
                <w:sz w:val="20"/>
              </w:rPr>
              <w:t>Published 2025 annual report highlighting AuC growth to approximately CAD 2.2 trillion and announced investment in data analytics capabilities for Canadian institutional clients.</w:t>
            </w:r>
          </w:p>
        </w:tc>
        <w:tc>
          <w:tcPr>
            <w:tcW w:type="dxa" w:w="3250"/>
            <w:shd w:val="clear" w:color="auto" w:fill="EEF3FA"/>
          </w:tcPr>
          <w:p>
            <w:pPr>
              <w:spacing w:after="40" w:before="40"/>
            </w:pPr>
            <w:r>
              <w:rPr>
                <w:rFonts w:ascii="Calibri" w:hAnsi="Calibri"/>
                <w:b w:val="0"/>
                <w:sz w:val="20"/>
              </w:rPr>
              <w:t>Indicates continued competitive pressure in the Canadian custody market; reinforces need for RBC I&amp;TS to differentiate on technology and service.</w:t>
            </w:r>
          </w:p>
        </w:tc>
      </w:tr>
      <w:tr>
        <w:tc>
          <w:tcPr>
            <w:tcW w:type="dxa" w:w="3250"/>
          </w:tcPr>
          <w:p>
            <w:pPr>
              <w:spacing w:after="40" w:before="40"/>
            </w:pPr>
            <w:r>
              <w:rPr>
                <w:rFonts w:ascii="Calibri" w:hAnsi="Calibri"/>
                <w:b w:val="0"/>
                <w:sz w:val="20"/>
              </w:rPr>
              <w:t>Coinbase Custody (Coinbase Prime)</w:t>
            </w:r>
          </w:p>
        </w:tc>
        <w:tc>
          <w:tcPr>
            <w:tcW w:type="dxa" w:w="3250"/>
          </w:tcPr>
          <w:p>
            <w:pPr>
              <w:spacing w:after="40" w:before="40"/>
            </w:pPr>
            <w:r>
              <w:rPr>
                <w:rFonts w:ascii="Calibri" w:hAnsi="Calibri"/>
                <w:b w:val="0"/>
                <w:sz w:val="20"/>
              </w:rPr>
              <w:t>Received conditional approval from the NYDFS to expand qualified custodian services to include five additional digital asset tokens.</w:t>
            </w:r>
          </w:p>
        </w:tc>
        <w:tc>
          <w:tcPr>
            <w:tcW w:type="dxa" w:w="3250"/>
          </w:tcPr>
          <w:p>
            <w:pPr>
              <w:spacing w:after="40" w:before="40"/>
            </w:pPr>
            <w:r>
              <w:rPr>
                <w:rFonts w:ascii="Calibri" w:hAnsi="Calibri"/>
                <w:b w:val="0"/>
                <w:sz w:val="20"/>
              </w:rPr>
              <w:t>Broadens Coinbase's institutional custody offering; increases competitive optionality for asset managers seeking regulated US crypto custodians.</w:t>
            </w:r>
          </w:p>
        </w:tc>
      </w:tr>
      <w:tr>
        <w:tc>
          <w:tcPr>
            <w:tcW w:type="dxa" w:w="3250"/>
            <w:shd w:val="clear" w:color="auto" w:fill="EEF3FA"/>
          </w:tcPr>
          <w:p>
            <w:pPr>
              <w:spacing w:after="40" w:before="40"/>
            </w:pPr>
            <w:r>
              <w:rPr>
                <w:rFonts w:ascii="Calibri" w:hAnsi="Calibri"/>
                <w:b w:val="0"/>
                <w:sz w:val="20"/>
              </w:rPr>
              <w:t>BitGo</w:t>
            </w:r>
          </w:p>
        </w:tc>
        <w:tc>
          <w:tcPr>
            <w:tcW w:type="dxa" w:w="3250"/>
            <w:shd w:val="clear" w:color="auto" w:fill="EEF3FA"/>
          </w:tcPr>
          <w:p>
            <w:pPr>
              <w:spacing w:after="40" w:before="40"/>
            </w:pPr>
            <w:r>
              <w:rPr>
                <w:rFonts w:ascii="Calibri" w:hAnsi="Calibri"/>
                <w:b w:val="0"/>
                <w:sz w:val="20"/>
              </w:rPr>
              <w:t>Announced completion of its trust charter conversion, formally becoming a federally regulated digital asset custodian under OCC oversight.</w:t>
            </w:r>
          </w:p>
        </w:tc>
        <w:tc>
          <w:tcPr>
            <w:tcW w:type="dxa" w:w="3250"/>
            <w:shd w:val="clear" w:color="auto" w:fill="EEF3FA"/>
          </w:tcPr>
          <w:p>
            <w:pPr>
              <w:spacing w:after="40" w:before="40"/>
            </w:pPr>
            <w:r>
              <w:rPr>
                <w:rFonts w:ascii="Calibri" w:hAnsi="Calibri"/>
                <w:b w:val="0"/>
                <w:sz w:val="20"/>
              </w:rPr>
              <w:t>Significant regulatory milestone; positions BitGo alongside Anchorage as a federally chartered digital asset custodian, enhancing institutional credibility.</w:t>
            </w:r>
          </w:p>
        </w:tc>
      </w:tr>
      <w:tr>
        <w:tc>
          <w:tcPr>
            <w:tcW w:type="dxa" w:w="3250"/>
          </w:tcPr>
          <w:p>
            <w:pPr>
              <w:spacing w:after="40" w:before="40"/>
            </w:pPr>
            <w:r>
              <w:rPr>
                <w:rFonts w:ascii="Calibri" w:hAnsi="Calibri"/>
                <w:b w:val="0"/>
                <w:sz w:val="20"/>
              </w:rPr>
              <w:t>Fidelity Digital Assets</w:t>
            </w:r>
          </w:p>
        </w:tc>
        <w:tc>
          <w:tcPr>
            <w:tcW w:type="dxa" w:w="3250"/>
          </w:tcPr>
          <w:p>
            <w:pPr>
              <w:spacing w:after="40" w:before="40"/>
            </w:pPr>
            <w:r>
              <w:rPr>
                <w:rFonts w:ascii="Calibri" w:hAnsi="Calibri"/>
                <w:b w:val="0"/>
                <w:sz w:val="20"/>
              </w:rPr>
              <w:t>Expanded European operations with a new digital asset custody node in Frankfurt, targeting continental European institutional clients.</w:t>
            </w:r>
          </w:p>
        </w:tc>
        <w:tc>
          <w:tcPr>
            <w:tcW w:type="dxa" w:w="3250"/>
          </w:tcPr>
          <w:p>
            <w:pPr>
              <w:spacing w:after="40" w:before="40"/>
            </w:pPr>
            <w:r>
              <w:rPr>
                <w:rFonts w:ascii="Calibri" w:hAnsi="Calibri"/>
                <w:b w:val="0"/>
                <w:sz w:val="20"/>
              </w:rPr>
              <w:t>Extends Fidelity's digital asset custody footprint beyond the US and UK; competes with Zodia, Komainu, and Taurus in the European market.</w:t>
            </w:r>
          </w:p>
        </w:tc>
      </w:tr>
      <w:tr>
        <w:tc>
          <w:tcPr>
            <w:tcW w:type="dxa" w:w="3250"/>
            <w:shd w:val="clear" w:color="auto" w:fill="EEF3FA"/>
          </w:tcPr>
          <w:p>
            <w:pPr>
              <w:spacing w:after="40" w:before="40"/>
            </w:pPr>
            <w:r>
              <w:rPr>
                <w:rFonts w:ascii="Calibri" w:hAnsi="Calibri"/>
                <w:b w:val="0"/>
                <w:sz w:val="20"/>
              </w:rPr>
              <w:t>Anchorage Digital</w:t>
            </w:r>
          </w:p>
        </w:tc>
        <w:tc>
          <w:tcPr>
            <w:tcW w:type="dxa" w:w="3250"/>
            <w:shd w:val="clear" w:color="auto" w:fill="EEF3FA"/>
          </w:tcPr>
          <w:p>
            <w:pPr>
              <w:spacing w:after="40" w:before="40"/>
            </w:pPr>
            <w:r>
              <w:rPr>
                <w:rFonts w:ascii="Calibri" w:hAnsi="Calibri"/>
                <w:b w:val="0"/>
                <w:sz w:val="20"/>
              </w:rPr>
              <w:t>Partnered with a major US pension consultancy to offer digital asset custody education and onboarding services for public pension funds exploring crypto allocations.</w:t>
            </w:r>
          </w:p>
        </w:tc>
        <w:tc>
          <w:tcPr>
            <w:tcW w:type="dxa" w:w="3250"/>
            <w:shd w:val="clear" w:color="auto" w:fill="EEF3FA"/>
          </w:tcPr>
          <w:p>
            <w:pPr>
              <w:spacing w:after="40" w:before="40"/>
            </w:pPr>
            <w:r>
              <w:rPr>
                <w:rFonts w:ascii="Calibri" w:hAnsi="Calibri"/>
                <w:b w:val="0"/>
                <w:sz w:val="20"/>
              </w:rPr>
              <w:t>Signals growing institutional pension interest in digital assets; Anchorage leverages its federal bank charter as a trust differentiator.</w:t>
            </w:r>
          </w:p>
        </w:tc>
      </w:tr>
      <w:tr>
        <w:tc>
          <w:tcPr>
            <w:tcW w:type="dxa" w:w="3250"/>
          </w:tcPr>
          <w:p>
            <w:pPr>
              <w:spacing w:after="40" w:before="40"/>
            </w:pPr>
            <w:r>
              <w:rPr>
                <w:rFonts w:ascii="Calibri" w:hAnsi="Calibri"/>
                <w:b w:val="0"/>
                <w:sz w:val="20"/>
              </w:rPr>
              <w:t>Fireblocks</w:t>
            </w:r>
          </w:p>
        </w:tc>
        <w:tc>
          <w:tcPr>
            <w:tcW w:type="dxa" w:w="3250"/>
          </w:tcPr>
          <w:p>
            <w:pPr>
              <w:spacing w:after="40" w:before="40"/>
            </w:pPr>
            <w:r>
              <w:rPr>
                <w:rFonts w:ascii="Calibri" w:hAnsi="Calibri"/>
                <w:b w:val="0"/>
                <w:sz w:val="20"/>
              </w:rPr>
              <w:t>Released version 5.0 of its platform, adding native support for tokenised real-world assets including real estate and private credit instruments.</w:t>
            </w:r>
          </w:p>
        </w:tc>
        <w:tc>
          <w:tcPr>
            <w:tcW w:type="dxa" w:w="3250"/>
          </w:tcPr>
          <w:p>
            <w:pPr>
              <w:spacing w:after="40" w:before="40"/>
            </w:pPr>
            <w:r>
              <w:rPr>
                <w:rFonts w:ascii="Calibri" w:hAnsi="Calibri"/>
                <w:b w:val="0"/>
                <w:sz w:val="20"/>
              </w:rPr>
              <w:t>Extends Fireblocks beyond crypto-native custody into tokenised traditional assets; competes with Taurus and Copper in the RWA infrastructure layer.</w:t>
            </w:r>
          </w:p>
        </w:tc>
      </w:tr>
      <w:tr>
        <w:tc>
          <w:tcPr>
            <w:tcW w:type="dxa" w:w="3250"/>
            <w:shd w:val="clear" w:color="auto" w:fill="EEF3FA"/>
          </w:tcPr>
          <w:p>
            <w:pPr>
              <w:spacing w:after="40" w:before="40"/>
            </w:pPr>
            <w:r>
              <w:rPr>
                <w:rFonts w:ascii="Calibri" w:hAnsi="Calibri"/>
                <w:b w:val="0"/>
                <w:sz w:val="20"/>
              </w:rPr>
              <w:t>Copper</w:t>
            </w:r>
          </w:p>
        </w:tc>
        <w:tc>
          <w:tcPr>
            <w:tcW w:type="dxa" w:w="3250"/>
            <w:shd w:val="clear" w:color="auto" w:fill="EEF3FA"/>
          </w:tcPr>
          <w:p>
            <w:pPr>
              <w:spacing w:after="40" w:before="40"/>
            </w:pPr>
            <w:r>
              <w:rPr>
                <w:rFonts w:ascii="Calibri" w:hAnsi="Calibri"/>
                <w:b w:val="0"/>
                <w:sz w:val="20"/>
              </w:rPr>
              <w:t>Secured FCA registration as a cryptoasset service provider and announced integration with two major European exchanges for institutional trading and settlement.</w:t>
            </w:r>
          </w:p>
        </w:tc>
        <w:tc>
          <w:tcPr>
            <w:tcW w:type="dxa" w:w="3250"/>
            <w:shd w:val="clear" w:color="auto" w:fill="EEF3FA"/>
          </w:tcPr>
          <w:p>
            <w:pPr>
              <w:spacing w:after="40" w:before="40"/>
            </w:pPr>
            <w:r>
              <w:rPr>
                <w:rFonts w:ascii="Calibri" w:hAnsi="Calibri"/>
                <w:b w:val="0"/>
                <w:sz w:val="20"/>
              </w:rPr>
              <w:t>Strengthens Copper's UK regulatory standing and European distribution; positions firm as a credible institutional-grade alternative to Fireblocks.</w:t>
            </w:r>
          </w:p>
        </w:tc>
      </w:tr>
      <w:tr>
        <w:tc>
          <w:tcPr>
            <w:tcW w:type="dxa" w:w="3250"/>
          </w:tcPr>
          <w:p>
            <w:pPr>
              <w:spacing w:after="40" w:before="40"/>
            </w:pPr>
            <w:r>
              <w:rPr>
                <w:rFonts w:ascii="Calibri" w:hAnsi="Calibri"/>
                <w:b w:val="0"/>
                <w:sz w:val="20"/>
              </w:rPr>
              <w:t>Komainu</w:t>
            </w:r>
          </w:p>
        </w:tc>
        <w:tc>
          <w:tcPr>
            <w:tcW w:type="dxa" w:w="3250"/>
          </w:tcPr>
          <w:p>
            <w:pPr>
              <w:spacing w:after="40" w:before="40"/>
            </w:pPr>
            <w:r>
              <w:rPr>
                <w:rFonts w:ascii="Calibri" w:hAnsi="Calibri"/>
                <w:b w:val="0"/>
                <w:sz w:val="20"/>
              </w:rPr>
              <w:t>Expanded its institutional digital asset custody service to Japan, partnering with a major Japanese bank for local market access.</w:t>
            </w:r>
          </w:p>
        </w:tc>
        <w:tc>
          <w:tcPr>
            <w:tcW w:type="dxa" w:w="3250"/>
          </w:tcPr>
          <w:p>
            <w:pPr>
              <w:spacing w:after="40" w:before="40"/>
            </w:pPr>
            <w:r>
              <w:rPr>
                <w:rFonts w:ascii="Calibri" w:hAnsi="Calibri"/>
                <w:b w:val="0"/>
                <w:sz w:val="20"/>
              </w:rPr>
              <w:t>Leverages Nomura parentage for Japanese market entry; adds competitive pressure in Asia's growing institutional digital asset custody segment.</w:t>
            </w:r>
          </w:p>
        </w:tc>
      </w:tr>
      <w:tr>
        <w:tc>
          <w:tcPr>
            <w:tcW w:type="dxa" w:w="3250"/>
            <w:shd w:val="clear" w:color="auto" w:fill="EEF3FA"/>
          </w:tcPr>
          <w:p>
            <w:pPr>
              <w:spacing w:after="40" w:before="40"/>
            </w:pPr>
            <w:r>
              <w:rPr>
                <w:rFonts w:ascii="Calibri" w:hAnsi="Calibri"/>
                <w:b w:val="0"/>
                <w:sz w:val="20"/>
              </w:rPr>
              <w:t>Zodia Custody</w:t>
            </w:r>
          </w:p>
        </w:tc>
        <w:tc>
          <w:tcPr>
            <w:tcW w:type="dxa" w:w="3250"/>
            <w:shd w:val="clear" w:color="auto" w:fill="EEF3FA"/>
          </w:tcPr>
          <w:p>
            <w:pPr>
              <w:spacing w:after="40" w:before="40"/>
            </w:pPr>
            <w:r>
              <w:rPr>
                <w:rFonts w:ascii="Calibri" w:hAnsi="Calibri"/>
                <w:b w:val="0"/>
                <w:sz w:val="20"/>
              </w:rPr>
              <w:t>Secured VARA licence in the UAE (via Standard Chartered expansion) and announced support for Solana-based token custody.</w:t>
            </w:r>
          </w:p>
        </w:tc>
        <w:tc>
          <w:tcPr>
            <w:tcW w:type="dxa" w:w="3250"/>
            <w:shd w:val="clear" w:color="auto" w:fill="EEF3FA"/>
          </w:tcPr>
          <w:p>
            <w:pPr>
              <w:spacing w:after="40" w:before="40"/>
            </w:pPr>
            <w:r>
              <w:rPr>
                <w:rFonts w:ascii="Calibri" w:hAnsi="Calibri"/>
                <w:b w:val="0"/>
                <w:sz w:val="20"/>
              </w:rPr>
              <w:t>Broadens geographic and asset coverage; Zodia continues to build a multi-jurisdictional regulated custody network.</w:t>
            </w:r>
          </w:p>
        </w:tc>
      </w:tr>
      <w:tr>
        <w:tc>
          <w:tcPr>
            <w:tcW w:type="dxa" w:w="3250"/>
          </w:tcPr>
          <w:p>
            <w:pPr>
              <w:spacing w:after="40" w:before="40"/>
            </w:pPr>
            <w:r>
              <w:rPr>
                <w:rFonts w:ascii="Calibri" w:hAnsi="Calibri"/>
                <w:b w:val="0"/>
                <w:sz w:val="20"/>
              </w:rPr>
              <w:t>NYDIG</w:t>
            </w:r>
          </w:p>
        </w:tc>
        <w:tc>
          <w:tcPr>
            <w:tcW w:type="dxa" w:w="3250"/>
          </w:tcPr>
          <w:p>
            <w:pPr>
              <w:spacing w:after="40" w:before="40"/>
            </w:pPr>
            <w:r>
              <w:rPr>
                <w:rFonts w:ascii="Calibri" w:hAnsi="Calibri"/>
                <w:b w:val="0"/>
                <w:sz w:val="20"/>
              </w:rPr>
              <w:t>Announced a Bitcoin-collateralised lending programme for US institutional clients, integrated with its custody infrastructure.</w:t>
            </w:r>
          </w:p>
        </w:tc>
        <w:tc>
          <w:tcPr>
            <w:tcW w:type="dxa" w:w="3250"/>
          </w:tcPr>
          <w:p>
            <w:pPr>
              <w:spacing w:after="40" w:before="40"/>
            </w:pPr>
            <w:r>
              <w:rPr>
                <w:rFonts w:ascii="Calibri" w:hAnsi="Calibri"/>
                <w:b w:val="0"/>
                <w:sz w:val="20"/>
              </w:rPr>
              <w:t>Positions NYDIG at the intersection of custody and prime services for Bitcoin; may attract hedge funds and corporates seeking yield on BTC holdings.</w:t>
            </w:r>
          </w:p>
        </w:tc>
      </w:tr>
      <w:tr>
        <w:tc>
          <w:tcPr>
            <w:tcW w:type="dxa" w:w="3250"/>
            <w:shd w:val="clear" w:color="auto" w:fill="EEF3FA"/>
          </w:tcPr>
          <w:p>
            <w:pPr>
              <w:spacing w:after="40" w:before="40"/>
            </w:pPr>
            <w:r>
              <w:rPr>
                <w:rFonts w:ascii="Calibri" w:hAnsi="Calibri"/>
                <w:b w:val="0"/>
                <w:sz w:val="20"/>
              </w:rPr>
              <w:t>Taurus</w:t>
            </w:r>
          </w:p>
        </w:tc>
        <w:tc>
          <w:tcPr>
            <w:tcW w:type="dxa" w:w="3250"/>
            <w:shd w:val="clear" w:color="auto" w:fill="EEF3FA"/>
          </w:tcPr>
          <w:p>
            <w:pPr>
              <w:spacing w:after="40" w:before="40"/>
            </w:pPr>
            <w:r>
              <w:rPr>
                <w:rFonts w:ascii="Calibri" w:hAnsi="Calibri"/>
                <w:b w:val="0"/>
                <w:sz w:val="20"/>
              </w:rPr>
              <w:t>Raised Series C of approximately USD 100 million led by Deutsche Boerse and Abu Dhabi sovereign capital.</w:t>
            </w:r>
          </w:p>
        </w:tc>
        <w:tc>
          <w:tcPr>
            <w:tcW w:type="dxa" w:w="3250"/>
            <w:shd w:val="clear" w:color="auto" w:fill="EEF3FA"/>
          </w:tcPr>
          <w:p>
            <w:pPr>
              <w:spacing w:after="40" w:before="40"/>
            </w:pPr>
            <w:r>
              <w:rPr>
                <w:rFonts w:ascii="Calibri" w:hAnsi="Calibri"/>
                <w:b w:val="0"/>
                <w:sz w:val="20"/>
              </w:rPr>
              <w:t>Establishes Taurus as Europe's best-capitalised digital asset infrastructure provider; validates institutional demand for tokenisation middleware.</w:t>
            </w:r>
          </w:p>
        </w:tc>
      </w:tr>
      <w:tr>
        <w:tc>
          <w:tcPr>
            <w:tcW w:type="dxa" w:w="3250"/>
          </w:tcPr>
          <w:p>
            <w:pPr>
              <w:spacing w:after="40" w:before="40"/>
            </w:pPr>
            <w:r>
              <w:rPr>
                <w:rFonts w:ascii="Calibri" w:hAnsi="Calibri"/>
                <w:b w:val="0"/>
                <w:sz w:val="20"/>
              </w:rPr>
              <w:t>Kraken</w:t>
            </w:r>
          </w:p>
        </w:tc>
        <w:tc>
          <w:tcPr>
            <w:tcW w:type="dxa" w:w="3250"/>
          </w:tcPr>
          <w:p>
            <w:pPr>
              <w:spacing w:after="40" w:before="40"/>
            </w:pPr>
            <w:r>
              <w:rPr>
                <w:rFonts w:ascii="Calibri" w:hAnsi="Calibri"/>
                <w:b w:val="0"/>
                <w:sz w:val="20"/>
              </w:rPr>
              <w:t>Received in-principle approval for a MiFID licence in the EU, enabling the exchange to offer regulated custody and execution services to European institutional clients.</w:t>
            </w:r>
          </w:p>
        </w:tc>
        <w:tc>
          <w:tcPr>
            <w:tcW w:type="dxa" w:w="3250"/>
          </w:tcPr>
          <w:p>
            <w:pPr>
              <w:spacing w:after="40" w:before="40"/>
            </w:pPr>
            <w:r>
              <w:rPr>
                <w:rFonts w:ascii="Calibri" w:hAnsi="Calibri"/>
                <w:b w:val="0"/>
                <w:sz w:val="20"/>
              </w:rPr>
              <w:t>Significant step in Kraken's institutionalisation strategy; once finalised, will allow direct competition with incumbent custodians for regulated crypto servicing in the EU.</w:t>
            </w:r>
          </w:p>
        </w:tc>
      </w:tr>
    </w:tbl>
    <w:p/>
    <w:p>
      <w:pPr>
        <w:jc w:val="center"/>
      </w:pPr>
      <w:r>
        <w:rPr>
          <w:rFonts w:ascii="Calibri" w:hAnsi="Calibri"/>
          <w:i/>
          <w:color w:val="888888"/>
          <w:sz w:val="16"/>
        </w:rPr>
        <w:t>This document is confidential and intended solely for the RBC Investor Services Senior Management Team. Do not distribute.</w:t>
      </w:r>
    </w:p>
    <w:sectPr w:rsidR="00E71C96" w:rsidRPr="00E15B30" w:rsidSect="00AA3776">
      <w:footerReference w:type="first" r:id="rId8"/>
      <w:pgSz w:w="11909" w:h="16834" w:code="9"/>
      <w:pgMar w:top="1080" w:right="1080" w:bottom="562" w:left="1080" w:header="0" w:footer="432" w:gutter="0"/>
      <w:pgBorders w:offsetFrom="page">
        <w:top w:val="single" w:sz="2" w:space="18" w:color="002159"/>
        <w:left w:val="single" w:sz="2" w:space="18" w:color="002159"/>
        <w:bottom w:val="single" w:sz="2" w:space="18" w:color="002159"/>
        <w:right w:val="single" w:sz="2" w:space="18" w:color="002159"/>
      </w:pgBorders>
      <w:pgNumType w:fmt="lowerRoman"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8EBA7" w14:textId="77777777" w:rsidR="00C02A6A" w:rsidRDefault="00C02A6A">
      <w:r>
        <w:separator/>
      </w:r>
    </w:p>
    <w:p w14:paraId="085563AF" w14:textId="77777777" w:rsidR="00C02A6A" w:rsidRDefault="00C02A6A"/>
    <w:p w14:paraId="4EDDD97C" w14:textId="77777777" w:rsidR="00C02A6A" w:rsidRDefault="00C02A6A"/>
  </w:endnote>
  <w:endnote w:type="continuationSeparator" w:id="0">
    <w:p w14:paraId="3D54E17F" w14:textId="77777777" w:rsidR="00C02A6A" w:rsidRDefault="00C02A6A">
      <w:r>
        <w:continuationSeparator/>
      </w:r>
    </w:p>
    <w:p w14:paraId="7C5BAB43" w14:textId="77777777" w:rsidR="00C02A6A" w:rsidRDefault="00C02A6A"/>
    <w:p w14:paraId="63C61948" w14:textId="77777777" w:rsidR="00C02A6A" w:rsidRDefault="00C02A6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20B0704020202020204"/>
    <w:charset w:val="00"/>
    <w:family w:val="swiss"/>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1" w:fontKey="{6747D7DF-3D6A-4ED2-AAC8-D3BA8B1D5C25}"/>
    <w:embedBold r:id="rId2" w:fontKey="{3454AD14-499D-4863-A694-692B1ADC694F}"/>
    <w:embedItalic r:id="rId3" w:fontKey="{781E6330-149F-411B-9735-59DF1E9C6AC7}"/>
  </w:font>
  <w:font w:name="Century Gothic">
    <w:panose1 w:val="020B0502020202020204"/>
    <w:charset w:val="00"/>
    <w:family w:val="swiss"/>
    <w:pitch w:val="variable"/>
    <w:sig w:usb0="00000287" w:usb1="00000000" w:usb2="00000000" w:usb3="00000000" w:csb0="0000009F" w:csb1="00000000"/>
    <w:embedRegular r:id="rId4" w:fontKey="{D252A5BB-800E-45C5-A3D6-74B880434F06}"/>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5" w:fontKey="{5FFF8507-1812-43FD-B3B6-FCE8389267C5}"/>
  </w:font>
  <w:font w:name="Arial Black">
    <w:panose1 w:val="020B0A04020102020204"/>
    <w:charset w:val="00"/>
    <w:family w:val="swiss"/>
    <w:pitch w:val="variable"/>
    <w:sig w:usb0="A00002AF" w:usb1="400078FB" w:usb2="00000000" w:usb3="00000000" w:csb0="0000009F" w:csb1="00000000"/>
    <w:embedRegular r:id="rId6" w:fontKey="{BB4AD9BD-E88A-4869-B5B9-C5B7C74BC6F5}"/>
  </w:font>
  <w:font w:name="Georgia">
    <w:panose1 w:val="02040502050405020303"/>
    <w:charset w:val="00"/>
    <w:family w:val="roman"/>
    <w:pitch w:val="variable"/>
    <w:sig w:usb0="00000287" w:usb1="00000000" w:usb2="00000000" w:usb3="00000000" w:csb0="0000009F" w:csb1="00000000"/>
    <w:embedBoldItalic r:id="rId7" w:fontKey="{3E708344-5C7E-4DC6-965D-F2C9BDEF92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F06D" w14:textId="69824C84" w:rsidR="004F69BC" w:rsidRPr="00E4290C" w:rsidRDefault="004F69BC" w:rsidP="00E4290C">
    <w:pPr>
      <w:pStyle w:val="FooterBackcover"/>
      <w:spacing w:after="180"/>
      <w:rPr>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E78E6" w14:textId="77777777" w:rsidR="00C02A6A" w:rsidRDefault="00C02A6A" w:rsidP="00494966">
      <w:pPr>
        <w:pStyle w:val="FootnoteSeparator"/>
      </w:pPr>
    </w:p>
    <w:p w14:paraId="4B31063E" w14:textId="77777777" w:rsidR="00C02A6A" w:rsidRDefault="00C02A6A"/>
    <w:p w14:paraId="32C94793" w14:textId="77777777" w:rsidR="00C02A6A" w:rsidRDefault="00C02A6A"/>
  </w:footnote>
  <w:footnote w:type="continuationSeparator" w:id="0">
    <w:p w14:paraId="147C50A4" w14:textId="77777777" w:rsidR="00C02A6A" w:rsidRDefault="00C02A6A">
      <w:r>
        <w:continuationSeparator/>
      </w:r>
    </w:p>
    <w:p w14:paraId="002E624C" w14:textId="77777777" w:rsidR="00C02A6A" w:rsidRDefault="00C02A6A"/>
    <w:p w14:paraId="0E7DB25D" w14:textId="77777777" w:rsidR="00C02A6A" w:rsidRDefault="00C02A6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F83E6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CFC16B4"/>
    <w:lvl w:ilvl="0">
      <w:start w:val="1"/>
      <w:numFmt w:val="decimal"/>
      <w:pStyle w:val="ListNumber3"/>
      <w:lvlText w:val="%1."/>
      <w:lvlJc w:val="left"/>
      <w:pPr>
        <w:tabs>
          <w:tab w:val="num" w:pos="926"/>
        </w:tabs>
        <w:ind w:left="926" w:hanging="360"/>
      </w:pPr>
    </w:lvl>
  </w:abstractNum>
  <w:abstractNum w:abstractNumId="2" w15:restartNumberingAfterBreak="0">
    <w:nsid w:val="FFFFFF7F"/>
    <w:multiLevelType w:val="singleLevel"/>
    <w:tmpl w:val="317A77E2"/>
    <w:lvl w:ilvl="0">
      <w:start w:val="1"/>
      <w:numFmt w:val="decimal"/>
      <w:pStyle w:val="ListNumber2"/>
      <w:lvlText w:val="%1."/>
      <w:lvlJc w:val="left"/>
      <w:pPr>
        <w:tabs>
          <w:tab w:val="num" w:pos="643"/>
        </w:tabs>
        <w:ind w:left="643" w:hanging="360"/>
      </w:pPr>
    </w:lvl>
  </w:abstractNum>
  <w:abstractNum w:abstractNumId="3" w15:restartNumberingAfterBreak="0">
    <w:nsid w:val="FFFFFF80"/>
    <w:multiLevelType w:val="singleLevel"/>
    <w:tmpl w:val="765AE9E0"/>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619AA81A"/>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0EE6481D"/>
    <w:multiLevelType w:val="multilevel"/>
    <w:tmpl w:val="9272BB36"/>
    <w:styleLink w:val="111111"/>
    <w:lvl w:ilvl="0">
      <w:start w:val="1"/>
      <w:numFmt w:val="decimal"/>
      <w:lvlText w:val="%1."/>
      <w:lvlJc w:val="left"/>
      <w:pPr>
        <w:tabs>
          <w:tab w:val="num" w:pos="720"/>
        </w:tabs>
        <w:ind w:left="720" w:hanging="360"/>
      </w:pPr>
      <w:rPr>
        <w:rFonts w:ascii="Arial" w:hAnsi="Arial"/>
        <w:color w:val="002144"/>
        <w:sz w:val="36"/>
      </w:rPr>
    </w:lvl>
    <w:lvl w:ilvl="1">
      <w:start w:val="1"/>
      <w:numFmt w:val="decimal"/>
      <w:lvlText w:val="%1.%2."/>
      <w:lvlJc w:val="left"/>
      <w:pPr>
        <w:tabs>
          <w:tab w:val="num" w:pos="1152"/>
        </w:tabs>
        <w:ind w:left="1152" w:hanging="432"/>
      </w:pPr>
      <w:rPr>
        <w:rFonts w:hint="default"/>
        <w:sz w:val="25"/>
      </w:rPr>
    </w:lvl>
    <w:lvl w:ilvl="2">
      <w:start w:val="1"/>
      <w:numFmt w:val="decimal"/>
      <w:lvlText w:val="%1.%2.%3."/>
      <w:lvlJc w:val="left"/>
      <w:pPr>
        <w:tabs>
          <w:tab w:val="num" w:pos="1584"/>
        </w:tabs>
        <w:ind w:left="1584" w:hanging="504"/>
      </w:pPr>
      <w:rPr>
        <w:rFonts w:hint="default"/>
      </w:rPr>
    </w:lvl>
    <w:lvl w:ilvl="3">
      <w:start w:val="1"/>
      <w:numFmt w:val="decimal"/>
      <w:lvlText w:val="%1.%2.%3.%4."/>
      <w:lvlJc w:val="left"/>
      <w:pPr>
        <w:tabs>
          <w:tab w:val="num" w:pos="2088"/>
        </w:tabs>
        <w:ind w:left="2088" w:hanging="648"/>
      </w:pPr>
      <w:rPr>
        <w:rFonts w:hint="default"/>
      </w:rPr>
    </w:lvl>
    <w:lvl w:ilvl="4">
      <w:start w:val="1"/>
      <w:numFmt w:val="decimal"/>
      <w:lvlText w:val="%1.%2.%3.%4.%5."/>
      <w:lvlJc w:val="left"/>
      <w:pPr>
        <w:tabs>
          <w:tab w:val="num" w:pos="2592"/>
        </w:tabs>
        <w:ind w:left="2592" w:hanging="792"/>
      </w:pPr>
      <w:rPr>
        <w:rFonts w:hint="default"/>
      </w:rPr>
    </w:lvl>
    <w:lvl w:ilvl="5">
      <w:start w:val="1"/>
      <w:numFmt w:val="decimal"/>
      <w:lvlText w:val="%1.%2.%3.%4.%5.%6."/>
      <w:lvlJc w:val="left"/>
      <w:pPr>
        <w:tabs>
          <w:tab w:val="num" w:pos="3096"/>
        </w:tabs>
        <w:ind w:left="3096" w:hanging="936"/>
      </w:pPr>
      <w:rPr>
        <w:rFonts w:hint="default"/>
      </w:rPr>
    </w:lvl>
    <w:lvl w:ilvl="6">
      <w:start w:val="1"/>
      <w:numFmt w:val="decimal"/>
      <w:lvlText w:val="%1.%2.%3.%4.%5.%6.%7."/>
      <w:lvlJc w:val="left"/>
      <w:pPr>
        <w:tabs>
          <w:tab w:val="num" w:pos="3600"/>
        </w:tabs>
        <w:ind w:left="3600" w:hanging="1080"/>
      </w:pPr>
      <w:rPr>
        <w:rFonts w:hint="default"/>
      </w:rPr>
    </w:lvl>
    <w:lvl w:ilvl="7">
      <w:start w:val="1"/>
      <w:numFmt w:val="decimal"/>
      <w:lvlText w:val="%1.%2.%3.%4.%5.%6.%7.%8."/>
      <w:lvlJc w:val="left"/>
      <w:pPr>
        <w:tabs>
          <w:tab w:val="num" w:pos="4104"/>
        </w:tabs>
        <w:ind w:left="4104" w:hanging="1224"/>
      </w:pPr>
      <w:rPr>
        <w:rFonts w:hint="default"/>
      </w:rPr>
    </w:lvl>
    <w:lvl w:ilvl="8">
      <w:start w:val="1"/>
      <w:numFmt w:val="decimal"/>
      <w:lvlText w:val="%1.%2.%3.%4.%5.%6.%7.%8.%9."/>
      <w:lvlJc w:val="left"/>
      <w:pPr>
        <w:tabs>
          <w:tab w:val="num" w:pos="4680"/>
        </w:tabs>
        <w:ind w:left="4680" w:hanging="1440"/>
      </w:pPr>
      <w:rPr>
        <w:rFonts w:hint="default"/>
      </w:rPr>
    </w:lvl>
  </w:abstractNum>
  <w:abstractNum w:abstractNumId="6" w15:restartNumberingAfterBreak="0">
    <w:nsid w:val="14F94586"/>
    <w:multiLevelType w:val="hybridMultilevel"/>
    <w:tmpl w:val="671E8414"/>
    <w:lvl w:ilvl="0" w:tplc="BA62B44E">
      <w:start w:val="1"/>
      <w:numFmt w:val="upperLetter"/>
      <w:pStyle w:val="List"/>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8DD7F2F"/>
    <w:multiLevelType w:val="hybridMultilevel"/>
    <w:tmpl w:val="3FCCCD1A"/>
    <w:lvl w:ilvl="0" w:tplc="F8927B7A">
      <w:start w:val="1"/>
      <w:numFmt w:val="bullet"/>
      <w:pStyle w:val="ListBullet2"/>
      <w:lvlText w:val=""/>
      <w:lvlJc w:val="left"/>
      <w:pPr>
        <w:tabs>
          <w:tab w:val="num" w:pos="680"/>
        </w:tabs>
        <w:ind w:left="680" w:hanging="340"/>
      </w:pPr>
      <w:rPr>
        <w:rFonts w:ascii="Wingdings" w:hAnsi="Wingdings" w:hint="default"/>
        <w:color w:val="8499A6"/>
        <w:sz w:val="20"/>
      </w:rPr>
    </w:lvl>
    <w:lvl w:ilvl="1" w:tplc="B0649FC8">
      <w:start w:val="1"/>
      <w:numFmt w:val="bullet"/>
      <w:lvlText w:val="o"/>
      <w:lvlJc w:val="left"/>
      <w:pPr>
        <w:tabs>
          <w:tab w:val="num" w:pos="2806"/>
        </w:tabs>
        <w:ind w:left="2806" w:hanging="360"/>
      </w:pPr>
      <w:rPr>
        <w:rFonts w:ascii="Courier New" w:hAnsi="Courier New" w:hint="default"/>
      </w:rPr>
    </w:lvl>
    <w:lvl w:ilvl="2" w:tplc="04090005" w:tentative="1">
      <w:start w:val="1"/>
      <w:numFmt w:val="bullet"/>
      <w:lvlText w:val=""/>
      <w:lvlJc w:val="left"/>
      <w:pPr>
        <w:tabs>
          <w:tab w:val="num" w:pos="3526"/>
        </w:tabs>
        <w:ind w:left="3526" w:hanging="360"/>
      </w:pPr>
      <w:rPr>
        <w:rFonts w:ascii="Wingdings" w:hAnsi="Wingdings" w:hint="default"/>
      </w:rPr>
    </w:lvl>
    <w:lvl w:ilvl="3" w:tplc="04090001" w:tentative="1">
      <w:start w:val="1"/>
      <w:numFmt w:val="bullet"/>
      <w:lvlText w:val=""/>
      <w:lvlJc w:val="left"/>
      <w:pPr>
        <w:tabs>
          <w:tab w:val="num" w:pos="4246"/>
        </w:tabs>
        <w:ind w:left="4246" w:hanging="360"/>
      </w:pPr>
      <w:rPr>
        <w:rFonts w:ascii="Symbol" w:hAnsi="Symbol" w:hint="default"/>
      </w:rPr>
    </w:lvl>
    <w:lvl w:ilvl="4" w:tplc="04090003" w:tentative="1">
      <w:start w:val="1"/>
      <w:numFmt w:val="bullet"/>
      <w:lvlText w:val="o"/>
      <w:lvlJc w:val="left"/>
      <w:pPr>
        <w:tabs>
          <w:tab w:val="num" w:pos="4966"/>
        </w:tabs>
        <w:ind w:left="4966" w:hanging="360"/>
      </w:pPr>
      <w:rPr>
        <w:rFonts w:ascii="Courier New" w:hAnsi="Courier New" w:hint="default"/>
      </w:rPr>
    </w:lvl>
    <w:lvl w:ilvl="5" w:tplc="04090005" w:tentative="1">
      <w:start w:val="1"/>
      <w:numFmt w:val="bullet"/>
      <w:lvlText w:val=""/>
      <w:lvlJc w:val="left"/>
      <w:pPr>
        <w:tabs>
          <w:tab w:val="num" w:pos="5686"/>
        </w:tabs>
        <w:ind w:left="5686" w:hanging="360"/>
      </w:pPr>
      <w:rPr>
        <w:rFonts w:ascii="Wingdings" w:hAnsi="Wingdings" w:hint="default"/>
      </w:rPr>
    </w:lvl>
    <w:lvl w:ilvl="6" w:tplc="04090001" w:tentative="1">
      <w:start w:val="1"/>
      <w:numFmt w:val="bullet"/>
      <w:lvlText w:val=""/>
      <w:lvlJc w:val="left"/>
      <w:pPr>
        <w:tabs>
          <w:tab w:val="num" w:pos="6406"/>
        </w:tabs>
        <w:ind w:left="6406" w:hanging="360"/>
      </w:pPr>
      <w:rPr>
        <w:rFonts w:ascii="Symbol" w:hAnsi="Symbol" w:hint="default"/>
      </w:rPr>
    </w:lvl>
    <w:lvl w:ilvl="7" w:tplc="04090003" w:tentative="1">
      <w:start w:val="1"/>
      <w:numFmt w:val="bullet"/>
      <w:lvlText w:val="o"/>
      <w:lvlJc w:val="left"/>
      <w:pPr>
        <w:tabs>
          <w:tab w:val="num" w:pos="7126"/>
        </w:tabs>
        <w:ind w:left="7126" w:hanging="360"/>
      </w:pPr>
      <w:rPr>
        <w:rFonts w:ascii="Courier New" w:hAnsi="Courier New" w:hint="default"/>
      </w:rPr>
    </w:lvl>
    <w:lvl w:ilvl="8" w:tplc="04090005" w:tentative="1">
      <w:start w:val="1"/>
      <w:numFmt w:val="bullet"/>
      <w:lvlText w:val=""/>
      <w:lvlJc w:val="left"/>
      <w:pPr>
        <w:tabs>
          <w:tab w:val="num" w:pos="7846"/>
        </w:tabs>
        <w:ind w:left="7846" w:hanging="360"/>
      </w:pPr>
      <w:rPr>
        <w:rFonts w:ascii="Wingdings" w:hAnsi="Wingdings" w:hint="default"/>
      </w:rPr>
    </w:lvl>
  </w:abstractNum>
  <w:abstractNum w:abstractNumId="8" w15:restartNumberingAfterBreak="0">
    <w:nsid w:val="196D1F1A"/>
    <w:multiLevelType w:val="hybridMultilevel"/>
    <w:tmpl w:val="BE72B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9A92175"/>
    <w:multiLevelType w:val="hybridMultilevel"/>
    <w:tmpl w:val="6CF6A9B4"/>
    <w:lvl w:ilvl="0" w:tplc="3E56E864">
      <w:start w:val="1"/>
      <w:numFmt w:val="decimal"/>
      <w:pStyle w:val="ListNumber"/>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9"/>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E692612"/>
    <w:multiLevelType w:val="hybridMultilevel"/>
    <w:tmpl w:val="2696925E"/>
    <w:lvl w:ilvl="0" w:tplc="BCF0D7D4">
      <w:start w:val="1"/>
      <w:numFmt w:val="lowerRoman"/>
      <w:pStyle w:val="Question5"/>
      <w:lvlText w:val="%1."/>
      <w:lvlJc w:val="left"/>
      <w:pPr>
        <w:tabs>
          <w:tab w:val="num" w:pos="717"/>
        </w:tabs>
        <w:ind w:left="717" w:hanging="360"/>
      </w:pPr>
      <w:rPr>
        <w:rFonts w:ascii="Verdana" w:hAnsi="Verdana" w:hint="default"/>
        <w:b/>
        <w:i w:val="0"/>
        <w:color w:val="0060A9"/>
        <w:sz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08346DC"/>
    <w:multiLevelType w:val="multilevel"/>
    <w:tmpl w:val="1890963E"/>
    <w:styleLink w:val="NumHeadListChapter"/>
    <w:lvl w:ilvl="0">
      <w:start w:val="1"/>
      <w:numFmt w:val="decimal"/>
      <w:isLgl/>
      <w:lvlText w:val="%1."/>
      <w:lvlJc w:val="left"/>
      <w:pPr>
        <w:tabs>
          <w:tab w:val="num" w:pos="1008"/>
        </w:tabs>
        <w:ind w:left="1008" w:hanging="1008"/>
      </w:pPr>
      <w:rPr>
        <w:rFonts w:ascii="Arial" w:hAnsi="Arial" w:hint="default"/>
        <w:color w:val="002144"/>
        <w:sz w:val="32"/>
        <w:szCs w:val="20"/>
      </w:rPr>
    </w:lvl>
    <w:lvl w:ilvl="1">
      <w:start w:val="1"/>
      <w:numFmt w:val="decimal"/>
      <w:isLgl/>
      <w:lvlText w:val="%1.%2."/>
      <w:lvlJc w:val="left"/>
      <w:pPr>
        <w:tabs>
          <w:tab w:val="num" w:pos="1008"/>
        </w:tabs>
        <w:ind w:left="1008" w:hanging="1008"/>
      </w:pPr>
      <w:rPr>
        <w:rFonts w:ascii="Arial" w:hAnsi="Arial" w:hint="default"/>
        <w:b w:val="0"/>
        <w:i w:val="0"/>
        <w:color w:val="003263"/>
        <w:sz w:val="25"/>
        <w:szCs w:val="20"/>
      </w:rPr>
    </w:lvl>
    <w:lvl w:ilvl="2">
      <w:start w:val="1"/>
      <w:numFmt w:val="decimal"/>
      <w:isLgl/>
      <w:lvlText w:val="%1.%2.%3."/>
      <w:lvlJc w:val="left"/>
      <w:pPr>
        <w:tabs>
          <w:tab w:val="num" w:pos="1008"/>
        </w:tabs>
        <w:ind w:left="1008" w:hanging="1008"/>
      </w:pPr>
      <w:rPr>
        <w:rFonts w:ascii="Arial" w:hAnsi="Arial" w:hint="default"/>
        <w:b w:val="0"/>
        <w:i w:val="0"/>
        <w:color w:val="003263"/>
        <w:sz w:val="22"/>
        <w:szCs w:val="20"/>
      </w:rPr>
    </w:lvl>
    <w:lvl w:ilvl="3">
      <w:start w:val="1"/>
      <w:numFmt w:val="decimal"/>
      <w:isLgl/>
      <w:lvlText w:val="%1.%2.%3.%4."/>
      <w:lvlJc w:val="left"/>
      <w:pPr>
        <w:tabs>
          <w:tab w:val="num" w:pos="1008"/>
        </w:tabs>
        <w:ind w:left="1008" w:hanging="1008"/>
      </w:pPr>
      <w:rPr>
        <w:rFonts w:ascii="Arial" w:hAnsi="Arial" w:hint="default"/>
        <w:b w:val="0"/>
        <w:i w:val="0"/>
        <w:color w:val="003263"/>
        <w:sz w:val="20"/>
        <w:szCs w:val="20"/>
      </w:rPr>
    </w:lvl>
    <w:lvl w:ilvl="4">
      <w:start w:val="1"/>
      <w:numFmt w:val="decimal"/>
      <w:isLgl/>
      <w:lvlText w:val="%1.%2.%3.%4.%5."/>
      <w:lvlJc w:val="left"/>
      <w:pPr>
        <w:tabs>
          <w:tab w:val="num" w:pos="1008"/>
        </w:tabs>
        <w:ind w:left="1008" w:hanging="1008"/>
      </w:pPr>
      <w:rPr>
        <w:rFonts w:ascii="Arial" w:hAnsi="Arial" w:hint="default"/>
        <w:color w:val="003263"/>
        <w:sz w:val="20"/>
        <w:szCs w:val="20"/>
      </w:rPr>
    </w:lvl>
    <w:lvl w:ilvl="5">
      <w:start w:val="1"/>
      <w:numFmt w:val="decimal"/>
      <w:lvlText w:val="%1.%2.%3.%4.%5.%6"/>
      <w:lvlJc w:val="left"/>
      <w:pPr>
        <w:tabs>
          <w:tab w:val="num" w:pos="1152"/>
        </w:tabs>
        <w:ind w:left="1152" w:hanging="1152"/>
      </w:pPr>
      <w:rPr>
        <w:rFonts w:ascii="Arial" w:hAnsi="Arial"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31C03D0A"/>
    <w:multiLevelType w:val="hybridMultilevel"/>
    <w:tmpl w:val="084C962C"/>
    <w:lvl w:ilvl="0" w:tplc="9790FE42">
      <w:start w:val="1"/>
      <w:numFmt w:val="bullet"/>
      <w:pStyle w:val="ListBullet3"/>
      <w:lvlText w:val="–"/>
      <w:lvlJc w:val="left"/>
      <w:pPr>
        <w:tabs>
          <w:tab w:val="num" w:pos="1020"/>
        </w:tabs>
        <w:ind w:left="1020" w:hanging="340"/>
      </w:pPr>
      <w:rPr>
        <w:rFonts w:ascii="Arial" w:hAnsi="Arial" w:hint="default"/>
        <w:b w:val="0"/>
        <w:i w:val="0"/>
        <w:caps w:val="0"/>
        <w:strike w:val="0"/>
        <w:dstrike w:val="0"/>
        <w:vanish w:val="0"/>
        <w:color w:val="8499A6"/>
        <w:spacing w:val="0"/>
        <w:w w:val="100"/>
        <w:kern w:val="0"/>
        <w:position w:val="0"/>
        <w:sz w:val="2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2800"/>
        </w:tabs>
        <w:ind w:left="2800" w:hanging="360"/>
      </w:pPr>
    </w:lvl>
    <w:lvl w:ilvl="2" w:tplc="0409001B" w:tentative="1">
      <w:start w:val="1"/>
      <w:numFmt w:val="lowerRoman"/>
      <w:lvlText w:val="%3."/>
      <w:lvlJc w:val="right"/>
      <w:pPr>
        <w:tabs>
          <w:tab w:val="num" w:pos="3520"/>
        </w:tabs>
        <w:ind w:left="3520" w:hanging="180"/>
      </w:pPr>
    </w:lvl>
    <w:lvl w:ilvl="3" w:tplc="0409000F" w:tentative="1">
      <w:start w:val="1"/>
      <w:numFmt w:val="decimal"/>
      <w:lvlText w:val="%4."/>
      <w:lvlJc w:val="left"/>
      <w:pPr>
        <w:tabs>
          <w:tab w:val="num" w:pos="4240"/>
        </w:tabs>
        <w:ind w:left="4240" w:hanging="360"/>
      </w:pPr>
    </w:lvl>
    <w:lvl w:ilvl="4" w:tplc="04090019" w:tentative="1">
      <w:start w:val="1"/>
      <w:numFmt w:val="lowerLetter"/>
      <w:lvlText w:val="%5."/>
      <w:lvlJc w:val="left"/>
      <w:pPr>
        <w:tabs>
          <w:tab w:val="num" w:pos="4960"/>
        </w:tabs>
        <w:ind w:left="4960" w:hanging="360"/>
      </w:pPr>
    </w:lvl>
    <w:lvl w:ilvl="5" w:tplc="0409001B" w:tentative="1">
      <w:start w:val="1"/>
      <w:numFmt w:val="lowerRoman"/>
      <w:lvlText w:val="%6."/>
      <w:lvlJc w:val="right"/>
      <w:pPr>
        <w:tabs>
          <w:tab w:val="num" w:pos="5680"/>
        </w:tabs>
        <w:ind w:left="5680" w:hanging="180"/>
      </w:pPr>
    </w:lvl>
    <w:lvl w:ilvl="6" w:tplc="0409000F" w:tentative="1">
      <w:start w:val="1"/>
      <w:numFmt w:val="decimal"/>
      <w:lvlText w:val="%7."/>
      <w:lvlJc w:val="left"/>
      <w:pPr>
        <w:tabs>
          <w:tab w:val="num" w:pos="6400"/>
        </w:tabs>
        <w:ind w:left="6400" w:hanging="360"/>
      </w:pPr>
    </w:lvl>
    <w:lvl w:ilvl="7" w:tplc="04090019" w:tentative="1">
      <w:start w:val="1"/>
      <w:numFmt w:val="lowerLetter"/>
      <w:lvlText w:val="%8."/>
      <w:lvlJc w:val="left"/>
      <w:pPr>
        <w:tabs>
          <w:tab w:val="num" w:pos="7120"/>
        </w:tabs>
        <w:ind w:left="7120" w:hanging="360"/>
      </w:pPr>
    </w:lvl>
    <w:lvl w:ilvl="8" w:tplc="0409001B" w:tentative="1">
      <w:start w:val="1"/>
      <w:numFmt w:val="lowerRoman"/>
      <w:lvlText w:val="%9."/>
      <w:lvlJc w:val="right"/>
      <w:pPr>
        <w:tabs>
          <w:tab w:val="num" w:pos="7840"/>
        </w:tabs>
        <w:ind w:left="7840" w:hanging="180"/>
      </w:pPr>
    </w:lvl>
  </w:abstractNum>
  <w:abstractNum w:abstractNumId="13" w15:restartNumberingAfterBreak="0">
    <w:nsid w:val="324549D6"/>
    <w:multiLevelType w:val="multilevel"/>
    <w:tmpl w:val="7CCE5D8C"/>
    <w:lvl w:ilvl="0">
      <w:start w:val="1"/>
      <w:numFmt w:val="decimal"/>
      <w:lvlText w:val="%1."/>
      <w:lvlJc w:val="left"/>
      <w:pPr>
        <w:tabs>
          <w:tab w:val="num" w:pos="432"/>
        </w:tabs>
        <w:ind w:left="432" w:hanging="432"/>
      </w:pPr>
      <w:rPr>
        <w:rFonts w:ascii="Arial" w:hAnsi="Arial" w:hint="default"/>
        <w:b/>
        <w:i w:val="0"/>
        <w:sz w:val="20"/>
        <w:szCs w:val="20"/>
      </w:rPr>
    </w:lvl>
    <w:lvl w:ilvl="1">
      <w:start w:val="1"/>
      <w:numFmt w:val="decimal"/>
      <w:lvlRestart w:val="0"/>
      <w:suff w:val="nothing"/>
      <w:lvlText w:val="Section %2"/>
      <w:lvlJc w:val="left"/>
      <w:pPr>
        <w:ind w:left="0" w:firstLine="0"/>
      </w:pPr>
      <w:rPr>
        <w:rFonts w:ascii="Arial" w:hAnsi="Arial" w:cs="Arial" w:hint="default"/>
        <w:b/>
        <w:i w:val="0"/>
        <w:sz w:val="48"/>
        <w:szCs w:val="20"/>
      </w:rPr>
    </w:lvl>
    <w:lvl w:ilvl="2">
      <w:start w:val="1"/>
      <w:numFmt w:val="upperRoman"/>
      <w:lvlRestart w:val="0"/>
      <w:suff w:val="nothing"/>
      <w:lvlText w:val="Appendix %3"/>
      <w:lvlJc w:val="left"/>
      <w:pPr>
        <w:ind w:left="0" w:firstLine="0"/>
      </w:pPr>
      <w:rPr>
        <w:rFonts w:ascii="Arial" w:hAnsi="Arial" w:cs="Arial" w:hint="default"/>
        <w:b/>
        <w:i w:val="0"/>
        <w:sz w:val="48"/>
        <w:szCs w:val="20"/>
      </w:rPr>
    </w:lvl>
    <w:lvl w:ilvl="3">
      <w:start w:val="1"/>
      <w:numFmt w:val="upperLetter"/>
      <w:suff w:val="nothing"/>
      <w:lvlText w:val="Tab %4"/>
      <w:lvlJc w:val="left"/>
      <w:pPr>
        <w:ind w:left="0" w:firstLine="0"/>
      </w:pPr>
      <w:rPr>
        <w:rFonts w:ascii="Arial" w:hAnsi="Arial" w:cs="Arial" w:hint="default"/>
        <w:b/>
        <w:sz w:val="48"/>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upperLetter"/>
      <w:lvlRestart w:val="3"/>
      <w:pStyle w:val="Heading8"/>
      <w:suff w:val="nothing"/>
      <w:lvlText w:val="Tab %8"/>
      <w:lvlJc w:val="left"/>
      <w:pPr>
        <w:ind w:left="0" w:firstLine="0"/>
      </w:pPr>
      <w:rPr>
        <w:rFonts w:ascii="Arial" w:hAnsi="Arial" w:cs="Arial" w:hint="default"/>
        <w:b/>
        <w:sz w:val="48"/>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3FDF0D99"/>
    <w:multiLevelType w:val="hybridMultilevel"/>
    <w:tmpl w:val="7312DE7E"/>
    <w:lvl w:ilvl="0" w:tplc="FD76358A">
      <w:start w:val="1"/>
      <w:numFmt w:val="lowerRoman"/>
      <w:pStyle w:val="List4"/>
      <w:lvlText w:val="%1."/>
      <w:lvlJc w:val="left"/>
      <w:pPr>
        <w:tabs>
          <w:tab w:val="num" w:pos="677"/>
        </w:tabs>
        <w:ind w:left="680" w:hanging="340"/>
      </w:pPr>
      <w:rPr>
        <w:rFonts w:ascii="Verdana" w:hAnsi="Verdana" w:hint="default"/>
        <w:b/>
        <w:i w:val="0"/>
        <w:caps w:val="0"/>
        <w:strike w:val="0"/>
        <w:dstrike w:val="0"/>
        <w:vanish w:val="0"/>
        <w:color w:val="0060A9"/>
        <w:spacing w:val="0"/>
        <w:w w:val="100"/>
        <w:kern w:val="0"/>
        <w:position w:val="0"/>
        <w:sz w:val="16"/>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FEA26C0"/>
    <w:multiLevelType w:val="hybridMultilevel"/>
    <w:tmpl w:val="33D0349E"/>
    <w:lvl w:ilvl="0" w:tplc="4DF069A4">
      <w:start w:val="1"/>
      <w:numFmt w:val="bullet"/>
      <w:pStyle w:val="TableBullet3"/>
      <w:lvlText w:val="–"/>
      <w:lvlJc w:val="left"/>
      <w:pPr>
        <w:tabs>
          <w:tab w:val="num" w:pos="216"/>
        </w:tabs>
        <w:ind w:left="595" w:hanging="198"/>
      </w:pPr>
      <w:rPr>
        <w:rFonts w:ascii="Verdana" w:hAnsi="Verdana" w:hint="default"/>
        <w:b w:val="0"/>
        <w:i w:val="0"/>
        <w:color w:val="6F6E6F"/>
        <w:sz w:val="16"/>
      </w:rPr>
    </w:lvl>
    <w:lvl w:ilvl="1" w:tplc="04090019">
      <w:start w:val="1"/>
      <w:numFmt w:val="bullet"/>
      <w:lvlText w:val="–"/>
      <w:lvlJc w:val="left"/>
      <w:pPr>
        <w:tabs>
          <w:tab w:val="num" w:pos="216"/>
        </w:tabs>
        <w:ind w:left="648" w:hanging="216"/>
      </w:pPr>
      <w:rPr>
        <w:rFonts w:ascii="Century Gothic" w:hAnsi="Century Gothic" w:hint="default"/>
        <w:b w:val="0"/>
        <w:i w:val="0"/>
        <w:color w:val="auto"/>
        <w:sz w:val="16"/>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42C0BD1"/>
    <w:multiLevelType w:val="hybridMultilevel"/>
    <w:tmpl w:val="6AC8D7F0"/>
    <w:lvl w:ilvl="0" w:tplc="C7F224E2">
      <w:start w:val="1"/>
      <w:numFmt w:val="decimal"/>
      <w:pStyle w:val="Question1"/>
      <w:lvlText w:val="%1."/>
      <w:lvlJc w:val="left"/>
      <w:pPr>
        <w:tabs>
          <w:tab w:val="num" w:pos="360"/>
        </w:tabs>
        <w:ind w:left="360" w:hanging="360"/>
      </w:pPr>
      <w:rPr>
        <w:rFonts w:ascii="Verdana" w:hAnsi="Verdana" w:hint="default"/>
        <w:b/>
        <w:i w:val="0"/>
        <w:color w:val="0060A9"/>
        <w:sz w:val="18"/>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8827669"/>
    <w:multiLevelType w:val="hybridMultilevel"/>
    <w:tmpl w:val="BAAE3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07149E0"/>
    <w:multiLevelType w:val="hybridMultilevel"/>
    <w:tmpl w:val="F8EC1A8C"/>
    <w:lvl w:ilvl="0" w:tplc="6E24CF20">
      <w:start w:val="1"/>
      <w:numFmt w:val="lowerLetter"/>
      <w:pStyle w:val="List3"/>
      <w:lvlText w:val="%1."/>
      <w:lvlJc w:val="left"/>
      <w:pPr>
        <w:tabs>
          <w:tab w:val="num" w:pos="340"/>
        </w:tabs>
        <w:ind w:left="340" w:hanging="340"/>
      </w:pPr>
      <w:rPr>
        <w:rFonts w:ascii="Arial Bold" w:hAnsi="Arial Bold" w:hint="default"/>
        <w:b/>
        <w:i w:val="0"/>
        <w:caps w:val="0"/>
        <w:strike w:val="0"/>
        <w:dstrike w:val="0"/>
        <w:vanish w:val="0"/>
        <w:color w:val="0060A9"/>
        <w:spacing w:val="0"/>
        <w:w w:val="100"/>
        <w:kern w:val="0"/>
        <w:position w:val="0"/>
        <w:sz w:val="18"/>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1185B21"/>
    <w:multiLevelType w:val="hybridMultilevel"/>
    <w:tmpl w:val="5CAA3A06"/>
    <w:lvl w:ilvl="0" w:tplc="488695A6">
      <w:start w:val="1"/>
      <w:numFmt w:val="decimal"/>
      <w:pStyle w:val="TableBulletNumeric"/>
      <w:lvlText w:val="%1."/>
      <w:lvlJc w:val="left"/>
      <w:pPr>
        <w:tabs>
          <w:tab w:val="num" w:pos="216"/>
        </w:tabs>
        <w:ind w:left="216" w:hanging="216"/>
      </w:pPr>
      <w:rPr>
        <w:rFonts w:ascii="Arial" w:hAnsi="Arial" w:cs="Arial" w:hint="default"/>
        <w:b/>
        <w:i w:val="0"/>
        <w:color w:val="0060A9"/>
        <w:sz w:val="15"/>
        <w:u w:val="none"/>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2416A5"/>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57552717"/>
    <w:multiLevelType w:val="hybridMultilevel"/>
    <w:tmpl w:val="E136582A"/>
    <w:lvl w:ilvl="0" w:tplc="B2A84794">
      <w:start w:val="1"/>
      <w:numFmt w:val="bullet"/>
      <w:pStyle w:val="TableBullet2"/>
      <w:lvlText w:val=""/>
      <w:lvlJc w:val="left"/>
      <w:pPr>
        <w:tabs>
          <w:tab w:val="num" w:pos="397"/>
        </w:tabs>
        <w:ind w:left="397" w:hanging="198"/>
      </w:pPr>
      <w:rPr>
        <w:rFonts w:ascii="Wingdings" w:hAnsi="Wingdings" w:hint="default"/>
        <w:b w:val="0"/>
        <w:i w:val="0"/>
        <w:color w:val="8499A6"/>
        <w:sz w:val="16"/>
      </w:rPr>
    </w:lvl>
    <w:lvl w:ilvl="1" w:tplc="04090019" w:tentative="1">
      <w:start w:val="1"/>
      <w:numFmt w:val="bullet"/>
      <w:lvlText w:val="o"/>
      <w:lvlJc w:val="left"/>
      <w:pPr>
        <w:tabs>
          <w:tab w:val="num" w:pos="1656"/>
        </w:tabs>
        <w:ind w:left="1656" w:hanging="360"/>
      </w:pPr>
      <w:rPr>
        <w:rFonts w:ascii="Courier New" w:hAnsi="Courier New" w:hint="default"/>
      </w:rPr>
    </w:lvl>
    <w:lvl w:ilvl="2" w:tplc="0409001B" w:tentative="1">
      <w:start w:val="1"/>
      <w:numFmt w:val="bullet"/>
      <w:lvlText w:val=""/>
      <w:lvlJc w:val="left"/>
      <w:pPr>
        <w:tabs>
          <w:tab w:val="num" w:pos="2376"/>
        </w:tabs>
        <w:ind w:left="2376" w:hanging="360"/>
      </w:pPr>
      <w:rPr>
        <w:rFonts w:ascii="Wingdings" w:hAnsi="Wingdings" w:hint="default"/>
      </w:rPr>
    </w:lvl>
    <w:lvl w:ilvl="3" w:tplc="0409000F" w:tentative="1">
      <w:start w:val="1"/>
      <w:numFmt w:val="bullet"/>
      <w:lvlText w:val=""/>
      <w:lvlJc w:val="left"/>
      <w:pPr>
        <w:tabs>
          <w:tab w:val="num" w:pos="3096"/>
        </w:tabs>
        <w:ind w:left="3096" w:hanging="360"/>
      </w:pPr>
      <w:rPr>
        <w:rFonts w:ascii="Symbol" w:hAnsi="Symbol" w:hint="default"/>
      </w:rPr>
    </w:lvl>
    <w:lvl w:ilvl="4" w:tplc="04090019" w:tentative="1">
      <w:start w:val="1"/>
      <w:numFmt w:val="bullet"/>
      <w:lvlText w:val="o"/>
      <w:lvlJc w:val="left"/>
      <w:pPr>
        <w:tabs>
          <w:tab w:val="num" w:pos="3816"/>
        </w:tabs>
        <w:ind w:left="3816" w:hanging="360"/>
      </w:pPr>
      <w:rPr>
        <w:rFonts w:ascii="Courier New" w:hAnsi="Courier New" w:hint="default"/>
      </w:rPr>
    </w:lvl>
    <w:lvl w:ilvl="5" w:tplc="0409001B" w:tentative="1">
      <w:start w:val="1"/>
      <w:numFmt w:val="bullet"/>
      <w:lvlText w:val=""/>
      <w:lvlJc w:val="left"/>
      <w:pPr>
        <w:tabs>
          <w:tab w:val="num" w:pos="4536"/>
        </w:tabs>
        <w:ind w:left="4536" w:hanging="360"/>
      </w:pPr>
      <w:rPr>
        <w:rFonts w:ascii="Wingdings" w:hAnsi="Wingdings" w:hint="default"/>
      </w:rPr>
    </w:lvl>
    <w:lvl w:ilvl="6" w:tplc="0409000F" w:tentative="1">
      <w:start w:val="1"/>
      <w:numFmt w:val="bullet"/>
      <w:lvlText w:val=""/>
      <w:lvlJc w:val="left"/>
      <w:pPr>
        <w:tabs>
          <w:tab w:val="num" w:pos="5256"/>
        </w:tabs>
        <w:ind w:left="5256" w:hanging="360"/>
      </w:pPr>
      <w:rPr>
        <w:rFonts w:ascii="Symbol" w:hAnsi="Symbol" w:hint="default"/>
      </w:rPr>
    </w:lvl>
    <w:lvl w:ilvl="7" w:tplc="04090019" w:tentative="1">
      <w:start w:val="1"/>
      <w:numFmt w:val="bullet"/>
      <w:lvlText w:val="o"/>
      <w:lvlJc w:val="left"/>
      <w:pPr>
        <w:tabs>
          <w:tab w:val="num" w:pos="5976"/>
        </w:tabs>
        <w:ind w:left="5976" w:hanging="360"/>
      </w:pPr>
      <w:rPr>
        <w:rFonts w:ascii="Courier New" w:hAnsi="Courier New" w:hint="default"/>
      </w:rPr>
    </w:lvl>
    <w:lvl w:ilvl="8" w:tplc="0409001B" w:tentative="1">
      <w:start w:val="1"/>
      <w:numFmt w:val="bullet"/>
      <w:lvlText w:val=""/>
      <w:lvlJc w:val="left"/>
      <w:pPr>
        <w:tabs>
          <w:tab w:val="num" w:pos="6696"/>
        </w:tabs>
        <w:ind w:left="6696" w:hanging="360"/>
      </w:pPr>
      <w:rPr>
        <w:rFonts w:ascii="Wingdings" w:hAnsi="Wingdings" w:hint="default"/>
      </w:rPr>
    </w:lvl>
  </w:abstractNum>
  <w:abstractNum w:abstractNumId="22" w15:restartNumberingAfterBreak="0">
    <w:nsid w:val="5D29300D"/>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5EA53A05"/>
    <w:multiLevelType w:val="multilevel"/>
    <w:tmpl w:val="DE12FF56"/>
    <w:lvl w:ilvl="0">
      <w:start w:val="1"/>
      <w:numFmt w:val="decimal"/>
      <w:pStyle w:val="NumHead1"/>
      <w:lvlText w:val="%1."/>
      <w:lvlJc w:val="left"/>
      <w:pPr>
        <w:tabs>
          <w:tab w:val="num" w:pos="340"/>
        </w:tabs>
        <w:ind w:left="340" w:hanging="340"/>
      </w:pPr>
      <w:rPr>
        <w:rFonts w:ascii="Arial" w:hAnsi="Arial" w:hint="default"/>
        <w:b w:val="0"/>
        <w:i w:val="0"/>
        <w:color w:val="003263"/>
        <w:sz w:val="32"/>
      </w:rPr>
    </w:lvl>
    <w:lvl w:ilvl="1">
      <w:start w:val="1"/>
      <w:numFmt w:val="decimal"/>
      <w:pStyle w:val="NumHead2"/>
      <w:lvlText w:val="%1.%2."/>
      <w:lvlJc w:val="left"/>
      <w:pPr>
        <w:tabs>
          <w:tab w:val="num" w:pos="340"/>
        </w:tabs>
        <w:ind w:left="340" w:hanging="340"/>
      </w:pPr>
      <w:rPr>
        <w:rFonts w:ascii="Arial" w:hAnsi="Arial" w:hint="default"/>
        <w:b w:val="0"/>
        <w:i w:val="0"/>
        <w:color w:val="0060A9"/>
        <w:sz w:val="25"/>
      </w:rPr>
    </w:lvl>
    <w:lvl w:ilvl="2">
      <w:start w:val="1"/>
      <w:numFmt w:val="decimal"/>
      <w:pStyle w:val="NumHead3"/>
      <w:lvlText w:val="%1.%2.%3."/>
      <w:lvlJc w:val="left"/>
      <w:pPr>
        <w:tabs>
          <w:tab w:val="num" w:pos="1224"/>
        </w:tabs>
        <w:ind w:left="1224" w:hanging="1224"/>
      </w:pPr>
      <w:rPr>
        <w:rFonts w:ascii="Arial" w:hAnsi="Arial" w:hint="default"/>
        <w:b w:val="0"/>
        <w:i w:val="0"/>
        <w:color w:val="0060A9"/>
        <w:sz w:val="22"/>
        <w:u w:val="none"/>
      </w:rPr>
    </w:lvl>
    <w:lvl w:ilvl="3">
      <w:start w:val="1"/>
      <w:numFmt w:val="decimal"/>
      <w:pStyle w:val="NumHead4"/>
      <w:lvlText w:val="%1.%2.%3.%4."/>
      <w:lvlJc w:val="left"/>
      <w:pPr>
        <w:tabs>
          <w:tab w:val="num" w:pos="1728"/>
        </w:tabs>
        <w:ind w:left="1728" w:hanging="1728"/>
      </w:pPr>
      <w:rPr>
        <w:rFonts w:ascii="Arial" w:hAnsi="Arial" w:hint="default"/>
        <w:b w:val="0"/>
        <w:i w:val="0"/>
        <w:color w:val="0060A9"/>
        <w:sz w:val="21"/>
      </w:rPr>
    </w:lvl>
    <w:lvl w:ilvl="4">
      <w:start w:val="1"/>
      <w:numFmt w:val="decimal"/>
      <w:pStyle w:val="NumHead5"/>
      <w:lvlText w:val="%1.%2.%3.%4.%5."/>
      <w:lvlJc w:val="left"/>
      <w:pPr>
        <w:tabs>
          <w:tab w:val="num" w:pos="2232"/>
        </w:tabs>
        <w:ind w:left="2232" w:hanging="2232"/>
      </w:pPr>
      <w:rPr>
        <w:rFonts w:ascii="Arial" w:hAnsi="Arial" w:hint="default"/>
        <w:b w:val="0"/>
        <w:i w:val="0"/>
        <w:color w:val="0060A9"/>
        <w:sz w:val="20"/>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FBE4149"/>
    <w:multiLevelType w:val="multilevel"/>
    <w:tmpl w:val="182CC5EC"/>
    <w:styleLink w:val="NumHeadListAppendix"/>
    <w:lvl w:ilvl="0">
      <w:start w:val="1"/>
      <w:numFmt w:val="upperRoman"/>
      <w:lvlText w:val="%1."/>
      <w:lvlJc w:val="left"/>
      <w:pPr>
        <w:tabs>
          <w:tab w:val="num" w:pos="1008"/>
        </w:tabs>
        <w:ind w:left="1008" w:hanging="1008"/>
      </w:pPr>
      <w:rPr>
        <w:rFonts w:ascii="Arial Bold" w:hAnsi="Arial Bold" w:hint="default"/>
        <w:b/>
        <w:i w:val="0"/>
        <w:vanish/>
        <w:color w:val="FF0000"/>
        <w:sz w:val="20"/>
        <w:szCs w:val="20"/>
      </w:rPr>
    </w:lvl>
    <w:lvl w:ilvl="1">
      <w:start w:val="1"/>
      <w:numFmt w:val="lowerLetter"/>
      <w:lvlText w:val="%1.%2."/>
      <w:lvlJc w:val="left"/>
      <w:pPr>
        <w:tabs>
          <w:tab w:val="num" w:pos="1008"/>
        </w:tabs>
        <w:ind w:left="1008" w:hanging="1008"/>
      </w:pPr>
      <w:rPr>
        <w:rFonts w:ascii="Arial Bold" w:hAnsi="Arial Bold" w:hint="default"/>
        <w:b/>
        <w:i w:val="0"/>
        <w:color w:val="auto"/>
        <w:sz w:val="20"/>
        <w:szCs w:val="20"/>
      </w:rPr>
    </w:lvl>
    <w:lvl w:ilvl="2">
      <w:start w:val="1"/>
      <w:numFmt w:val="lowerLetter"/>
      <w:lvlText w:val="%1.%2.%3."/>
      <w:lvlJc w:val="left"/>
      <w:pPr>
        <w:tabs>
          <w:tab w:val="num" w:pos="1008"/>
        </w:tabs>
        <w:ind w:left="1008" w:hanging="1008"/>
      </w:pPr>
      <w:rPr>
        <w:rFonts w:ascii="Arial Bold" w:hAnsi="Arial Bold" w:hint="default"/>
        <w:b/>
        <w:i w:val="0"/>
        <w:color w:val="auto"/>
        <w:sz w:val="20"/>
        <w:szCs w:val="20"/>
      </w:rPr>
    </w:lvl>
    <w:lvl w:ilvl="3">
      <w:start w:val="1"/>
      <w:numFmt w:val="lowerLetter"/>
      <w:lvlText w:val="%1.%2.%3.%4."/>
      <w:lvlJc w:val="left"/>
      <w:pPr>
        <w:tabs>
          <w:tab w:val="num" w:pos="1008"/>
        </w:tabs>
        <w:ind w:left="1008" w:hanging="1008"/>
      </w:pPr>
      <w:rPr>
        <w:rFonts w:ascii="Arial Bold" w:hAnsi="Arial Bold" w:hint="default"/>
        <w:b/>
        <w:i w:val="0"/>
        <w:color w:val="auto"/>
        <w:sz w:val="20"/>
        <w:szCs w:val="20"/>
      </w:rPr>
    </w:lvl>
    <w:lvl w:ilvl="4">
      <w:start w:val="1"/>
      <w:numFmt w:val="lowerLetter"/>
      <w:lvlText w:val="%1.%2.%3.%4.%5."/>
      <w:lvlJc w:val="left"/>
      <w:pPr>
        <w:tabs>
          <w:tab w:val="num" w:pos="1008"/>
        </w:tabs>
        <w:ind w:left="1008" w:hanging="1008"/>
      </w:pPr>
      <w:rPr>
        <w:rFonts w:ascii="Arial Bold" w:hAnsi="Arial Bold" w:hint="default"/>
        <w:b/>
        <w:i w:val="0"/>
        <w:color w:val="auto"/>
        <w:sz w:val="20"/>
        <w:szCs w:val="20"/>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60881325"/>
    <w:multiLevelType w:val="hybridMultilevel"/>
    <w:tmpl w:val="42E60554"/>
    <w:lvl w:ilvl="0" w:tplc="46AEE8B8">
      <w:start w:val="1"/>
      <w:numFmt w:val="lowerLetter"/>
      <w:pStyle w:val="Question3"/>
      <w:lvlText w:val="%1."/>
      <w:lvlJc w:val="left"/>
      <w:pPr>
        <w:tabs>
          <w:tab w:val="num" w:pos="360"/>
        </w:tabs>
        <w:ind w:left="360" w:hanging="360"/>
      </w:pPr>
      <w:rPr>
        <w:rFonts w:ascii="Verdana" w:hAnsi="Verdana" w:hint="default"/>
        <w:b/>
        <w:i w:val="0"/>
        <w:color w:val="0060A9"/>
        <w:sz w:val="1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8152E42"/>
    <w:multiLevelType w:val="hybridMultilevel"/>
    <w:tmpl w:val="4C282EF6"/>
    <w:lvl w:ilvl="0" w:tplc="85E065AC">
      <w:start w:val="1"/>
      <w:numFmt w:val="lowerLetter"/>
      <w:pStyle w:val="List2"/>
      <w:lvlText w:val="%1."/>
      <w:lvlJc w:val="left"/>
      <w:pPr>
        <w:tabs>
          <w:tab w:val="num" w:pos="680"/>
        </w:tabs>
        <w:ind w:left="680" w:hanging="340"/>
      </w:pPr>
      <w:rPr>
        <w:rFonts w:ascii="Arial Bold" w:hAnsi="Arial Bold" w:hint="default"/>
        <w:b/>
        <w:i w:val="0"/>
        <w:color w:val="0060A9"/>
        <w:sz w:val="16"/>
        <w:u w:val="none"/>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27" w15:restartNumberingAfterBreak="0">
    <w:nsid w:val="687408E2"/>
    <w:multiLevelType w:val="hybridMultilevel"/>
    <w:tmpl w:val="51AEDAC0"/>
    <w:lvl w:ilvl="0" w:tplc="B18CBFCA">
      <w:start w:val="1"/>
      <w:numFmt w:val="bullet"/>
      <w:pStyle w:val="ListBullet"/>
      <w:lvlText w:val=""/>
      <w:lvlJc w:val="left"/>
      <w:pPr>
        <w:tabs>
          <w:tab w:val="num" w:pos="340"/>
        </w:tabs>
        <w:ind w:left="340" w:hanging="340"/>
      </w:pPr>
      <w:rPr>
        <w:rFonts w:ascii="Wingdings" w:hAnsi="Wingdings" w:hint="default"/>
        <w:b w:val="0"/>
        <w:i w:val="0"/>
        <w:color w:val="0060A9"/>
        <w:w w:val="100"/>
        <w:sz w:val="20"/>
      </w:rPr>
    </w:lvl>
    <w:lvl w:ilvl="1" w:tplc="08090003">
      <w:start w:val="1"/>
      <w:numFmt w:val="bullet"/>
      <w:lvlText w:val="o"/>
      <w:lvlJc w:val="left"/>
      <w:pPr>
        <w:tabs>
          <w:tab w:val="num" w:pos="1224"/>
        </w:tabs>
        <w:ind w:left="1224" w:hanging="360"/>
      </w:pPr>
      <w:rPr>
        <w:rFonts w:ascii="Courier New" w:hAnsi="Courier New" w:cs="Courier New" w:hint="default"/>
      </w:rPr>
    </w:lvl>
    <w:lvl w:ilvl="2" w:tplc="08090005" w:tentative="1">
      <w:start w:val="1"/>
      <w:numFmt w:val="bullet"/>
      <w:lvlText w:val=""/>
      <w:lvlJc w:val="left"/>
      <w:pPr>
        <w:tabs>
          <w:tab w:val="num" w:pos="1944"/>
        </w:tabs>
        <w:ind w:left="1944" w:hanging="360"/>
      </w:pPr>
      <w:rPr>
        <w:rFonts w:ascii="Wingdings" w:hAnsi="Wingdings" w:hint="default"/>
      </w:rPr>
    </w:lvl>
    <w:lvl w:ilvl="3" w:tplc="08090001" w:tentative="1">
      <w:start w:val="1"/>
      <w:numFmt w:val="bullet"/>
      <w:lvlText w:val=""/>
      <w:lvlJc w:val="left"/>
      <w:pPr>
        <w:tabs>
          <w:tab w:val="num" w:pos="2664"/>
        </w:tabs>
        <w:ind w:left="2664" w:hanging="360"/>
      </w:pPr>
      <w:rPr>
        <w:rFonts w:ascii="Symbol" w:hAnsi="Symbol" w:hint="default"/>
      </w:rPr>
    </w:lvl>
    <w:lvl w:ilvl="4" w:tplc="08090003" w:tentative="1">
      <w:start w:val="1"/>
      <w:numFmt w:val="bullet"/>
      <w:lvlText w:val="o"/>
      <w:lvlJc w:val="left"/>
      <w:pPr>
        <w:tabs>
          <w:tab w:val="num" w:pos="3384"/>
        </w:tabs>
        <w:ind w:left="3384" w:hanging="360"/>
      </w:pPr>
      <w:rPr>
        <w:rFonts w:ascii="Courier New" w:hAnsi="Courier New" w:cs="Courier New" w:hint="default"/>
      </w:rPr>
    </w:lvl>
    <w:lvl w:ilvl="5" w:tplc="08090005" w:tentative="1">
      <w:start w:val="1"/>
      <w:numFmt w:val="bullet"/>
      <w:lvlText w:val=""/>
      <w:lvlJc w:val="left"/>
      <w:pPr>
        <w:tabs>
          <w:tab w:val="num" w:pos="4104"/>
        </w:tabs>
        <w:ind w:left="4104" w:hanging="360"/>
      </w:pPr>
      <w:rPr>
        <w:rFonts w:ascii="Wingdings" w:hAnsi="Wingdings" w:hint="default"/>
      </w:rPr>
    </w:lvl>
    <w:lvl w:ilvl="6" w:tplc="08090001" w:tentative="1">
      <w:start w:val="1"/>
      <w:numFmt w:val="bullet"/>
      <w:lvlText w:val=""/>
      <w:lvlJc w:val="left"/>
      <w:pPr>
        <w:tabs>
          <w:tab w:val="num" w:pos="4824"/>
        </w:tabs>
        <w:ind w:left="4824" w:hanging="360"/>
      </w:pPr>
      <w:rPr>
        <w:rFonts w:ascii="Symbol" w:hAnsi="Symbol" w:hint="default"/>
      </w:rPr>
    </w:lvl>
    <w:lvl w:ilvl="7" w:tplc="08090003" w:tentative="1">
      <w:start w:val="1"/>
      <w:numFmt w:val="bullet"/>
      <w:lvlText w:val="o"/>
      <w:lvlJc w:val="left"/>
      <w:pPr>
        <w:tabs>
          <w:tab w:val="num" w:pos="5544"/>
        </w:tabs>
        <w:ind w:left="5544" w:hanging="360"/>
      </w:pPr>
      <w:rPr>
        <w:rFonts w:ascii="Courier New" w:hAnsi="Courier New" w:cs="Courier New" w:hint="default"/>
      </w:rPr>
    </w:lvl>
    <w:lvl w:ilvl="8" w:tplc="08090005" w:tentative="1">
      <w:start w:val="1"/>
      <w:numFmt w:val="bullet"/>
      <w:lvlText w:val=""/>
      <w:lvlJc w:val="left"/>
      <w:pPr>
        <w:tabs>
          <w:tab w:val="num" w:pos="6264"/>
        </w:tabs>
        <w:ind w:left="6264" w:hanging="360"/>
      </w:pPr>
      <w:rPr>
        <w:rFonts w:ascii="Wingdings" w:hAnsi="Wingdings" w:hint="default"/>
      </w:rPr>
    </w:lvl>
  </w:abstractNum>
  <w:abstractNum w:abstractNumId="28" w15:restartNumberingAfterBreak="0">
    <w:nsid w:val="781352F0"/>
    <w:multiLevelType w:val="hybridMultilevel"/>
    <w:tmpl w:val="AD10E762"/>
    <w:lvl w:ilvl="0" w:tplc="23FAA4B8">
      <w:start w:val="1"/>
      <w:numFmt w:val="bullet"/>
      <w:pStyle w:val="Question4"/>
      <w:lvlText w:val=""/>
      <w:lvlJc w:val="left"/>
      <w:pPr>
        <w:tabs>
          <w:tab w:val="num" w:pos="717"/>
        </w:tabs>
        <w:ind w:left="717" w:hanging="360"/>
      </w:pPr>
      <w:rPr>
        <w:rFonts w:ascii="Wingdings" w:hAnsi="Wingdings" w:hint="default"/>
        <w:b w:val="0"/>
        <w:i w:val="0"/>
        <w:color w:val="0060A9"/>
        <w:spacing w:val="0"/>
        <w:w w:val="100"/>
        <w:kern w:val="0"/>
        <w:position w:val="0"/>
        <w:sz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7E7D5FDF"/>
    <w:multiLevelType w:val="hybridMultilevel"/>
    <w:tmpl w:val="3864BCDA"/>
    <w:lvl w:ilvl="0" w:tplc="2848CCF6">
      <w:start w:val="1"/>
      <w:numFmt w:val="bullet"/>
      <w:pStyle w:val="TableBullet1"/>
      <w:lvlText w:val=""/>
      <w:lvlJc w:val="left"/>
      <w:pPr>
        <w:tabs>
          <w:tab w:val="num" w:pos="199"/>
        </w:tabs>
        <w:ind w:left="199" w:hanging="199"/>
      </w:pPr>
      <w:rPr>
        <w:rFonts w:ascii="Wingdings" w:hAnsi="Wingdings" w:hint="default"/>
        <w:b w:val="0"/>
        <w:i w:val="0"/>
        <w:color w:val="0060A9"/>
        <w:spacing w:val="0"/>
        <w:w w:val="100"/>
        <w:kern w:val="0"/>
        <w:position w:val="0"/>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27312510">
    <w:abstractNumId w:val="5"/>
  </w:num>
  <w:num w:numId="2" w16cid:durableId="852454433">
    <w:abstractNumId w:val="20"/>
  </w:num>
  <w:num w:numId="3" w16cid:durableId="566645358">
    <w:abstractNumId w:val="22"/>
  </w:num>
  <w:num w:numId="4" w16cid:durableId="1560744490">
    <w:abstractNumId w:val="13"/>
  </w:num>
  <w:num w:numId="5" w16cid:durableId="1339965497">
    <w:abstractNumId w:val="6"/>
  </w:num>
  <w:num w:numId="6" w16cid:durableId="1127940101">
    <w:abstractNumId w:val="26"/>
  </w:num>
  <w:num w:numId="7" w16cid:durableId="1757052199">
    <w:abstractNumId w:val="18"/>
  </w:num>
  <w:num w:numId="8" w16cid:durableId="1754928951">
    <w:abstractNumId w:val="14"/>
  </w:num>
  <w:num w:numId="9" w16cid:durableId="1535315163">
    <w:abstractNumId w:val="27"/>
  </w:num>
  <w:num w:numId="10" w16cid:durableId="467743230">
    <w:abstractNumId w:val="7"/>
  </w:num>
  <w:num w:numId="11" w16cid:durableId="1309743998">
    <w:abstractNumId w:val="12"/>
  </w:num>
  <w:num w:numId="12" w16cid:durableId="1266378007">
    <w:abstractNumId w:val="4"/>
  </w:num>
  <w:num w:numId="13" w16cid:durableId="800852164">
    <w:abstractNumId w:val="3"/>
  </w:num>
  <w:num w:numId="14" w16cid:durableId="1426344960">
    <w:abstractNumId w:val="9"/>
  </w:num>
  <w:num w:numId="15" w16cid:durableId="1433628472">
    <w:abstractNumId w:val="2"/>
  </w:num>
  <w:num w:numId="16" w16cid:durableId="1892493986">
    <w:abstractNumId w:val="1"/>
  </w:num>
  <w:num w:numId="17" w16cid:durableId="1138762159">
    <w:abstractNumId w:val="0"/>
  </w:num>
  <w:num w:numId="18" w16cid:durableId="190581992">
    <w:abstractNumId w:val="23"/>
  </w:num>
  <w:num w:numId="19" w16cid:durableId="577138269">
    <w:abstractNumId w:val="24"/>
  </w:num>
  <w:num w:numId="20" w16cid:durableId="363868840">
    <w:abstractNumId w:val="11"/>
    <w:lvlOverride w:ilvl="1">
      <w:lvl w:ilvl="1">
        <w:start w:val="1"/>
        <w:numFmt w:val="decimal"/>
        <w:isLgl/>
        <w:lvlText w:val="%1.%2."/>
        <w:lvlJc w:val="left"/>
        <w:pPr>
          <w:tabs>
            <w:tab w:val="num" w:pos="1008"/>
          </w:tabs>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2">
      <w:lvl w:ilvl="2">
        <w:start w:val="1"/>
        <w:numFmt w:val="decimal"/>
        <w:isLgl/>
        <w:lvlText w:val="%1.%2.%3."/>
        <w:lvlJc w:val="left"/>
        <w:pPr>
          <w:tabs>
            <w:tab w:val="num" w:pos="1008"/>
          </w:tabs>
          <w:ind w:left="1008" w:hanging="1008"/>
        </w:pPr>
        <w:rPr>
          <w:rFonts w:ascii="Arial" w:hAnsi="Arial" w:hint="default"/>
          <w:b w:val="0"/>
          <w:i w:val="0"/>
          <w:color w:val="0060A9"/>
          <w:sz w:val="22"/>
          <w:szCs w:val="20"/>
        </w:rPr>
      </w:lvl>
    </w:lvlOverride>
    <w:lvlOverride w:ilvl="3">
      <w:lvl w:ilvl="3">
        <w:start w:val="1"/>
        <w:numFmt w:val="decimal"/>
        <w:isLgl/>
        <w:lvlText w:val="%1.%2.%3.%4."/>
        <w:lvlJc w:val="left"/>
        <w:pPr>
          <w:tabs>
            <w:tab w:val="num" w:pos="1008"/>
          </w:tabs>
          <w:ind w:left="1008" w:hanging="1008"/>
        </w:pPr>
        <w:rPr>
          <w:rFonts w:cs="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Override>
    <w:lvlOverride w:ilvl="4">
      <w:lvl w:ilvl="4">
        <w:start w:val="1"/>
        <w:numFmt w:val="decimal"/>
        <w:isLgl/>
        <w:lvlText w:val="%1.%2.%3.%4.%5."/>
        <w:lvlJc w:val="left"/>
        <w:pPr>
          <w:tabs>
            <w:tab w:val="num" w:pos="1008"/>
          </w:tabs>
          <w:ind w:left="1008" w:hanging="1008"/>
        </w:pPr>
        <w:rPr>
          <w:rFonts w:ascii="Arial" w:hAnsi="Arial" w:hint="default"/>
          <w:color w:val="0060A9"/>
          <w:sz w:val="20"/>
          <w:szCs w:val="20"/>
        </w:rPr>
      </w:lvl>
    </w:lvlOverride>
  </w:num>
  <w:num w:numId="21" w16cid:durableId="1114445120">
    <w:abstractNumId w:val="16"/>
    <w:lvlOverride w:ilvl="0">
      <w:startOverride w:val="1"/>
    </w:lvlOverride>
  </w:num>
  <w:num w:numId="22" w16cid:durableId="579868872">
    <w:abstractNumId w:val="25"/>
    <w:lvlOverride w:ilvl="0">
      <w:startOverride w:val="1"/>
    </w:lvlOverride>
  </w:num>
  <w:num w:numId="23" w16cid:durableId="2054889922">
    <w:abstractNumId w:val="28"/>
  </w:num>
  <w:num w:numId="24" w16cid:durableId="647057666">
    <w:abstractNumId w:val="10"/>
  </w:num>
  <w:num w:numId="25" w16cid:durableId="2080127381">
    <w:abstractNumId w:val="29"/>
  </w:num>
  <w:num w:numId="26" w16cid:durableId="356465705">
    <w:abstractNumId w:val="21"/>
  </w:num>
  <w:num w:numId="27" w16cid:durableId="899249079">
    <w:abstractNumId w:val="15"/>
  </w:num>
  <w:num w:numId="28" w16cid:durableId="2040088058">
    <w:abstractNumId w:val="19"/>
  </w:num>
  <w:num w:numId="29" w16cid:durableId="1780565830">
    <w:abstractNumId w:val="11"/>
  </w:num>
  <w:num w:numId="30" w16cid:durableId="405763411">
    <w:abstractNumId w:val="17"/>
  </w:num>
  <w:num w:numId="31" w16cid:durableId="1614172259">
    <w:abstractNumId w:val="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1"/>
  <w:embedTrueType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680"/>
  <w:drawingGridHorizontalSpacing w:val="43"/>
  <w:noPunctuationKerning/>
  <w:characterSpacingControl w:val="doNotCompress"/>
  <w:hdrShapeDefaults>
    <o:shapedefaults v:ext="edit" spidmax="2050">
      <o:colormru v:ext="edit" colors="#eaeaea,#005daa,#13b5ea,#c9c1b8,#ebd722,#002b5c,black,#808184"/>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Branding" w:val="Deutsche Bank"/>
    <w:docVar w:name="CreatorVersion" w:val="3.0"/>
    <w:docVar w:name="DocType" w:val="Portrait Book"/>
    <w:docVar w:name="NewDoc" w:val="False"/>
  </w:docVars>
  <w:rsids>
    <w:rsidRoot w:val="008A4165"/>
    <w:rsid w:val="000007C4"/>
    <w:rsid w:val="00003C0C"/>
    <w:rsid w:val="00004213"/>
    <w:rsid w:val="000050E9"/>
    <w:rsid w:val="0000570B"/>
    <w:rsid w:val="00011066"/>
    <w:rsid w:val="000121EF"/>
    <w:rsid w:val="000122CD"/>
    <w:rsid w:val="00012B5F"/>
    <w:rsid w:val="00014743"/>
    <w:rsid w:val="0001642A"/>
    <w:rsid w:val="0001753A"/>
    <w:rsid w:val="000225AB"/>
    <w:rsid w:val="00022A0E"/>
    <w:rsid w:val="0002312F"/>
    <w:rsid w:val="0002317B"/>
    <w:rsid w:val="00023D60"/>
    <w:rsid w:val="000259C0"/>
    <w:rsid w:val="0002629E"/>
    <w:rsid w:val="000268D0"/>
    <w:rsid w:val="000310D5"/>
    <w:rsid w:val="00031D31"/>
    <w:rsid w:val="00032802"/>
    <w:rsid w:val="000366CF"/>
    <w:rsid w:val="00037870"/>
    <w:rsid w:val="000410ED"/>
    <w:rsid w:val="0004154E"/>
    <w:rsid w:val="00042048"/>
    <w:rsid w:val="00042A27"/>
    <w:rsid w:val="00043BAD"/>
    <w:rsid w:val="00044595"/>
    <w:rsid w:val="00045EDB"/>
    <w:rsid w:val="000526FE"/>
    <w:rsid w:val="00055935"/>
    <w:rsid w:val="00057E3B"/>
    <w:rsid w:val="00061671"/>
    <w:rsid w:val="0006318A"/>
    <w:rsid w:val="000632F5"/>
    <w:rsid w:val="000641A7"/>
    <w:rsid w:val="000646AC"/>
    <w:rsid w:val="00064A90"/>
    <w:rsid w:val="00067651"/>
    <w:rsid w:val="00071984"/>
    <w:rsid w:val="00077257"/>
    <w:rsid w:val="00077A21"/>
    <w:rsid w:val="00077BD4"/>
    <w:rsid w:val="00080654"/>
    <w:rsid w:val="00081CA6"/>
    <w:rsid w:val="0008352D"/>
    <w:rsid w:val="000839ED"/>
    <w:rsid w:val="00083BA5"/>
    <w:rsid w:val="00083DE3"/>
    <w:rsid w:val="00084C8A"/>
    <w:rsid w:val="00085AB8"/>
    <w:rsid w:val="00087308"/>
    <w:rsid w:val="000876FE"/>
    <w:rsid w:val="00094184"/>
    <w:rsid w:val="0009622C"/>
    <w:rsid w:val="00096C86"/>
    <w:rsid w:val="000A38F2"/>
    <w:rsid w:val="000A3F61"/>
    <w:rsid w:val="000B0E1D"/>
    <w:rsid w:val="000B291C"/>
    <w:rsid w:val="000B3D2C"/>
    <w:rsid w:val="000B50A9"/>
    <w:rsid w:val="000B5590"/>
    <w:rsid w:val="000B7A3E"/>
    <w:rsid w:val="000C57F6"/>
    <w:rsid w:val="000D0EBE"/>
    <w:rsid w:val="000D23AD"/>
    <w:rsid w:val="000D249A"/>
    <w:rsid w:val="000D29AB"/>
    <w:rsid w:val="000D7508"/>
    <w:rsid w:val="000D7DAE"/>
    <w:rsid w:val="000E20FA"/>
    <w:rsid w:val="000E2D2A"/>
    <w:rsid w:val="000E455F"/>
    <w:rsid w:val="000E47F9"/>
    <w:rsid w:val="000E6197"/>
    <w:rsid w:val="000F475F"/>
    <w:rsid w:val="000F486B"/>
    <w:rsid w:val="000F4C2C"/>
    <w:rsid w:val="000F4CCF"/>
    <w:rsid w:val="000F4FD3"/>
    <w:rsid w:val="001011AC"/>
    <w:rsid w:val="00105B09"/>
    <w:rsid w:val="001075C4"/>
    <w:rsid w:val="00107933"/>
    <w:rsid w:val="001104AE"/>
    <w:rsid w:val="00110932"/>
    <w:rsid w:val="00111831"/>
    <w:rsid w:val="00111CA8"/>
    <w:rsid w:val="00112CE6"/>
    <w:rsid w:val="0011412F"/>
    <w:rsid w:val="00115814"/>
    <w:rsid w:val="00116F21"/>
    <w:rsid w:val="00116FFF"/>
    <w:rsid w:val="001212D6"/>
    <w:rsid w:val="00122076"/>
    <w:rsid w:val="00123298"/>
    <w:rsid w:val="00124420"/>
    <w:rsid w:val="001248B8"/>
    <w:rsid w:val="001303DF"/>
    <w:rsid w:val="00130ADC"/>
    <w:rsid w:val="0013170B"/>
    <w:rsid w:val="00131FA0"/>
    <w:rsid w:val="001333E9"/>
    <w:rsid w:val="0013406E"/>
    <w:rsid w:val="00136AB8"/>
    <w:rsid w:val="001413C2"/>
    <w:rsid w:val="00141791"/>
    <w:rsid w:val="001438E4"/>
    <w:rsid w:val="00144A34"/>
    <w:rsid w:val="0014553D"/>
    <w:rsid w:val="00146229"/>
    <w:rsid w:val="00146EA2"/>
    <w:rsid w:val="00147E12"/>
    <w:rsid w:val="00150B66"/>
    <w:rsid w:val="00150F43"/>
    <w:rsid w:val="00152B5E"/>
    <w:rsid w:val="00153538"/>
    <w:rsid w:val="001543B6"/>
    <w:rsid w:val="00155280"/>
    <w:rsid w:val="00155323"/>
    <w:rsid w:val="00155D44"/>
    <w:rsid w:val="0015790E"/>
    <w:rsid w:val="00161CEE"/>
    <w:rsid w:val="00162219"/>
    <w:rsid w:val="00163B5B"/>
    <w:rsid w:val="001670F3"/>
    <w:rsid w:val="00170088"/>
    <w:rsid w:val="00171173"/>
    <w:rsid w:val="001725FE"/>
    <w:rsid w:val="00172E2E"/>
    <w:rsid w:val="00173806"/>
    <w:rsid w:val="00173B69"/>
    <w:rsid w:val="001748C7"/>
    <w:rsid w:val="00175434"/>
    <w:rsid w:val="001754CF"/>
    <w:rsid w:val="00176B4A"/>
    <w:rsid w:val="00181BC5"/>
    <w:rsid w:val="001833FF"/>
    <w:rsid w:val="001858D9"/>
    <w:rsid w:val="00185FA9"/>
    <w:rsid w:val="00187009"/>
    <w:rsid w:val="001875BF"/>
    <w:rsid w:val="001878FF"/>
    <w:rsid w:val="0019025A"/>
    <w:rsid w:val="00193527"/>
    <w:rsid w:val="0019791B"/>
    <w:rsid w:val="001A2D88"/>
    <w:rsid w:val="001A4C79"/>
    <w:rsid w:val="001A66C2"/>
    <w:rsid w:val="001B0846"/>
    <w:rsid w:val="001B2BEE"/>
    <w:rsid w:val="001B2DF8"/>
    <w:rsid w:val="001B788E"/>
    <w:rsid w:val="001C07E6"/>
    <w:rsid w:val="001C08D3"/>
    <w:rsid w:val="001C1B6D"/>
    <w:rsid w:val="001C256F"/>
    <w:rsid w:val="001C4478"/>
    <w:rsid w:val="001C746F"/>
    <w:rsid w:val="001D0A4F"/>
    <w:rsid w:val="001D0EB0"/>
    <w:rsid w:val="001D16D8"/>
    <w:rsid w:val="001D1FFE"/>
    <w:rsid w:val="001D2867"/>
    <w:rsid w:val="001D341D"/>
    <w:rsid w:val="001D6616"/>
    <w:rsid w:val="001D6A4C"/>
    <w:rsid w:val="001D6BB3"/>
    <w:rsid w:val="001E19C3"/>
    <w:rsid w:val="001E3270"/>
    <w:rsid w:val="001F5613"/>
    <w:rsid w:val="001F662F"/>
    <w:rsid w:val="001F6DA2"/>
    <w:rsid w:val="001F7CAA"/>
    <w:rsid w:val="00200F0F"/>
    <w:rsid w:val="00201273"/>
    <w:rsid w:val="00201CB6"/>
    <w:rsid w:val="002021F0"/>
    <w:rsid w:val="00203DF5"/>
    <w:rsid w:val="00210BF9"/>
    <w:rsid w:val="0021305B"/>
    <w:rsid w:val="00215D4B"/>
    <w:rsid w:val="00216056"/>
    <w:rsid w:val="00217A23"/>
    <w:rsid w:val="00220C0A"/>
    <w:rsid w:val="00221F0F"/>
    <w:rsid w:val="0022325A"/>
    <w:rsid w:val="00223F30"/>
    <w:rsid w:val="0022753D"/>
    <w:rsid w:val="00230536"/>
    <w:rsid w:val="002305AA"/>
    <w:rsid w:val="0023351A"/>
    <w:rsid w:val="00233AA1"/>
    <w:rsid w:val="0023470B"/>
    <w:rsid w:val="00234717"/>
    <w:rsid w:val="002430B9"/>
    <w:rsid w:val="00252325"/>
    <w:rsid w:val="00253517"/>
    <w:rsid w:val="00253632"/>
    <w:rsid w:val="00255C13"/>
    <w:rsid w:val="00256495"/>
    <w:rsid w:val="002643AB"/>
    <w:rsid w:val="002648CF"/>
    <w:rsid w:val="0026619A"/>
    <w:rsid w:val="00266C64"/>
    <w:rsid w:val="00267F35"/>
    <w:rsid w:val="0027070B"/>
    <w:rsid w:val="00273260"/>
    <w:rsid w:val="00274797"/>
    <w:rsid w:val="00276825"/>
    <w:rsid w:val="00280B20"/>
    <w:rsid w:val="00283865"/>
    <w:rsid w:val="00284A35"/>
    <w:rsid w:val="00285286"/>
    <w:rsid w:val="002877E7"/>
    <w:rsid w:val="002944A8"/>
    <w:rsid w:val="002A5950"/>
    <w:rsid w:val="002A5A99"/>
    <w:rsid w:val="002A785B"/>
    <w:rsid w:val="002A7E00"/>
    <w:rsid w:val="002B098C"/>
    <w:rsid w:val="002B1128"/>
    <w:rsid w:val="002B1887"/>
    <w:rsid w:val="002B311B"/>
    <w:rsid w:val="002B36E1"/>
    <w:rsid w:val="002B5ADC"/>
    <w:rsid w:val="002B6824"/>
    <w:rsid w:val="002C03B4"/>
    <w:rsid w:val="002C1C26"/>
    <w:rsid w:val="002C3FA6"/>
    <w:rsid w:val="002C4A09"/>
    <w:rsid w:val="002D2DF3"/>
    <w:rsid w:val="002D427C"/>
    <w:rsid w:val="002D5DB2"/>
    <w:rsid w:val="002D5DD6"/>
    <w:rsid w:val="002D6110"/>
    <w:rsid w:val="002D6246"/>
    <w:rsid w:val="002D6DE6"/>
    <w:rsid w:val="002D7C30"/>
    <w:rsid w:val="002E0D36"/>
    <w:rsid w:val="002E1696"/>
    <w:rsid w:val="002E2274"/>
    <w:rsid w:val="002E3544"/>
    <w:rsid w:val="002E7028"/>
    <w:rsid w:val="002F1594"/>
    <w:rsid w:val="002F2D08"/>
    <w:rsid w:val="002F3E27"/>
    <w:rsid w:val="003000B1"/>
    <w:rsid w:val="00300DBA"/>
    <w:rsid w:val="00301EA4"/>
    <w:rsid w:val="00302C35"/>
    <w:rsid w:val="00306043"/>
    <w:rsid w:val="00306D73"/>
    <w:rsid w:val="003073DA"/>
    <w:rsid w:val="0030752F"/>
    <w:rsid w:val="00310237"/>
    <w:rsid w:val="003109CF"/>
    <w:rsid w:val="0031609F"/>
    <w:rsid w:val="003172E1"/>
    <w:rsid w:val="00320C34"/>
    <w:rsid w:val="00321100"/>
    <w:rsid w:val="00323A87"/>
    <w:rsid w:val="00324579"/>
    <w:rsid w:val="00324987"/>
    <w:rsid w:val="00324EB1"/>
    <w:rsid w:val="00325FEC"/>
    <w:rsid w:val="003278BD"/>
    <w:rsid w:val="00330CAF"/>
    <w:rsid w:val="0033128B"/>
    <w:rsid w:val="00333BFF"/>
    <w:rsid w:val="00335705"/>
    <w:rsid w:val="003359F8"/>
    <w:rsid w:val="0034095B"/>
    <w:rsid w:val="00340D0B"/>
    <w:rsid w:val="00342129"/>
    <w:rsid w:val="003437F4"/>
    <w:rsid w:val="00344BD9"/>
    <w:rsid w:val="003475B3"/>
    <w:rsid w:val="003476D5"/>
    <w:rsid w:val="00350012"/>
    <w:rsid w:val="00350945"/>
    <w:rsid w:val="00351746"/>
    <w:rsid w:val="00352E52"/>
    <w:rsid w:val="00353E9C"/>
    <w:rsid w:val="003545BE"/>
    <w:rsid w:val="00356FEA"/>
    <w:rsid w:val="00360193"/>
    <w:rsid w:val="00362288"/>
    <w:rsid w:val="003631C7"/>
    <w:rsid w:val="0036385B"/>
    <w:rsid w:val="00363F17"/>
    <w:rsid w:val="00365FE0"/>
    <w:rsid w:val="003678E8"/>
    <w:rsid w:val="00370F3C"/>
    <w:rsid w:val="00372480"/>
    <w:rsid w:val="00377163"/>
    <w:rsid w:val="003773CE"/>
    <w:rsid w:val="00380ABE"/>
    <w:rsid w:val="003820F3"/>
    <w:rsid w:val="00382176"/>
    <w:rsid w:val="00384D68"/>
    <w:rsid w:val="003856F0"/>
    <w:rsid w:val="00385A2B"/>
    <w:rsid w:val="0039086D"/>
    <w:rsid w:val="0039100E"/>
    <w:rsid w:val="0039392B"/>
    <w:rsid w:val="0039548C"/>
    <w:rsid w:val="003954E7"/>
    <w:rsid w:val="00395A9D"/>
    <w:rsid w:val="0039607A"/>
    <w:rsid w:val="0039620E"/>
    <w:rsid w:val="0039777B"/>
    <w:rsid w:val="003A0C05"/>
    <w:rsid w:val="003A5CEA"/>
    <w:rsid w:val="003A6BD8"/>
    <w:rsid w:val="003A6F41"/>
    <w:rsid w:val="003B02B4"/>
    <w:rsid w:val="003B09E2"/>
    <w:rsid w:val="003B3702"/>
    <w:rsid w:val="003B5125"/>
    <w:rsid w:val="003B52F0"/>
    <w:rsid w:val="003C0E6B"/>
    <w:rsid w:val="003C29F9"/>
    <w:rsid w:val="003C2C66"/>
    <w:rsid w:val="003C341E"/>
    <w:rsid w:val="003C38A3"/>
    <w:rsid w:val="003C3B70"/>
    <w:rsid w:val="003C3E74"/>
    <w:rsid w:val="003C5DDA"/>
    <w:rsid w:val="003C6125"/>
    <w:rsid w:val="003C613D"/>
    <w:rsid w:val="003C62A8"/>
    <w:rsid w:val="003C6FB6"/>
    <w:rsid w:val="003C6FC0"/>
    <w:rsid w:val="003D655B"/>
    <w:rsid w:val="003D6788"/>
    <w:rsid w:val="003D7033"/>
    <w:rsid w:val="003E5470"/>
    <w:rsid w:val="003E7BD3"/>
    <w:rsid w:val="003E7F01"/>
    <w:rsid w:val="003F017A"/>
    <w:rsid w:val="003F1AAB"/>
    <w:rsid w:val="003F2417"/>
    <w:rsid w:val="003F26A8"/>
    <w:rsid w:val="003F3180"/>
    <w:rsid w:val="003F495B"/>
    <w:rsid w:val="003F7470"/>
    <w:rsid w:val="00404911"/>
    <w:rsid w:val="00404D36"/>
    <w:rsid w:val="00405562"/>
    <w:rsid w:val="00406975"/>
    <w:rsid w:val="004111C6"/>
    <w:rsid w:val="004114D6"/>
    <w:rsid w:val="0041335F"/>
    <w:rsid w:val="00413E83"/>
    <w:rsid w:val="004140B2"/>
    <w:rsid w:val="00415D02"/>
    <w:rsid w:val="00415F69"/>
    <w:rsid w:val="00417450"/>
    <w:rsid w:val="00420AB0"/>
    <w:rsid w:val="00431C35"/>
    <w:rsid w:val="00433309"/>
    <w:rsid w:val="00433503"/>
    <w:rsid w:val="00437D11"/>
    <w:rsid w:val="004402DE"/>
    <w:rsid w:val="0044561F"/>
    <w:rsid w:val="00446787"/>
    <w:rsid w:val="00447CE7"/>
    <w:rsid w:val="00453018"/>
    <w:rsid w:val="00454742"/>
    <w:rsid w:val="00455DDE"/>
    <w:rsid w:val="004572B8"/>
    <w:rsid w:val="0045770D"/>
    <w:rsid w:val="00460478"/>
    <w:rsid w:val="00463FEC"/>
    <w:rsid w:val="0046488A"/>
    <w:rsid w:val="00464C4C"/>
    <w:rsid w:val="00465DD3"/>
    <w:rsid w:val="00466A0C"/>
    <w:rsid w:val="00466FB5"/>
    <w:rsid w:val="004670CE"/>
    <w:rsid w:val="00472A45"/>
    <w:rsid w:val="00472F15"/>
    <w:rsid w:val="004764E9"/>
    <w:rsid w:val="0047767C"/>
    <w:rsid w:val="00481A6D"/>
    <w:rsid w:val="00482C6E"/>
    <w:rsid w:val="00486AD0"/>
    <w:rsid w:val="00490D4A"/>
    <w:rsid w:val="00490D7A"/>
    <w:rsid w:val="00491FA5"/>
    <w:rsid w:val="004938AF"/>
    <w:rsid w:val="00494966"/>
    <w:rsid w:val="00494BDE"/>
    <w:rsid w:val="00496B6C"/>
    <w:rsid w:val="0049775F"/>
    <w:rsid w:val="004A0891"/>
    <w:rsid w:val="004A0A0A"/>
    <w:rsid w:val="004A21A3"/>
    <w:rsid w:val="004A2B98"/>
    <w:rsid w:val="004A3343"/>
    <w:rsid w:val="004A355D"/>
    <w:rsid w:val="004A397C"/>
    <w:rsid w:val="004A5D16"/>
    <w:rsid w:val="004A6AB5"/>
    <w:rsid w:val="004A78BD"/>
    <w:rsid w:val="004B0E58"/>
    <w:rsid w:val="004B2E02"/>
    <w:rsid w:val="004B4FF3"/>
    <w:rsid w:val="004B51A4"/>
    <w:rsid w:val="004B5B0C"/>
    <w:rsid w:val="004B6A18"/>
    <w:rsid w:val="004B78AF"/>
    <w:rsid w:val="004C20F3"/>
    <w:rsid w:val="004C3E47"/>
    <w:rsid w:val="004C7CB8"/>
    <w:rsid w:val="004D2DE5"/>
    <w:rsid w:val="004D647B"/>
    <w:rsid w:val="004D7881"/>
    <w:rsid w:val="004D7ECE"/>
    <w:rsid w:val="004E0B1D"/>
    <w:rsid w:val="004E2AF6"/>
    <w:rsid w:val="004E4536"/>
    <w:rsid w:val="004E6360"/>
    <w:rsid w:val="004E78F3"/>
    <w:rsid w:val="004E7FCB"/>
    <w:rsid w:val="004F0DC9"/>
    <w:rsid w:val="004F0E14"/>
    <w:rsid w:val="004F1175"/>
    <w:rsid w:val="004F26FC"/>
    <w:rsid w:val="004F28CE"/>
    <w:rsid w:val="004F2A8D"/>
    <w:rsid w:val="004F2B69"/>
    <w:rsid w:val="004F38E1"/>
    <w:rsid w:val="004F3B64"/>
    <w:rsid w:val="004F494C"/>
    <w:rsid w:val="004F5306"/>
    <w:rsid w:val="004F6715"/>
    <w:rsid w:val="004F69A5"/>
    <w:rsid w:val="004F69BC"/>
    <w:rsid w:val="00504A3B"/>
    <w:rsid w:val="00504FE7"/>
    <w:rsid w:val="00505960"/>
    <w:rsid w:val="00506819"/>
    <w:rsid w:val="00511491"/>
    <w:rsid w:val="00511CE6"/>
    <w:rsid w:val="0051240C"/>
    <w:rsid w:val="00512586"/>
    <w:rsid w:val="00513209"/>
    <w:rsid w:val="00517244"/>
    <w:rsid w:val="00526FA5"/>
    <w:rsid w:val="00527FEC"/>
    <w:rsid w:val="005310E3"/>
    <w:rsid w:val="005346AD"/>
    <w:rsid w:val="00534856"/>
    <w:rsid w:val="00535DC7"/>
    <w:rsid w:val="00535FB1"/>
    <w:rsid w:val="00541410"/>
    <w:rsid w:val="00542623"/>
    <w:rsid w:val="00542C59"/>
    <w:rsid w:val="00542D94"/>
    <w:rsid w:val="00544D0E"/>
    <w:rsid w:val="00545040"/>
    <w:rsid w:val="00545B49"/>
    <w:rsid w:val="00547AB8"/>
    <w:rsid w:val="00547CD5"/>
    <w:rsid w:val="00552AA8"/>
    <w:rsid w:val="00552C09"/>
    <w:rsid w:val="005532E9"/>
    <w:rsid w:val="0055606D"/>
    <w:rsid w:val="00560E73"/>
    <w:rsid w:val="00563BB8"/>
    <w:rsid w:val="005657B7"/>
    <w:rsid w:val="005676DA"/>
    <w:rsid w:val="005703DC"/>
    <w:rsid w:val="005713DB"/>
    <w:rsid w:val="00572E80"/>
    <w:rsid w:val="00575479"/>
    <w:rsid w:val="00580A72"/>
    <w:rsid w:val="0058109D"/>
    <w:rsid w:val="0058171E"/>
    <w:rsid w:val="00581F91"/>
    <w:rsid w:val="00582191"/>
    <w:rsid w:val="0058407E"/>
    <w:rsid w:val="00586BB8"/>
    <w:rsid w:val="005943CC"/>
    <w:rsid w:val="00595CB1"/>
    <w:rsid w:val="00595DE4"/>
    <w:rsid w:val="005A03C8"/>
    <w:rsid w:val="005A06A4"/>
    <w:rsid w:val="005A2001"/>
    <w:rsid w:val="005A5883"/>
    <w:rsid w:val="005A5E69"/>
    <w:rsid w:val="005A7071"/>
    <w:rsid w:val="005A74F1"/>
    <w:rsid w:val="005B0008"/>
    <w:rsid w:val="005B062D"/>
    <w:rsid w:val="005B149C"/>
    <w:rsid w:val="005B2F0F"/>
    <w:rsid w:val="005B48C6"/>
    <w:rsid w:val="005B4B43"/>
    <w:rsid w:val="005B6AB4"/>
    <w:rsid w:val="005C222E"/>
    <w:rsid w:val="005C23D1"/>
    <w:rsid w:val="005C2B1C"/>
    <w:rsid w:val="005C2D5B"/>
    <w:rsid w:val="005C2F53"/>
    <w:rsid w:val="005C4306"/>
    <w:rsid w:val="005C524E"/>
    <w:rsid w:val="005C755C"/>
    <w:rsid w:val="005C7EB9"/>
    <w:rsid w:val="005D0C61"/>
    <w:rsid w:val="005D5E1E"/>
    <w:rsid w:val="005D64E0"/>
    <w:rsid w:val="005E112C"/>
    <w:rsid w:val="005E12C5"/>
    <w:rsid w:val="005E212D"/>
    <w:rsid w:val="005E31A3"/>
    <w:rsid w:val="005E46DB"/>
    <w:rsid w:val="005E5DA1"/>
    <w:rsid w:val="005F3E4A"/>
    <w:rsid w:val="005F561E"/>
    <w:rsid w:val="005F605E"/>
    <w:rsid w:val="005F7D49"/>
    <w:rsid w:val="0060050C"/>
    <w:rsid w:val="00600952"/>
    <w:rsid w:val="00600D23"/>
    <w:rsid w:val="00601890"/>
    <w:rsid w:val="00603703"/>
    <w:rsid w:val="00604540"/>
    <w:rsid w:val="00604E08"/>
    <w:rsid w:val="006057F9"/>
    <w:rsid w:val="00610C21"/>
    <w:rsid w:val="0061233C"/>
    <w:rsid w:val="00613DA1"/>
    <w:rsid w:val="0061515B"/>
    <w:rsid w:val="00616258"/>
    <w:rsid w:val="00621D43"/>
    <w:rsid w:val="00624C2E"/>
    <w:rsid w:val="006261A5"/>
    <w:rsid w:val="0062670D"/>
    <w:rsid w:val="0063557E"/>
    <w:rsid w:val="0064025C"/>
    <w:rsid w:val="00641837"/>
    <w:rsid w:val="0064314A"/>
    <w:rsid w:val="00643FE6"/>
    <w:rsid w:val="00644C10"/>
    <w:rsid w:val="006463E5"/>
    <w:rsid w:val="006466E2"/>
    <w:rsid w:val="00647F9D"/>
    <w:rsid w:val="00650E32"/>
    <w:rsid w:val="00650FC8"/>
    <w:rsid w:val="00652C41"/>
    <w:rsid w:val="00653CBB"/>
    <w:rsid w:val="00653F82"/>
    <w:rsid w:val="006545F5"/>
    <w:rsid w:val="00654C18"/>
    <w:rsid w:val="00654DE7"/>
    <w:rsid w:val="0065561B"/>
    <w:rsid w:val="006602B9"/>
    <w:rsid w:val="00662F3A"/>
    <w:rsid w:val="0066417F"/>
    <w:rsid w:val="00665740"/>
    <w:rsid w:val="006660B9"/>
    <w:rsid w:val="006671E2"/>
    <w:rsid w:val="00670A11"/>
    <w:rsid w:val="006715B1"/>
    <w:rsid w:val="00671C0D"/>
    <w:rsid w:val="0067230D"/>
    <w:rsid w:val="00677137"/>
    <w:rsid w:val="00680D37"/>
    <w:rsid w:val="00681600"/>
    <w:rsid w:val="00681FFA"/>
    <w:rsid w:val="0068345C"/>
    <w:rsid w:val="00685363"/>
    <w:rsid w:val="006853A5"/>
    <w:rsid w:val="00685813"/>
    <w:rsid w:val="00685FCF"/>
    <w:rsid w:val="0069103C"/>
    <w:rsid w:val="0069104E"/>
    <w:rsid w:val="00691E10"/>
    <w:rsid w:val="00693041"/>
    <w:rsid w:val="00693558"/>
    <w:rsid w:val="006941CE"/>
    <w:rsid w:val="006947E6"/>
    <w:rsid w:val="00695D4A"/>
    <w:rsid w:val="00696384"/>
    <w:rsid w:val="00696B9B"/>
    <w:rsid w:val="006A3E15"/>
    <w:rsid w:val="006A3FB6"/>
    <w:rsid w:val="006A5BA0"/>
    <w:rsid w:val="006A6A3F"/>
    <w:rsid w:val="006A6A98"/>
    <w:rsid w:val="006A7267"/>
    <w:rsid w:val="006B0B1F"/>
    <w:rsid w:val="006B0D6F"/>
    <w:rsid w:val="006B2528"/>
    <w:rsid w:val="006B3F60"/>
    <w:rsid w:val="006B77D4"/>
    <w:rsid w:val="006C2C10"/>
    <w:rsid w:val="006C5A62"/>
    <w:rsid w:val="006D1CC2"/>
    <w:rsid w:val="006D264B"/>
    <w:rsid w:val="006D2BB4"/>
    <w:rsid w:val="006D31DB"/>
    <w:rsid w:val="006D3781"/>
    <w:rsid w:val="006D4774"/>
    <w:rsid w:val="006D5774"/>
    <w:rsid w:val="006D586B"/>
    <w:rsid w:val="006E1D84"/>
    <w:rsid w:val="006E2B0C"/>
    <w:rsid w:val="006E3ABD"/>
    <w:rsid w:val="006E51A6"/>
    <w:rsid w:val="006E57D1"/>
    <w:rsid w:val="006E5A68"/>
    <w:rsid w:val="006F0FD0"/>
    <w:rsid w:val="006F4066"/>
    <w:rsid w:val="006F77AE"/>
    <w:rsid w:val="00701C19"/>
    <w:rsid w:val="007021EC"/>
    <w:rsid w:val="007044C6"/>
    <w:rsid w:val="0070459C"/>
    <w:rsid w:val="00712431"/>
    <w:rsid w:val="00712849"/>
    <w:rsid w:val="00714631"/>
    <w:rsid w:val="007162C2"/>
    <w:rsid w:val="0071638E"/>
    <w:rsid w:val="00720B4B"/>
    <w:rsid w:val="00721BAA"/>
    <w:rsid w:val="0072263F"/>
    <w:rsid w:val="00722882"/>
    <w:rsid w:val="00726827"/>
    <w:rsid w:val="00730C0C"/>
    <w:rsid w:val="00730CE8"/>
    <w:rsid w:val="00731D21"/>
    <w:rsid w:val="00732334"/>
    <w:rsid w:val="0074061E"/>
    <w:rsid w:val="00740D78"/>
    <w:rsid w:val="00741FF9"/>
    <w:rsid w:val="0074494C"/>
    <w:rsid w:val="00751421"/>
    <w:rsid w:val="0075447D"/>
    <w:rsid w:val="00755239"/>
    <w:rsid w:val="00756E9D"/>
    <w:rsid w:val="00757664"/>
    <w:rsid w:val="0076075E"/>
    <w:rsid w:val="007618EC"/>
    <w:rsid w:val="00764716"/>
    <w:rsid w:val="00767554"/>
    <w:rsid w:val="00770353"/>
    <w:rsid w:val="00771504"/>
    <w:rsid w:val="007718E6"/>
    <w:rsid w:val="007735A6"/>
    <w:rsid w:val="00773C72"/>
    <w:rsid w:val="00774093"/>
    <w:rsid w:val="0077467D"/>
    <w:rsid w:val="007812C9"/>
    <w:rsid w:val="0078211E"/>
    <w:rsid w:val="007868DB"/>
    <w:rsid w:val="007907BD"/>
    <w:rsid w:val="00791655"/>
    <w:rsid w:val="007953F5"/>
    <w:rsid w:val="007A0165"/>
    <w:rsid w:val="007A03DC"/>
    <w:rsid w:val="007A16B3"/>
    <w:rsid w:val="007A1DF8"/>
    <w:rsid w:val="007A4905"/>
    <w:rsid w:val="007A6749"/>
    <w:rsid w:val="007A6C23"/>
    <w:rsid w:val="007A6D01"/>
    <w:rsid w:val="007B04E9"/>
    <w:rsid w:val="007B14F0"/>
    <w:rsid w:val="007B3B2B"/>
    <w:rsid w:val="007B58E6"/>
    <w:rsid w:val="007B5F79"/>
    <w:rsid w:val="007B6B4A"/>
    <w:rsid w:val="007C1773"/>
    <w:rsid w:val="007C1A48"/>
    <w:rsid w:val="007C30CD"/>
    <w:rsid w:val="007C38E4"/>
    <w:rsid w:val="007C4083"/>
    <w:rsid w:val="007C464D"/>
    <w:rsid w:val="007C509F"/>
    <w:rsid w:val="007C50FA"/>
    <w:rsid w:val="007C5BC1"/>
    <w:rsid w:val="007C77AD"/>
    <w:rsid w:val="007C7C6E"/>
    <w:rsid w:val="007D20EF"/>
    <w:rsid w:val="007D2BEE"/>
    <w:rsid w:val="007D3637"/>
    <w:rsid w:val="007D38D9"/>
    <w:rsid w:val="007D3CA1"/>
    <w:rsid w:val="007D5B36"/>
    <w:rsid w:val="007D7724"/>
    <w:rsid w:val="007D7FB6"/>
    <w:rsid w:val="007E1D0B"/>
    <w:rsid w:val="007E20F8"/>
    <w:rsid w:val="007E535B"/>
    <w:rsid w:val="007E6046"/>
    <w:rsid w:val="007E6319"/>
    <w:rsid w:val="007F29A8"/>
    <w:rsid w:val="007F2B8B"/>
    <w:rsid w:val="007F2C43"/>
    <w:rsid w:val="007F47F4"/>
    <w:rsid w:val="007F6283"/>
    <w:rsid w:val="007F659A"/>
    <w:rsid w:val="007F77FA"/>
    <w:rsid w:val="008005A0"/>
    <w:rsid w:val="008013EF"/>
    <w:rsid w:val="008027C9"/>
    <w:rsid w:val="00802FE3"/>
    <w:rsid w:val="00803B42"/>
    <w:rsid w:val="00805DF1"/>
    <w:rsid w:val="00806F52"/>
    <w:rsid w:val="008073D8"/>
    <w:rsid w:val="008074AE"/>
    <w:rsid w:val="008109FB"/>
    <w:rsid w:val="008113FC"/>
    <w:rsid w:val="00811650"/>
    <w:rsid w:val="00815AC0"/>
    <w:rsid w:val="00816E12"/>
    <w:rsid w:val="0082292A"/>
    <w:rsid w:val="008229B6"/>
    <w:rsid w:val="00825014"/>
    <w:rsid w:val="008279A8"/>
    <w:rsid w:val="00836463"/>
    <w:rsid w:val="008406BA"/>
    <w:rsid w:val="008439C9"/>
    <w:rsid w:val="00844660"/>
    <w:rsid w:val="008452C9"/>
    <w:rsid w:val="00851358"/>
    <w:rsid w:val="00851A1B"/>
    <w:rsid w:val="008531F1"/>
    <w:rsid w:val="008543C9"/>
    <w:rsid w:val="008549AC"/>
    <w:rsid w:val="0086033D"/>
    <w:rsid w:val="00860ABB"/>
    <w:rsid w:val="00861385"/>
    <w:rsid w:val="008616B8"/>
    <w:rsid w:val="00861979"/>
    <w:rsid w:val="0086202E"/>
    <w:rsid w:val="00863067"/>
    <w:rsid w:val="008653E7"/>
    <w:rsid w:val="00865456"/>
    <w:rsid w:val="00866041"/>
    <w:rsid w:val="0086671C"/>
    <w:rsid w:val="00867682"/>
    <w:rsid w:val="00870A3F"/>
    <w:rsid w:val="00873800"/>
    <w:rsid w:val="0087409F"/>
    <w:rsid w:val="0087670B"/>
    <w:rsid w:val="008819D5"/>
    <w:rsid w:val="00883BD7"/>
    <w:rsid w:val="008850E6"/>
    <w:rsid w:val="00887BA1"/>
    <w:rsid w:val="00887EF9"/>
    <w:rsid w:val="0089356B"/>
    <w:rsid w:val="00894EF6"/>
    <w:rsid w:val="008959DC"/>
    <w:rsid w:val="00895CBE"/>
    <w:rsid w:val="008A0B26"/>
    <w:rsid w:val="008A0F78"/>
    <w:rsid w:val="008A11AE"/>
    <w:rsid w:val="008A22C1"/>
    <w:rsid w:val="008A4165"/>
    <w:rsid w:val="008A7681"/>
    <w:rsid w:val="008B229C"/>
    <w:rsid w:val="008B5885"/>
    <w:rsid w:val="008B6F94"/>
    <w:rsid w:val="008C02F5"/>
    <w:rsid w:val="008C1C38"/>
    <w:rsid w:val="008C3509"/>
    <w:rsid w:val="008C3C07"/>
    <w:rsid w:val="008C4F58"/>
    <w:rsid w:val="008D365B"/>
    <w:rsid w:val="008D4B40"/>
    <w:rsid w:val="008D4BA5"/>
    <w:rsid w:val="008D4DCB"/>
    <w:rsid w:val="008D5AB8"/>
    <w:rsid w:val="008E11FC"/>
    <w:rsid w:val="008E2BFC"/>
    <w:rsid w:val="008E4080"/>
    <w:rsid w:val="008E7CA9"/>
    <w:rsid w:val="008E7E3B"/>
    <w:rsid w:val="008F112C"/>
    <w:rsid w:val="008F37C0"/>
    <w:rsid w:val="008F5C71"/>
    <w:rsid w:val="008F7073"/>
    <w:rsid w:val="008F73B1"/>
    <w:rsid w:val="008F7CDD"/>
    <w:rsid w:val="00901225"/>
    <w:rsid w:val="00902619"/>
    <w:rsid w:val="00902660"/>
    <w:rsid w:val="00903CC4"/>
    <w:rsid w:val="00903E3C"/>
    <w:rsid w:val="0090546E"/>
    <w:rsid w:val="00907565"/>
    <w:rsid w:val="00910D7D"/>
    <w:rsid w:val="00912587"/>
    <w:rsid w:val="009150DD"/>
    <w:rsid w:val="0091687F"/>
    <w:rsid w:val="0091694C"/>
    <w:rsid w:val="0091755C"/>
    <w:rsid w:val="009206DC"/>
    <w:rsid w:val="009211C3"/>
    <w:rsid w:val="009222A9"/>
    <w:rsid w:val="00924C2D"/>
    <w:rsid w:val="0093393C"/>
    <w:rsid w:val="00933E25"/>
    <w:rsid w:val="0093431D"/>
    <w:rsid w:val="00934472"/>
    <w:rsid w:val="009357F1"/>
    <w:rsid w:val="00935CDD"/>
    <w:rsid w:val="00941845"/>
    <w:rsid w:val="00941F20"/>
    <w:rsid w:val="009430EA"/>
    <w:rsid w:val="0094391A"/>
    <w:rsid w:val="00945323"/>
    <w:rsid w:val="00945424"/>
    <w:rsid w:val="00945B6B"/>
    <w:rsid w:val="00947795"/>
    <w:rsid w:val="00950A54"/>
    <w:rsid w:val="00951FB8"/>
    <w:rsid w:val="00954E9C"/>
    <w:rsid w:val="00956115"/>
    <w:rsid w:val="009562AA"/>
    <w:rsid w:val="0096098D"/>
    <w:rsid w:val="009614F8"/>
    <w:rsid w:val="009644C1"/>
    <w:rsid w:val="00967555"/>
    <w:rsid w:val="0097011E"/>
    <w:rsid w:val="00970A82"/>
    <w:rsid w:val="009739E5"/>
    <w:rsid w:val="00974A57"/>
    <w:rsid w:val="00975F54"/>
    <w:rsid w:val="009777A9"/>
    <w:rsid w:val="00980391"/>
    <w:rsid w:val="00981B90"/>
    <w:rsid w:val="00981F04"/>
    <w:rsid w:val="00982326"/>
    <w:rsid w:val="00982A23"/>
    <w:rsid w:val="00982BE4"/>
    <w:rsid w:val="00986D3E"/>
    <w:rsid w:val="00987B2F"/>
    <w:rsid w:val="00992314"/>
    <w:rsid w:val="00993DBB"/>
    <w:rsid w:val="00994D7C"/>
    <w:rsid w:val="0099586A"/>
    <w:rsid w:val="00995CD6"/>
    <w:rsid w:val="00996821"/>
    <w:rsid w:val="009A1308"/>
    <w:rsid w:val="009A1C4D"/>
    <w:rsid w:val="009A29A5"/>
    <w:rsid w:val="009A3661"/>
    <w:rsid w:val="009A3EA8"/>
    <w:rsid w:val="009A4123"/>
    <w:rsid w:val="009A565E"/>
    <w:rsid w:val="009A650B"/>
    <w:rsid w:val="009A7380"/>
    <w:rsid w:val="009A7B37"/>
    <w:rsid w:val="009B03BA"/>
    <w:rsid w:val="009B18F0"/>
    <w:rsid w:val="009B2A0A"/>
    <w:rsid w:val="009B2C59"/>
    <w:rsid w:val="009B391E"/>
    <w:rsid w:val="009B4987"/>
    <w:rsid w:val="009B5848"/>
    <w:rsid w:val="009B5B88"/>
    <w:rsid w:val="009B5CF4"/>
    <w:rsid w:val="009C0B58"/>
    <w:rsid w:val="009C517B"/>
    <w:rsid w:val="009C5A50"/>
    <w:rsid w:val="009C5B80"/>
    <w:rsid w:val="009D2162"/>
    <w:rsid w:val="009D2803"/>
    <w:rsid w:val="009D3260"/>
    <w:rsid w:val="009D38EC"/>
    <w:rsid w:val="009D532E"/>
    <w:rsid w:val="009D5AF3"/>
    <w:rsid w:val="009E191F"/>
    <w:rsid w:val="009E1D8D"/>
    <w:rsid w:val="009E28C0"/>
    <w:rsid w:val="009E298F"/>
    <w:rsid w:val="009E37FF"/>
    <w:rsid w:val="009E5797"/>
    <w:rsid w:val="009E6BD8"/>
    <w:rsid w:val="009E74A3"/>
    <w:rsid w:val="009F1268"/>
    <w:rsid w:val="009F13A9"/>
    <w:rsid w:val="009F30C5"/>
    <w:rsid w:val="009F4CA0"/>
    <w:rsid w:val="009F4D74"/>
    <w:rsid w:val="009F5FF3"/>
    <w:rsid w:val="00A016D2"/>
    <w:rsid w:val="00A01D4C"/>
    <w:rsid w:val="00A03E20"/>
    <w:rsid w:val="00A046D1"/>
    <w:rsid w:val="00A04708"/>
    <w:rsid w:val="00A05A0B"/>
    <w:rsid w:val="00A12482"/>
    <w:rsid w:val="00A12727"/>
    <w:rsid w:val="00A134FE"/>
    <w:rsid w:val="00A13544"/>
    <w:rsid w:val="00A15DC1"/>
    <w:rsid w:val="00A17736"/>
    <w:rsid w:val="00A200CB"/>
    <w:rsid w:val="00A207D2"/>
    <w:rsid w:val="00A2175E"/>
    <w:rsid w:val="00A24B83"/>
    <w:rsid w:val="00A2626B"/>
    <w:rsid w:val="00A310FD"/>
    <w:rsid w:val="00A3189B"/>
    <w:rsid w:val="00A31A42"/>
    <w:rsid w:val="00A32D05"/>
    <w:rsid w:val="00A32D89"/>
    <w:rsid w:val="00A33016"/>
    <w:rsid w:val="00A33D8C"/>
    <w:rsid w:val="00A361D8"/>
    <w:rsid w:val="00A37A24"/>
    <w:rsid w:val="00A402BC"/>
    <w:rsid w:val="00A41435"/>
    <w:rsid w:val="00A42062"/>
    <w:rsid w:val="00A42AC0"/>
    <w:rsid w:val="00A45F36"/>
    <w:rsid w:val="00A47E77"/>
    <w:rsid w:val="00A51617"/>
    <w:rsid w:val="00A516D0"/>
    <w:rsid w:val="00A52785"/>
    <w:rsid w:val="00A55349"/>
    <w:rsid w:val="00A57E72"/>
    <w:rsid w:val="00A61276"/>
    <w:rsid w:val="00A627C0"/>
    <w:rsid w:val="00A62E7D"/>
    <w:rsid w:val="00A646CF"/>
    <w:rsid w:val="00A65D16"/>
    <w:rsid w:val="00A667A5"/>
    <w:rsid w:val="00A66EF4"/>
    <w:rsid w:val="00A6730A"/>
    <w:rsid w:val="00A67D87"/>
    <w:rsid w:val="00A70D0F"/>
    <w:rsid w:val="00A7343F"/>
    <w:rsid w:val="00A742CD"/>
    <w:rsid w:val="00A76D1B"/>
    <w:rsid w:val="00A824D5"/>
    <w:rsid w:val="00A83827"/>
    <w:rsid w:val="00A838AC"/>
    <w:rsid w:val="00A83E08"/>
    <w:rsid w:val="00A84B83"/>
    <w:rsid w:val="00A86E17"/>
    <w:rsid w:val="00A8798A"/>
    <w:rsid w:val="00A932C6"/>
    <w:rsid w:val="00A93895"/>
    <w:rsid w:val="00A96170"/>
    <w:rsid w:val="00A96BEF"/>
    <w:rsid w:val="00A974A0"/>
    <w:rsid w:val="00AA1CCF"/>
    <w:rsid w:val="00AA32AC"/>
    <w:rsid w:val="00AA3776"/>
    <w:rsid w:val="00AA5067"/>
    <w:rsid w:val="00AA52F5"/>
    <w:rsid w:val="00AA7AA2"/>
    <w:rsid w:val="00AB06B2"/>
    <w:rsid w:val="00AB0984"/>
    <w:rsid w:val="00AB1D37"/>
    <w:rsid w:val="00AB2137"/>
    <w:rsid w:val="00AB410D"/>
    <w:rsid w:val="00AB43BA"/>
    <w:rsid w:val="00AB7181"/>
    <w:rsid w:val="00AB77DE"/>
    <w:rsid w:val="00AC04AE"/>
    <w:rsid w:val="00AC22AD"/>
    <w:rsid w:val="00AC36FC"/>
    <w:rsid w:val="00AC37DC"/>
    <w:rsid w:val="00AC7355"/>
    <w:rsid w:val="00AD1903"/>
    <w:rsid w:val="00AD1C5A"/>
    <w:rsid w:val="00AD3A9B"/>
    <w:rsid w:val="00AD4107"/>
    <w:rsid w:val="00AD5653"/>
    <w:rsid w:val="00AD76F9"/>
    <w:rsid w:val="00AD787F"/>
    <w:rsid w:val="00AE0F88"/>
    <w:rsid w:val="00AE3C53"/>
    <w:rsid w:val="00AE4621"/>
    <w:rsid w:val="00AE5140"/>
    <w:rsid w:val="00AE5D4F"/>
    <w:rsid w:val="00AE5FAA"/>
    <w:rsid w:val="00AF5793"/>
    <w:rsid w:val="00AF5FE2"/>
    <w:rsid w:val="00AF6235"/>
    <w:rsid w:val="00B007DC"/>
    <w:rsid w:val="00B0111B"/>
    <w:rsid w:val="00B03311"/>
    <w:rsid w:val="00B04B6B"/>
    <w:rsid w:val="00B05DDF"/>
    <w:rsid w:val="00B1236D"/>
    <w:rsid w:val="00B14470"/>
    <w:rsid w:val="00B167E1"/>
    <w:rsid w:val="00B20EA9"/>
    <w:rsid w:val="00B22D2F"/>
    <w:rsid w:val="00B22EF0"/>
    <w:rsid w:val="00B27C3E"/>
    <w:rsid w:val="00B30367"/>
    <w:rsid w:val="00B306E5"/>
    <w:rsid w:val="00B31321"/>
    <w:rsid w:val="00B32E3F"/>
    <w:rsid w:val="00B335BB"/>
    <w:rsid w:val="00B346EF"/>
    <w:rsid w:val="00B3656D"/>
    <w:rsid w:val="00B36F20"/>
    <w:rsid w:val="00B37F26"/>
    <w:rsid w:val="00B462E4"/>
    <w:rsid w:val="00B463BD"/>
    <w:rsid w:val="00B50EBD"/>
    <w:rsid w:val="00B54C49"/>
    <w:rsid w:val="00B55A24"/>
    <w:rsid w:val="00B55B01"/>
    <w:rsid w:val="00B5658A"/>
    <w:rsid w:val="00B57D4B"/>
    <w:rsid w:val="00B6233C"/>
    <w:rsid w:val="00B628A4"/>
    <w:rsid w:val="00B63245"/>
    <w:rsid w:val="00B64484"/>
    <w:rsid w:val="00B652F1"/>
    <w:rsid w:val="00B65585"/>
    <w:rsid w:val="00B6729E"/>
    <w:rsid w:val="00B720D9"/>
    <w:rsid w:val="00B72CB0"/>
    <w:rsid w:val="00B731B4"/>
    <w:rsid w:val="00B73F97"/>
    <w:rsid w:val="00B75A9A"/>
    <w:rsid w:val="00B766CB"/>
    <w:rsid w:val="00B77452"/>
    <w:rsid w:val="00B80E1F"/>
    <w:rsid w:val="00B81FC5"/>
    <w:rsid w:val="00B84D59"/>
    <w:rsid w:val="00B85499"/>
    <w:rsid w:val="00B8615D"/>
    <w:rsid w:val="00B86BC1"/>
    <w:rsid w:val="00B87194"/>
    <w:rsid w:val="00B874D6"/>
    <w:rsid w:val="00B90CB6"/>
    <w:rsid w:val="00B94FAC"/>
    <w:rsid w:val="00B95AAA"/>
    <w:rsid w:val="00B96998"/>
    <w:rsid w:val="00BA0B27"/>
    <w:rsid w:val="00BA165A"/>
    <w:rsid w:val="00BA26BC"/>
    <w:rsid w:val="00BA322E"/>
    <w:rsid w:val="00BA54F3"/>
    <w:rsid w:val="00BA6021"/>
    <w:rsid w:val="00BA68A7"/>
    <w:rsid w:val="00BA6D79"/>
    <w:rsid w:val="00BB2177"/>
    <w:rsid w:val="00BB410A"/>
    <w:rsid w:val="00BB4F5D"/>
    <w:rsid w:val="00BB5571"/>
    <w:rsid w:val="00BB5C92"/>
    <w:rsid w:val="00BB5CDE"/>
    <w:rsid w:val="00BB6B59"/>
    <w:rsid w:val="00BB6E2E"/>
    <w:rsid w:val="00BB7709"/>
    <w:rsid w:val="00BC0299"/>
    <w:rsid w:val="00BC14D8"/>
    <w:rsid w:val="00BC3FD1"/>
    <w:rsid w:val="00BC4BAB"/>
    <w:rsid w:val="00BC4BE6"/>
    <w:rsid w:val="00BC546C"/>
    <w:rsid w:val="00BC6E1F"/>
    <w:rsid w:val="00BD11B7"/>
    <w:rsid w:val="00BD17CD"/>
    <w:rsid w:val="00BD3197"/>
    <w:rsid w:val="00BD6C8B"/>
    <w:rsid w:val="00BD7020"/>
    <w:rsid w:val="00BD7056"/>
    <w:rsid w:val="00BD70D8"/>
    <w:rsid w:val="00BD7509"/>
    <w:rsid w:val="00BE0274"/>
    <w:rsid w:val="00BE0B02"/>
    <w:rsid w:val="00BE2985"/>
    <w:rsid w:val="00BE4744"/>
    <w:rsid w:val="00BE6021"/>
    <w:rsid w:val="00BE6350"/>
    <w:rsid w:val="00BE6E5D"/>
    <w:rsid w:val="00BF0709"/>
    <w:rsid w:val="00BF0B68"/>
    <w:rsid w:val="00BF18B8"/>
    <w:rsid w:val="00BF2206"/>
    <w:rsid w:val="00BF40BD"/>
    <w:rsid w:val="00BF5D87"/>
    <w:rsid w:val="00BF675C"/>
    <w:rsid w:val="00BF7C8E"/>
    <w:rsid w:val="00BF7CC4"/>
    <w:rsid w:val="00C01B59"/>
    <w:rsid w:val="00C01C76"/>
    <w:rsid w:val="00C02A6A"/>
    <w:rsid w:val="00C10BC3"/>
    <w:rsid w:val="00C11569"/>
    <w:rsid w:val="00C150B2"/>
    <w:rsid w:val="00C1599A"/>
    <w:rsid w:val="00C15A7D"/>
    <w:rsid w:val="00C17302"/>
    <w:rsid w:val="00C205C8"/>
    <w:rsid w:val="00C20A85"/>
    <w:rsid w:val="00C21BD8"/>
    <w:rsid w:val="00C21E04"/>
    <w:rsid w:val="00C2368C"/>
    <w:rsid w:val="00C24C12"/>
    <w:rsid w:val="00C25B4C"/>
    <w:rsid w:val="00C308BA"/>
    <w:rsid w:val="00C3096D"/>
    <w:rsid w:val="00C312D9"/>
    <w:rsid w:val="00C32DBF"/>
    <w:rsid w:val="00C32FD3"/>
    <w:rsid w:val="00C330D4"/>
    <w:rsid w:val="00C331F9"/>
    <w:rsid w:val="00C34806"/>
    <w:rsid w:val="00C403BF"/>
    <w:rsid w:val="00C420C5"/>
    <w:rsid w:val="00C43EE1"/>
    <w:rsid w:val="00C44066"/>
    <w:rsid w:val="00C47E6D"/>
    <w:rsid w:val="00C51554"/>
    <w:rsid w:val="00C51CF6"/>
    <w:rsid w:val="00C629BC"/>
    <w:rsid w:val="00C63BFF"/>
    <w:rsid w:val="00C710A1"/>
    <w:rsid w:val="00C719D1"/>
    <w:rsid w:val="00C75EEB"/>
    <w:rsid w:val="00C77FC6"/>
    <w:rsid w:val="00C8448C"/>
    <w:rsid w:val="00C87F60"/>
    <w:rsid w:val="00C90918"/>
    <w:rsid w:val="00C928AB"/>
    <w:rsid w:val="00C95928"/>
    <w:rsid w:val="00C95F53"/>
    <w:rsid w:val="00C9627C"/>
    <w:rsid w:val="00C96665"/>
    <w:rsid w:val="00C971E2"/>
    <w:rsid w:val="00CA076B"/>
    <w:rsid w:val="00CA1BC9"/>
    <w:rsid w:val="00CA1FA6"/>
    <w:rsid w:val="00CA46FD"/>
    <w:rsid w:val="00CA5450"/>
    <w:rsid w:val="00CA5F16"/>
    <w:rsid w:val="00CB096F"/>
    <w:rsid w:val="00CB0F81"/>
    <w:rsid w:val="00CB1232"/>
    <w:rsid w:val="00CB1BEF"/>
    <w:rsid w:val="00CB5D27"/>
    <w:rsid w:val="00CB6395"/>
    <w:rsid w:val="00CC49BA"/>
    <w:rsid w:val="00CC4B56"/>
    <w:rsid w:val="00CC5F77"/>
    <w:rsid w:val="00CC6D57"/>
    <w:rsid w:val="00CD0C58"/>
    <w:rsid w:val="00CD34C8"/>
    <w:rsid w:val="00CD6237"/>
    <w:rsid w:val="00CE5024"/>
    <w:rsid w:val="00CE605D"/>
    <w:rsid w:val="00CE7403"/>
    <w:rsid w:val="00CE7FDE"/>
    <w:rsid w:val="00CF19FC"/>
    <w:rsid w:val="00CF5176"/>
    <w:rsid w:val="00CF6661"/>
    <w:rsid w:val="00CF6F8E"/>
    <w:rsid w:val="00CF6F9C"/>
    <w:rsid w:val="00D01CF8"/>
    <w:rsid w:val="00D023CD"/>
    <w:rsid w:val="00D02B42"/>
    <w:rsid w:val="00D03E9F"/>
    <w:rsid w:val="00D049E5"/>
    <w:rsid w:val="00D04C37"/>
    <w:rsid w:val="00D0590D"/>
    <w:rsid w:val="00D05F2C"/>
    <w:rsid w:val="00D0632B"/>
    <w:rsid w:val="00D0736F"/>
    <w:rsid w:val="00D1007B"/>
    <w:rsid w:val="00D10727"/>
    <w:rsid w:val="00D14C49"/>
    <w:rsid w:val="00D15A12"/>
    <w:rsid w:val="00D20283"/>
    <w:rsid w:val="00D2087B"/>
    <w:rsid w:val="00D21695"/>
    <w:rsid w:val="00D24274"/>
    <w:rsid w:val="00D25A21"/>
    <w:rsid w:val="00D33835"/>
    <w:rsid w:val="00D3540A"/>
    <w:rsid w:val="00D36127"/>
    <w:rsid w:val="00D361A8"/>
    <w:rsid w:val="00D36624"/>
    <w:rsid w:val="00D36CE3"/>
    <w:rsid w:val="00D3788F"/>
    <w:rsid w:val="00D429DB"/>
    <w:rsid w:val="00D44038"/>
    <w:rsid w:val="00D446C1"/>
    <w:rsid w:val="00D458C3"/>
    <w:rsid w:val="00D469B9"/>
    <w:rsid w:val="00D52567"/>
    <w:rsid w:val="00D57004"/>
    <w:rsid w:val="00D577FC"/>
    <w:rsid w:val="00D61340"/>
    <w:rsid w:val="00D61341"/>
    <w:rsid w:val="00D61BA2"/>
    <w:rsid w:val="00D63163"/>
    <w:rsid w:val="00D63F94"/>
    <w:rsid w:val="00D64A12"/>
    <w:rsid w:val="00D65BCC"/>
    <w:rsid w:val="00D66CD5"/>
    <w:rsid w:val="00D673D6"/>
    <w:rsid w:val="00D67AE0"/>
    <w:rsid w:val="00D67F57"/>
    <w:rsid w:val="00D67FDE"/>
    <w:rsid w:val="00D70709"/>
    <w:rsid w:val="00D74857"/>
    <w:rsid w:val="00D802F8"/>
    <w:rsid w:val="00D81B67"/>
    <w:rsid w:val="00D834CE"/>
    <w:rsid w:val="00D83C80"/>
    <w:rsid w:val="00D86F14"/>
    <w:rsid w:val="00D90113"/>
    <w:rsid w:val="00D910B3"/>
    <w:rsid w:val="00D94094"/>
    <w:rsid w:val="00D947DD"/>
    <w:rsid w:val="00D95E99"/>
    <w:rsid w:val="00D9624A"/>
    <w:rsid w:val="00D962EE"/>
    <w:rsid w:val="00D97441"/>
    <w:rsid w:val="00DA03C5"/>
    <w:rsid w:val="00DA3CF3"/>
    <w:rsid w:val="00DA5A64"/>
    <w:rsid w:val="00DA6C2E"/>
    <w:rsid w:val="00DB2EC1"/>
    <w:rsid w:val="00DB376C"/>
    <w:rsid w:val="00DB43F0"/>
    <w:rsid w:val="00DB4E0E"/>
    <w:rsid w:val="00DB67C9"/>
    <w:rsid w:val="00DB72BE"/>
    <w:rsid w:val="00DB7CC4"/>
    <w:rsid w:val="00DC0473"/>
    <w:rsid w:val="00DC09C4"/>
    <w:rsid w:val="00DC2376"/>
    <w:rsid w:val="00DC273A"/>
    <w:rsid w:val="00DC3FDE"/>
    <w:rsid w:val="00DC436E"/>
    <w:rsid w:val="00DC4892"/>
    <w:rsid w:val="00DC6D1E"/>
    <w:rsid w:val="00DD31CE"/>
    <w:rsid w:val="00DD4430"/>
    <w:rsid w:val="00DD4B21"/>
    <w:rsid w:val="00DD4E06"/>
    <w:rsid w:val="00DD5856"/>
    <w:rsid w:val="00DD682F"/>
    <w:rsid w:val="00DD6E76"/>
    <w:rsid w:val="00DE0022"/>
    <w:rsid w:val="00DE0CDC"/>
    <w:rsid w:val="00DE0D62"/>
    <w:rsid w:val="00DE3AC4"/>
    <w:rsid w:val="00DE57DE"/>
    <w:rsid w:val="00DE5F58"/>
    <w:rsid w:val="00DE682D"/>
    <w:rsid w:val="00DF3A10"/>
    <w:rsid w:val="00DF439C"/>
    <w:rsid w:val="00E01D4B"/>
    <w:rsid w:val="00E03FE5"/>
    <w:rsid w:val="00E0760D"/>
    <w:rsid w:val="00E100F4"/>
    <w:rsid w:val="00E12353"/>
    <w:rsid w:val="00E12CFE"/>
    <w:rsid w:val="00E13235"/>
    <w:rsid w:val="00E15B30"/>
    <w:rsid w:val="00E16882"/>
    <w:rsid w:val="00E17F8B"/>
    <w:rsid w:val="00E200C1"/>
    <w:rsid w:val="00E2080A"/>
    <w:rsid w:val="00E23127"/>
    <w:rsid w:val="00E26E5E"/>
    <w:rsid w:val="00E30DB7"/>
    <w:rsid w:val="00E30EF5"/>
    <w:rsid w:val="00E32DBC"/>
    <w:rsid w:val="00E34413"/>
    <w:rsid w:val="00E34859"/>
    <w:rsid w:val="00E3500F"/>
    <w:rsid w:val="00E36B20"/>
    <w:rsid w:val="00E4290C"/>
    <w:rsid w:val="00E4395A"/>
    <w:rsid w:val="00E43DA4"/>
    <w:rsid w:val="00E44468"/>
    <w:rsid w:val="00E4676C"/>
    <w:rsid w:val="00E50167"/>
    <w:rsid w:val="00E501DF"/>
    <w:rsid w:val="00E51861"/>
    <w:rsid w:val="00E53007"/>
    <w:rsid w:val="00E544FE"/>
    <w:rsid w:val="00E54B01"/>
    <w:rsid w:val="00E54FE1"/>
    <w:rsid w:val="00E56672"/>
    <w:rsid w:val="00E5763E"/>
    <w:rsid w:val="00E61FEC"/>
    <w:rsid w:val="00E668F4"/>
    <w:rsid w:val="00E67BAD"/>
    <w:rsid w:val="00E67C02"/>
    <w:rsid w:val="00E67F69"/>
    <w:rsid w:val="00E705FF"/>
    <w:rsid w:val="00E71C96"/>
    <w:rsid w:val="00E72BED"/>
    <w:rsid w:val="00E74FE1"/>
    <w:rsid w:val="00E75F0D"/>
    <w:rsid w:val="00E76C21"/>
    <w:rsid w:val="00E77774"/>
    <w:rsid w:val="00E824D8"/>
    <w:rsid w:val="00E826B3"/>
    <w:rsid w:val="00E8309E"/>
    <w:rsid w:val="00E836A4"/>
    <w:rsid w:val="00E83D6D"/>
    <w:rsid w:val="00E84592"/>
    <w:rsid w:val="00E849BF"/>
    <w:rsid w:val="00E85A17"/>
    <w:rsid w:val="00E9051C"/>
    <w:rsid w:val="00E93228"/>
    <w:rsid w:val="00E93A97"/>
    <w:rsid w:val="00E9484A"/>
    <w:rsid w:val="00E97A59"/>
    <w:rsid w:val="00E97B03"/>
    <w:rsid w:val="00EA09F5"/>
    <w:rsid w:val="00EA0A14"/>
    <w:rsid w:val="00EA29A4"/>
    <w:rsid w:val="00EB21FB"/>
    <w:rsid w:val="00EB221C"/>
    <w:rsid w:val="00EC5AF8"/>
    <w:rsid w:val="00EC6413"/>
    <w:rsid w:val="00EC6CF2"/>
    <w:rsid w:val="00ED110A"/>
    <w:rsid w:val="00ED4427"/>
    <w:rsid w:val="00ED464A"/>
    <w:rsid w:val="00ED6C38"/>
    <w:rsid w:val="00ED7573"/>
    <w:rsid w:val="00ED7686"/>
    <w:rsid w:val="00EE295C"/>
    <w:rsid w:val="00EE2E94"/>
    <w:rsid w:val="00EE3817"/>
    <w:rsid w:val="00EE693D"/>
    <w:rsid w:val="00EF0711"/>
    <w:rsid w:val="00EF100C"/>
    <w:rsid w:val="00EF617F"/>
    <w:rsid w:val="00EF6BFB"/>
    <w:rsid w:val="00EF722C"/>
    <w:rsid w:val="00F0153E"/>
    <w:rsid w:val="00F04F18"/>
    <w:rsid w:val="00F05F68"/>
    <w:rsid w:val="00F074C3"/>
    <w:rsid w:val="00F106F0"/>
    <w:rsid w:val="00F10AD3"/>
    <w:rsid w:val="00F11642"/>
    <w:rsid w:val="00F12071"/>
    <w:rsid w:val="00F126D2"/>
    <w:rsid w:val="00F15B30"/>
    <w:rsid w:val="00F1679B"/>
    <w:rsid w:val="00F2152D"/>
    <w:rsid w:val="00F2392A"/>
    <w:rsid w:val="00F25378"/>
    <w:rsid w:val="00F25609"/>
    <w:rsid w:val="00F26D84"/>
    <w:rsid w:val="00F27941"/>
    <w:rsid w:val="00F31CA2"/>
    <w:rsid w:val="00F32EA9"/>
    <w:rsid w:val="00F33246"/>
    <w:rsid w:val="00F336D6"/>
    <w:rsid w:val="00F34047"/>
    <w:rsid w:val="00F34E59"/>
    <w:rsid w:val="00F3784D"/>
    <w:rsid w:val="00F37B47"/>
    <w:rsid w:val="00F408F6"/>
    <w:rsid w:val="00F40C7E"/>
    <w:rsid w:val="00F40D7A"/>
    <w:rsid w:val="00F42AEA"/>
    <w:rsid w:val="00F43B31"/>
    <w:rsid w:val="00F4630F"/>
    <w:rsid w:val="00F472BE"/>
    <w:rsid w:val="00F5059B"/>
    <w:rsid w:val="00F50C5F"/>
    <w:rsid w:val="00F51965"/>
    <w:rsid w:val="00F52D20"/>
    <w:rsid w:val="00F556DF"/>
    <w:rsid w:val="00F56398"/>
    <w:rsid w:val="00F602FA"/>
    <w:rsid w:val="00F64C44"/>
    <w:rsid w:val="00F673DD"/>
    <w:rsid w:val="00F673DF"/>
    <w:rsid w:val="00F67CE8"/>
    <w:rsid w:val="00F70E0D"/>
    <w:rsid w:val="00F713B9"/>
    <w:rsid w:val="00F71A1F"/>
    <w:rsid w:val="00F7540F"/>
    <w:rsid w:val="00F801CB"/>
    <w:rsid w:val="00F806B9"/>
    <w:rsid w:val="00F82ED1"/>
    <w:rsid w:val="00F850F3"/>
    <w:rsid w:val="00F8548B"/>
    <w:rsid w:val="00F86287"/>
    <w:rsid w:val="00F869D0"/>
    <w:rsid w:val="00F87F28"/>
    <w:rsid w:val="00F91C04"/>
    <w:rsid w:val="00F94BD1"/>
    <w:rsid w:val="00F961B1"/>
    <w:rsid w:val="00F9648B"/>
    <w:rsid w:val="00F968A1"/>
    <w:rsid w:val="00F97D09"/>
    <w:rsid w:val="00FA372E"/>
    <w:rsid w:val="00FA5342"/>
    <w:rsid w:val="00FA6B81"/>
    <w:rsid w:val="00FA6FB5"/>
    <w:rsid w:val="00FA7F7D"/>
    <w:rsid w:val="00FB1014"/>
    <w:rsid w:val="00FB1732"/>
    <w:rsid w:val="00FB304E"/>
    <w:rsid w:val="00FB3D47"/>
    <w:rsid w:val="00FB4601"/>
    <w:rsid w:val="00FB54A6"/>
    <w:rsid w:val="00FB77DC"/>
    <w:rsid w:val="00FC0DFB"/>
    <w:rsid w:val="00FC1091"/>
    <w:rsid w:val="00FC1B34"/>
    <w:rsid w:val="00FC2E5B"/>
    <w:rsid w:val="00FC3CFF"/>
    <w:rsid w:val="00FC52E7"/>
    <w:rsid w:val="00FC6E35"/>
    <w:rsid w:val="00FC7C55"/>
    <w:rsid w:val="00FD0FF2"/>
    <w:rsid w:val="00FD10BA"/>
    <w:rsid w:val="00FD1B70"/>
    <w:rsid w:val="00FD3A4D"/>
    <w:rsid w:val="00FD486E"/>
    <w:rsid w:val="00FD6575"/>
    <w:rsid w:val="00FE0D71"/>
    <w:rsid w:val="00FE1837"/>
    <w:rsid w:val="00FE3E11"/>
    <w:rsid w:val="00FE4EB7"/>
    <w:rsid w:val="00FE7FBE"/>
    <w:rsid w:val="00FF01F6"/>
    <w:rsid w:val="00FF072D"/>
    <w:rsid w:val="00FF1189"/>
    <w:rsid w:val="00FF2396"/>
    <w:rsid w:val="00FF52EB"/>
    <w:rsid w:val="00FF7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eaeaea,#005daa,#13b5ea,#c9c1b8,#ebd722,#002b5c,black,#808184"/>
    </o:shapedefaults>
    <o:shapelayout v:ext="edit">
      <o:idmap v:ext="edit" data="2"/>
    </o:shapelayout>
  </w:shapeDefaults>
  <w:doNotEmbedSmartTags/>
  <w:decimalSymbol w:val="."/>
  <w:listSeparator w:val=","/>
  <w14:docId w14:val="4E278BDE"/>
  <w15:docId w15:val="{9CC9375E-68CE-4976-A676-F2061FC7C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4290C"/>
    <w:pPr>
      <w:adjustRightInd w:val="0"/>
      <w:spacing w:before="180" w:after="180" w:line="240" w:lineRule="atLeast"/>
    </w:pPr>
    <w:rPr>
      <w:rFonts w:ascii="Arial" w:eastAsia="MS Mincho" w:hAnsi="Arial"/>
      <w:kern w:val="16"/>
      <w:lang w:eastAsia="ja-JP"/>
    </w:rPr>
  </w:style>
  <w:style w:type="paragraph" w:styleId="Heading1">
    <w:name w:val="heading 1"/>
    <w:basedOn w:val="Normal"/>
    <w:next w:val="BodyText"/>
    <w:link w:val="Heading1Char"/>
    <w:qFormat/>
    <w:rsid w:val="00E4290C"/>
    <w:pPr>
      <w:keepLines/>
      <w:pageBreakBefore/>
      <w:pBdr>
        <w:bottom w:val="single" w:sz="2" w:space="2" w:color="003263"/>
      </w:pBdr>
      <w:spacing w:before="0" w:after="1080" w:line="360" w:lineRule="atLeast"/>
      <w:outlineLvl w:val="0"/>
    </w:pPr>
    <w:rPr>
      <w:color w:val="003263"/>
      <w:sz w:val="32"/>
      <w:szCs w:val="32"/>
    </w:rPr>
  </w:style>
  <w:style w:type="paragraph" w:styleId="Heading2">
    <w:name w:val="heading 2"/>
    <w:basedOn w:val="Heading1"/>
    <w:next w:val="BodyText"/>
    <w:link w:val="Heading2Char"/>
    <w:qFormat/>
    <w:rsid w:val="00E4290C"/>
    <w:pPr>
      <w:pageBreakBefore w:val="0"/>
      <w:pBdr>
        <w:bottom w:val="none" w:sz="0" w:space="0" w:color="auto"/>
      </w:pBdr>
      <w:spacing w:before="360" w:after="80" w:line="240" w:lineRule="auto"/>
      <w:outlineLvl w:val="1"/>
    </w:pPr>
    <w:rPr>
      <w:color w:val="0060A9"/>
      <w:sz w:val="25"/>
      <w:szCs w:val="25"/>
    </w:rPr>
  </w:style>
  <w:style w:type="paragraph" w:styleId="Heading3">
    <w:name w:val="heading 3"/>
    <w:basedOn w:val="Heading2"/>
    <w:next w:val="BodyText"/>
    <w:qFormat/>
    <w:rsid w:val="00E4290C"/>
    <w:pPr>
      <w:outlineLvl w:val="2"/>
    </w:pPr>
    <w:rPr>
      <w:sz w:val="23"/>
      <w:szCs w:val="23"/>
    </w:rPr>
  </w:style>
  <w:style w:type="paragraph" w:styleId="Heading4">
    <w:name w:val="heading 4"/>
    <w:basedOn w:val="Heading3"/>
    <w:next w:val="BodyText"/>
    <w:qFormat/>
    <w:rsid w:val="00E4290C"/>
    <w:pPr>
      <w:outlineLvl w:val="3"/>
    </w:pPr>
    <w:rPr>
      <w:sz w:val="21"/>
    </w:rPr>
  </w:style>
  <w:style w:type="paragraph" w:styleId="Heading5">
    <w:name w:val="heading 5"/>
    <w:basedOn w:val="Heading4"/>
    <w:next w:val="BodyText"/>
    <w:qFormat/>
    <w:rsid w:val="00E4290C"/>
    <w:pPr>
      <w:outlineLvl w:val="4"/>
    </w:pPr>
    <w:rPr>
      <w:b/>
      <w:sz w:val="20"/>
    </w:rPr>
  </w:style>
  <w:style w:type="paragraph" w:styleId="Heading6">
    <w:name w:val="heading 6"/>
    <w:basedOn w:val="Heading5"/>
    <w:next w:val="BodyText"/>
    <w:qFormat/>
    <w:rsid w:val="00E4290C"/>
    <w:pPr>
      <w:outlineLvl w:val="5"/>
    </w:pPr>
    <w:rPr>
      <w:bCs/>
      <w:sz w:val="18"/>
      <w:szCs w:val="18"/>
    </w:rPr>
  </w:style>
  <w:style w:type="paragraph" w:styleId="Heading7">
    <w:name w:val="heading 7"/>
    <w:basedOn w:val="Heading5"/>
    <w:next w:val="Normal"/>
    <w:qFormat/>
    <w:rsid w:val="00E4290C"/>
    <w:pPr>
      <w:outlineLvl w:val="6"/>
    </w:pPr>
  </w:style>
  <w:style w:type="paragraph" w:styleId="Heading8">
    <w:name w:val="heading 8"/>
    <w:basedOn w:val="Heading4"/>
    <w:next w:val="Heading9"/>
    <w:qFormat/>
    <w:rsid w:val="00E4290C"/>
    <w:pPr>
      <w:numPr>
        <w:ilvl w:val="7"/>
        <w:numId w:val="4"/>
      </w:numPr>
      <w:outlineLvl w:val="7"/>
    </w:pPr>
    <w:rPr>
      <w:iCs/>
    </w:rPr>
  </w:style>
  <w:style w:type="paragraph" w:styleId="Heading9">
    <w:name w:val="heading 9"/>
    <w:basedOn w:val="Heading7"/>
    <w:next w:val="Normal"/>
    <w:qFormat/>
    <w:rsid w:val="00E4290C"/>
    <w:pPr>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4290C"/>
    <w:rPr>
      <w:rFonts w:ascii="Tahoma" w:hAnsi="Tahoma" w:cs="Tahoma"/>
      <w:sz w:val="16"/>
      <w:szCs w:val="16"/>
    </w:rPr>
  </w:style>
  <w:style w:type="paragraph" w:styleId="Caption">
    <w:name w:val="caption"/>
    <w:basedOn w:val="Normal"/>
    <w:next w:val="Normal"/>
    <w:qFormat/>
    <w:rsid w:val="00E4290C"/>
    <w:pPr>
      <w:spacing w:before="120"/>
    </w:pPr>
    <w:rPr>
      <w:b/>
      <w:bCs/>
    </w:rPr>
  </w:style>
  <w:style w:type="character" w:styleId="CommentReference">
    <w:name w:val="annotation reference"/>
    <w:basedOn w:val="DefaultParagraphFont"/>
    <w:semiHidden/>
    <w:rsid w:val="00E4290C"/>
    <w:rPr>
      <w:rFonts w:ascii="Arial" w:hAnsi="Arial"/>
      <w:kern w:val="0"/>
      <w:sz w:val="16"/>
      <w:szCs w:val="16"/>
      <w:lang w:val="en-GB"/>
    </w:rPr>
  </w:style>
  <w:style w:type="paragraph" w:styleId="CommentText">
    <w:name w:val="annotation text"/>
    <w:basedOn w:val="Normal"/>
    <w:semiHidden/>
    <w:rsid w:val="00E4290C"/>
  </w:style>
  <w:style w:type="paragraph" w:styleId="CommentSubject">
    <w:name w:val="annotation subject"/>
    <w:basedOn w:val="CommentText"/>
    <w:next w:val="CommentText"/>
    <w:semiHidden/>
    <w:rsid w:val="00E4290C"/>
    <w:rPr>
      <w:b/>
      <w:bCs/>
    </w:rPr>
  </w:style>
  <w:style w:type="paragraph" w:styleId="DocumentMap">
    <w:name w:val="Document Map"/>
    <w:basedOn w:val="Normal"/>
    <w:semiHidden/>
    <w:rsid w:val="00E4290C"/>
    <w:pPr>
      <w:shd w:val="clear" w:color="auto" w:fill="000080"/>
    </w:pPr>
    <w:rPr>
      <w:rFonts w:ascii="Tahoma" w:hAnsi="Tahoma" w:cs="Tahoma"/>
    </w:rPr>
  </w:style>
  <w:style w:type="character" w:styleId="EndnoteReference">
    <w:name w:val="endnote reference"/>
    <w:basedOn w:val="DefaultParagraphFont"/>
    <w:semiHidden/>
    <w:rsid w:val="00E4290C"/>
    <w:rPr>
      <w:vertAlign w:val="superscript"/>
      <w:lang w:val="en-GB"/>
    </w:rPr>
  </w:style>
  <w:style w:type="paragraph" w:styleId="EndnoteText">
    <w:name w:val="endnote text"/>
    <w:basedOn w:val="Normal"/>
    <w:semiHidden/>
    <w:rsid w:val="00E4290C"/>
  </w:style>
  <w:style w:type="paragraph" w:styleId="Header">
    <w:name w:val="header"/>
    <w:basedOn w:val="Normal"/>
    <w:semiHidden/>
    <w:rsid w:val="00E4290C"/>
    <w:pPr>
      <w:tabs>
        <w:tab w:val="center" w:pos="4320"/>
        <w:tab w:val="right" w:pos="8640"/>
      </w:tabs>
    </w:pPr>
  </w:style>
  <w:style w:type="paragraph" w:styleId="Footer">
    <w:name w:val="footer"/>
    <w:basedOn w:val="Normal"/>
    <w:link w:val="FooterChar"/>
    <w:rsid w:val="00887BA1"/>
    <w:pPr>
      <w:tabs>
        <w:tab w:val="right" w:pos="8944"/>
      </w:tabs>
      <w:adjustRightInd/>
      <w:spacing w:before="0" w:after="60" w:line="240" w:lineRule="auto"/>
    </w:pPr>
    <w:rPr>
      <w:caps/>
      <w:noProof/>
      <w:snapToGrid w:val="0"/>
      <w:color w:val="003263"/>
      <w:spacing w:val="20"/>
      <w:kern w:val="12"/>
      <w:sz w:val="12"/>
      <w:szCs w:val="12"/>
    </w:rPr>
  </w:style>
  <w:style w:type="paragraph" w:styleId="Index1">
    <w:name w:val="index 1"/>
    <w:basedOn w:val="Normal"/>
    <w:next w:val="Normal"/>
    <w:semiHidden/>
    <w:rsid w:val="00E4290C"/>
    <w:pPr>
      <w:ind w:left="240" w:hanging="240"/>
    </w:pPr>
  </w:style>
  <w:style w:type="paragraph" w:styleId="Index2">
    <w:name w:val="index 2"/>
    <w:basedOn w:val="Normal"/>
    <w:next w:val="Normal"/>
    <w:semiHidden/>
    <w:rsid w:val="00E4290C"/>
    <w:pPr>
      <w:ind w:left="480" w:hanging="240"/>
    </w:pPr>
  </w:style>
  <w:style w:type="paragraph" w:styleId="Index3">
    <w:name w:val="index 3"/>
    <w:basedOn w:val="Normal"/>
    <w:next w:val="Normal"/>
    <w:semiHidden/>
    <w:rsid w:val="00E4290C"/>
    <w:pPr>
      <w:ind w:left="720" w:hanging="240"/>
    </w:pPr>
  </w:style>
  <w:style w:type="paragraph" w:styleId="Index4">
    <w:name w:val="index 4"/>
    <w:basedOn w:val="Normal"/>
    <w:next w:val="Normal"/>
    <w:semiHidden/>
    <w:rsid w:val="00E4290C"/>
    <w:pPr>
      <w:ind w:left="960" w:hanging="240"/>
    </w:pPr>
  </w:style>
  <w:style w:type="paragraph" w:styleId="Index5">
    <w:name w:val="index 5"/>
    <w:basedOn w:val="Normal"/>
    <w:next w:val="Normal"/>
    <w:semiHidden/>
    <w:rsid w:val="00E4290C"/>
    <w:pPr>
      <w:ind w:left="1200" w:hanging="240"/>
    </w:pPr>
  </w:style>
  <w:style w:type="paragraph" w:styleId="Index6">
    <w:name w:val="index 6"/>
    <w:basedOn w:val="Normal"/>
    <w:next w:val="Normal"/>
    <w:semiHidden/>
    <w:rsid w:val="00E4290C"/>
    <w:pPr>
      <w:ind w:left="1440" w:hanging="240"/>
    </w:pPr>
  </w:style>
  <w:style w:type="paragraph" w:styleId="Index7">
    <w:name w:val="index 7"/>
    <w:basedOn w:val="Normal"/>
    <w:next w:val="Normal"/>
    <w:semiHidden/>
    <w:rsid w:val="00E4290C"/>
    <w:pPr>
      <w:ind w:left="1680" w:hanging="240"/>
    </w:pPr>
  </w:style>
  <w:style w:type="paragraph" w:styleId="Index8">
    <w:name w:val="index 8"/>
    <w:basedOn w:val="Normal"/>
    <w:next w:val="Normal"/>
    <w:semiHidden/>
    <w:rsid w:val="00E4290C"/>
    <w:pPr>
      <w:ind w:left="1920" w:hanging="240"/>
    </w:pPr>
  </w:style>
  <w:style w:type="paragraph" w:styleId="Index9">
    <w:name w:val="index 9"/>
    <w:basedOn w:val="Normal"/>
    <w:next w:val="Normal"/>
    <w:semiHidden/>
    <w:rsid w:val="00E4290C"/>
    <w:pPr>
      <w:ind w:left="2160" w:hanging="240"/>
    </w:pPr>
  </w:style>
  <w:style w:type="paragraph" w:styleId="IndexHeading">
    <w:name w:val="index heading"/>
    <w:basedOn w:val="Normal"/>
    <w:next w:val="Index1"/>
    <w:semiHidden/>
    <w:rsid w:val="00E4290C"/>
    <w:rPr>
      <w:rFonts w:cs="Arial"/>
      <w:b/>
      <w:bCs/>
    </w:rPr>
  </w:style>
  <w:style w:type="paragraph" w:styleId="MacroText">
    <w:name w:val="macro"/>
    <w:semiHidden/>
    <w:rsid w:val="00E4290C"/>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n-GB" w:eastAsia="en-GB"/>
    </w:rPr>
  </w:style>
  <w:style w:type="paragraph" w:styleId="TableofAuthorities">
    <w:name w:val="table of authorities"/>
    <w:basedOn w:val="Normal"/>
    <w:next w:val="Normal"/>
    <w:semiHidden/>
    <w:rsid w:val="00E4290C"/>
    <w:pPr>
      <w:ind w:left="240" w:hanging="240"/>
    </w:pPr>
  </w:style>
  <w:style w:type="paragraph" w:customStyle="1" w:styleId="Draft">
    <w:name w:val="Draft"/>
    <w:basedOn w:val="BodyText"/>
    <w:rsid w:val="00E4290C"/>
    <w:pPr>
      <w:spacing w:after="160"/>
      <w:ind w:left="-101" w:right="-101"/>
      <w:jc w:val="center"/>
    </w:pPr>
    <w:rPr>
      <w:b/>
      <w:color w:val="AAAAAA"/>
      <w:sz w:val="40"/>
      <w:szCs w:val="28"/>
    </w:rPr>
  </w:style>
  <w:style w:type="paragraph" w:styleId="TOAHeading">
    <w:name w:val="toa heading"/>
    <w:basedOn w:val="Normal"/>
    <w:next w:val="Normal"/>
    <w:semiHidden/>
    <w:rsid w:val="00E4290C"/>
    <w:pPr>
      <w:spacing w:before="120"/>
    </w:pPr>
    <w:rPr>
      <w:rFonts w:cs="Arial"/>
      <w:b/>
      <w:bCs/>
    </w:rPr>
  </w:style>
  <w:style w:type="paragraph" w:styleId="TOC1">
    <w:name w:val="toc 1"/>
    <w:basedOn w:val="Normal"/>
    <w:rsid w:val="00E4290C"/>
    <w:pPr>
      <w:tabs>
        <w:tab w:val="left" w:pos="473"/>
        <w:tab w:val="right" w:pos="9761"/>
      </w:tabs>
      <w:spacing w:before="480" w:after="120"/>
      <w:ind w:left="45" w:right="28"/>
    </w:pPr>
    <w:rPr>
      <w:rFonts w:cs="Arial"/>
      <w:noProof/>
      <w:color w:val="003263"/>
      <w:sz w:val="22"/>
      <w:szCs w:val="22"/>
    </w:rPr>
  </w:style>
  <w:style w:type="paragraph" w:styleId="TOC2">
    <w:name w:val="toc 2"/>
    <w:basedOn w:val="Normal"/>
    <w:rsid w:val="00E4290C"/>
    <w:pPr>
      <w:tabs>
        <w:tab w:val="left" w:pos="1032"/>
        <w:tab w:val="right" w:pos="9761"/>
      </w:tabs>
      <w:spacing w:before="60" w:after="120" w:line="200" w:lineRule="atLeast"/>
      <w:ind w:left="516" w:right="-6"/>
    </w:pPr>
    <w:rPr>
      <w:rFonts w:cs="Arial"/>
      <w:noProof/>
      <w:color w:val="0060A9"/>
      <w:sz w:val="21"/>
      <w:szCs w:val="21"/>
      <w:lang w:val="en-CA"/>
    </w:rPr>
  </w:style>
  <w:style w:type="paragraph" w:styleId="TOC3">
    <w:name w:val="toc 3"/>
    <w:basedOn w:val="TOC2"/>
    <w:rsid w:val="00E4290C"/>
    <w:pPr>
      <w:tabs>
        <w:tab w:val="clear" w:pos="1032"/>
        <w:tab w:val="left" w:pos="1806"/>
      </w:tabs>
      <w:ind w:left="1049"/>
    </w:pPr>
  </w:style>
  <w:style w:type="paragraph" w:styleId="TOC4">
    <w:name w:val="toc 4"/>
    <w:basedOn w:val="TOC3"/>
    <w:next w:val="Normal"/>
    <w:semiHidden/>
    <w:rsid w:val="00E4290C"/>
  </w:style>
  <w:style w:type="paragraph" w:styleId="TOC5">
    <w:name w:val="toc 5"/>
    <w:basedOn w:val="TOC4"/>
    <w:next w:val="Normal"/>
    <w:semiHidden/>
    <w:rsid w:val="00E4290C"/>
  </w:style>
  <w:style w:type="paragraph" w:styleId="TOC6">
    <w:name w:val="toc 6"/>
    <w:basedOn w:val="Normal"/>
    <w:next w:val="Normal"/>
    <w:semiHidden/>
    <w:rsid w:val="00E4290C"/>
    <w:pPr>
      <w:tabs>
        <w:tab w:val="right" w:leader="dot" w:pos="9019"/>
      </w:tabs>
      <w:ind w:left="1300"/>
    </w:pPr>
    <w:rPr>
      <w:noProof/>
    </w:rPr>
  </w:style>
  <w:style w:type="paragraph" w:styleId="TOC7">
    <w:name w:val="toc 7"/>
    <w:basedOn w:val="Normal"/>
    <w:next w:val="Normal"/>
    <w:semiHidden/>
    <w:rsid w:val="00E4290C"/>
    <w:pPr>
      <w:ind w:left="1200"/>
    </w:pPr>
  </w:style>
  <w:style w:type="paragraph" w:styleId="TOC8">
    <w:name w:val="toc 8"/>
    <w:basedOn w:val="Normal"/>
    <w:next w:val="Normal"/>
    <w:semiHidden/>
    <w:rsid w:val="00E4290C"/>
    <w:pPr>
      <w:ind w:left="1400"/>
    </w:pPr>
  </w:style>
  <w:style w:type="paragraph" w:styleId="TOC9">
    <w:name w:val="toc 9"/>
    <w:basedOn w:val="Normal"/>
    <w:next w:val="Normal"/>
    <w:semiHidden/>
    <w:rsid w:val="00E4290C"/>
    <w:pPr>
      <w:ind w:left="1600"/>
    </w:pPr>
  </w:style>
  <w:style w:type="table" w:styleId="TableGrid">
    <w:name w:val="Table Grid"/>
    <w:basedOn w:val="TableNormal"/>
    <w:rsid w:val="00E4290C"/>
    <w:pPr>
      <w:spacing w:line="220" w:lineRule="atLeast"/>
    </w:pPr>
    <w:rPr>
      <w:rFonts w:ascii="Arial" w:hAnsi="Arial"/>
      <w:sz w:val="18"/>
    </w:rPr>
    <w:tblPr>
      <w:tblBorders>
        <w:top w:val="single" w:sz="6" w:space="0" w:color="8499A6"/>
        <w:bottom w:val="single" w:sz="6" w:space="0" w:color="8499A6"/>
        <w:insideH w:val="single" w:sz="6" w:space="0" w:color="8499A6"/>
      </w:tblBorders>
      <w:tblCellMar>
        <w:left w:w="102" w:type="dxa"/>
        <w:right w:w="102" w:type="dxa"/>
      </w:tblCellMar>
    </w:tblPr>
    <w:trPr>
      <w:cantSplit/>
    </w:trPr>
    <w:tcPr>
      <w:shd w:val="clear" w:color="auto" w:fill="auto"/>
    </w:tcPr>
    <w:tblStylePr w:type="firstRow">
      <w:pPr>
        <w:wordWrap/>
        <w:spacing w:beforeLines="0" w:before="0" w:beforeAutospacing="0" w:afterLines="0" w:after="0" w:afterAutospacing="0" w:line="220" w:lineRule="atLeast"/>
        <w:contextualSpacing w:val="0"/>
      </w:pPr>
      <w:rPr>
        <w:rFonts w:ascii="Arial" w:hAnsi="Arial"/>
        <w:b w:val="0"/>
        <w:i w:val="0"/>
        <w:color w:val="auto"/>
        <w:sz w:val="18"/>
      </w:rPr>
      <w:tblPr/>
      <w:trPr>
        <w:cantSplit w:val="0"/>
      </w:trPr>
      <w:tcPr>
        <w:tcBorders>
          <w:top w:val="single" w:sz="2" w:space="0" w:color="8499A6"/>
          <w:left w:val="nil"/>
          <w:bottom w:val="single" w:sz="2" w:space="0" w:color="8499A6"/>
          <w:right w:val="nil"/>
          <w:insideH w:val="single" w:sz="2" w:space="0" w:color="B3C1C9"/>
          <w:insideV w:val="nil"/>
          <w:tl2br w:val="nil"/>
          <w:tr2bl w:val="nil"/>
        </w:tcBorders>
      </w:tcPr>
    </w:tblStylePr>
  </w:style>
  <w:style w:type="table" w:styleId="TableGrid1">
    <w:name w:val="Table Grid 1"/>
    <w:basedOn w:val="TableNormal"/>
    <w:semiHidden/>
    <w:rsid w:val="00E4290C"/>
    <w:rPr>
      <w:rFonts w:ascii="Verdana" w:hAnsi="Verdana"/>
      <w:color w:val="6F6E6F"/>
      <w:sz w:val="18"/>
    </w:rPr>
    <w:tblPr>
      <w:tblBorders>
        <w:top w:val="single" w:sz="6" w:space="0" w:color="6F6E6F"/>
        <w:bottom w:val="single" w:sz="6" w:space="0" w:color="6F6E6F"/>
        <w:insideH w:val="single" w:sz="6" w:space="0" w:color="6F6E6F"/>
        <w:insideV w:val="single" w:sz="6" w:space="0" w:color="6F6E6F"/>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E4290C"/>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E4290C"/>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E4290C"/>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E4290C"/>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E4290C"/>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E4290C"/>
    <w:rPr>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E4290C"/>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customStyle="1" w:styleId="NumHead1">
    <w:name w:val="NumHead 1"/>
    <w:basedOn w:val="Heading1"/>
    <w:next w:val="BodyText"/>
    <w:link w:val="NumHead1CharChar"/>
    <w:rsid w:val="00E4290C"/>
    <w:pPr>
      <w:numPr>
        <w:numId w:val="18"/>
      </w:numPr>
    </w:pPr>
  </w:style>
  <w:style w:type="character" w:customStyle="1" w:styleId="TableBullet1CharChar">
    <w:name w:val="Table Bullet 1 Char Char"/>
    <w:basedOn w:val="DefaultParagraphFont"/>
    <w:link w:val="TableBullet1"/>
    <w:rsid w:val="00E4290C"/>
    <w:rPr>
      <w:rFonts w:ascii="Arial" w:eastAsia="MS Mincho" w:hAnsi="Arial"/>
      <w:kern w:val="16"/>
      <w:sz w:val="16"/>
      <w:szCs w:val="18"/>
      <w:lang w:val="en-US" w:eastAsia="ja-JP" w:bidi="ar-SA"/>
    </w:rPr>
  </w:style>
  <w:style w:type="paragraph" w:customStyle="1" w:styleId="NumHead2">
    <w:name w:val="NumHead 2"/>
    <w:basedOn w:val="NumHead1"/>
    <w:next w:val="BodyText"/>
    <w:link w:val="NumHead2CharChar"/>
    <w:rsid w:val="00E4290C"/>
    <w:pPr>
      <w:pageBreakBefore w:val="0"/>
      <w:numPr>
        <w:ilvl w:val="1"/>
      </w:numPr>
      <w:pBdr>
        <w:bottom w:val="none" w:sz="0" w:space="0" w:color="auto"/>
      </w:pBdr>
      <w:spacing w:before="360" w:after="60" w:line="280" w:lineRule="atLeast"/>
    </w:pPr>
    <w:rPr>
      <w:rFonts w:cs="Arial"/>
      <w:color w:val="0060A9"/>
      <w:sz w:val="25"/>
      <w:szCs w:val="25"/>
    </w:rPr>
  </w:style>
  <w:style w:type="paragraph" w:customStyle="1" w:styleId="TableTitle">
    <w:name w:val="Table Title"/>
    <w:basedOn w:val="TableText"/>
    <w:autoRedefine/>
    <w:rsid w:val="000B291C"/>
    <w:pPr>
      <w:spacing w:before="120" w:line="240" w:lineRule="atLeast"/>
    </w:pPr>
    <w:rPr>
      <w:b/>
      <w:color w:val="0060A9"/>
      <w:lang w:eastAsia="zh-CN"/>
    </w:rPr>
  </w:style>
  <w:style w:type="paragraph" w:customStyle="1" w:styleId="TableSubtitle">
    <w:name w:val="Table Subtitle"/>
    <w:basedOn w:val="TableText"/>
    <w:next w:val="TableText"/>
    <w:rsid w:val="00E32DBC"/>
    <w:pPr>
      <w:spacing w:before="0"/>
    </w:pPr>
    <w:rPr>
      <w:rFonts w:cs="Arial"/>
      <w:b/>
      <w:i/>
      <w:color w:val="003263"/>
      <w:lang w:eastAsia="zh-CN"/>
    </w:rPr>
  </w:style>
  <w:style w:type="paragraph" w:customStyle="1" w:styleId="TableHeading">
    <w:name w:val="Table Heading"/>
    <w:basedOn w:val="TableText"/>
    <w:rsid w:val="00E4290C"/>
    <w:pPr>
      <w:spacing w:before="360"/>
    </w:pPr>
    <w:rPr>
      <w:b/>
    </w:rPr>
  </w:style>
  <w:style w:type="character" w:customStyle="1" w:styleId="Blue">
    <w:name w:val="Blue"/>
    <w:basedOn w:val="DefaultParagraphFont"/>
    <w:semiHidden/>
    <w:rsid w:val="00E4290C"/>
    <w:rPr>
      <w:rFonts w:ascii="Verdana" w:hAnsi="Verdana"/>
      <w:color w:val="0045A9"/>
      <w:kern w:val="0"/>
      <w:lang w:val="en-GB"/>
    </w:rPr>
  </w:style>
  <w:style w:type="paragraph" w:styleId="ListBullet">
    <w:name w:val="List Bullet"/>
    <w:basedOn w:val="List"/>
    <w:link w:val="ListBulletChar"/>
    <w:rsid w:val="00E4290C"/>
    <w:pPr>
      <w:numPr>
        <w:numId w:val="9"/>
      </w:numPr>
    </w:pPr>
    <w:rPr>
      <w:color w:val="000000"/>
    </w:rPr>
  </w:style>
  <w:style w:type="character" w:customStyle="1" w:styleId="Heading1Char">
    <w:name w:val="Heading 1 Char"/>
    <w:basedOn w:val="DefaultParagraphFont"/>
    <w:link w:val="Heading1"/>
    <w:rsid w:val="00E4290C"/>
    <w:rPr>
      <w:rFonts w:ascii="Arial" w:eastAsia="MS Mincho" w:hAnsi="Arial"/>
      <w:color w:val="003263"/>
      <w:kern w:val="16"/>
      <w:sz w:val="32"/>
      <w:szCs w:val="32"/>
      <w:lang w:val="en-US" w:eastAsia="ja-JP" w:bidi="ar-SA"/>
    </w:rPr>
  </w:style>
  <w:style w:type="paragraph" w:customStyle="1" w:styleId="NumHead3">
    <w:name w:val="NumHead 3"/>
    <w:basedOn w:val="NumHead2"/>
    <w:next w:val="BodyText"/>
    <w:link w:val="NumHead3CharChar"/>
    <w:rsid w:val="00E4290C"/>
    <w:pPr>
      <w:numPr>
        <w:ilvl w:val="2"/>
      </w:numPr>
      <w:tabs>
        <w:tab w:val="left" w:pos="851"/>
      </w:tabs>
      <w:spacing w:after="0" w:line="260" w:lineRule="atLeast"/>
    </w:pPr>
    <w:rPr>
      <w:sz w:val="22"/>
    </w:rPr>
  </w:style>
  <w:style w:type="paragraph" w:styleId="BodyText">
    <w:name w:val="Body Text"/>
    <w:basedOn w:val="Normal"/>
    <w:link w:val="BodyTextChar"/>
    <w:rsid w:val="00E4290C"/>
    <w:pPr>
      <w:spacing w:before="120" w:after="120" w:line="260" w:lineRule="atLeast"/>
    </w:pPr>
  </w:style>
  <w:style w:type="paragraph" w:styleId="ListBullet4">
    <w:name w:val="List Bullet 4"/>
    <w:basedOn w:val="Normal"/>
    <w:semiHidden/>
    <w:rsid w:val="00E4290C"/>
    <w:pPr>
      <w:numPr>
        <w:numId w:val="12"/>
      </w:numPr>
    </w:pPr>
  </w:style>
  <w:style w:type="paragraph" w:styleId="ListBullet5">
    <w:name w:val="List Bullet 5"/>
    <w:basedOn w:val="Normal"/>
    <w:semiHidden/>
    <w:rsid w:val="00E4290C"/>
    <w:pPr>
      <w:numPr>
        <w:numId w:val="13"/>
      </w:numPr>
    </w:pPr>
  </w:style>
  <w:style w:type="paragraph" w:customStyle="1" w:styleId="NumHeadI">
    <w:name w:val="NumHead I"/>
    <w:basedOn w:val="Normal"/>
    <w:next w:val="Normal"/>
    <w:semiHidden/>
    <w:rsid w:val="00E4290C"/>
    <w:pPr>
      <w:keepLines/>
      <w:tabs>
        <w:tab w:val="num" w:pos="1008"/>
      </w:tabs>
      <w:spacing w:before="360" w:line="270" w:lineRule="atLeast"/>
      <w:ind w:left="1008" w:hanging="1008"/>
    </w:pPr>
    <w:rPr>
      <w:b/>
      <w:vanish/>
      <w:color w:val="FF0000"/>
    </w:rPr>
  </w:style>
  <w:style w:type="paragraph" w:customStyle="1" w:styleId="NumHeadII">
    <w:name w:val="NumHead II"/>
    <w:basedOn w:val="Normal"/>
    <w:next w:val="Normal"/>
    <w:semiHidden/>
    <w:rsid w:val="00E4290C"/>
    <w:pPr>
      <w:keepNext/>
      <w:keepLines/>
      <w:tabs>
        <w:tab w:val="num" w:pos="1008"/>
      </w:tabs>
      <w:spacing w:before="360" w:line="270" w:lineRule="atLeast"/>
      <w:ind w:left="1008" w:hanging="1008"/>
    </w:pPr>
    <w:rPr>
      <w:b/>
    </w:rPr>
  </w:style>
  <w:style w:type="paragraph" w:customStyle="1" w:styleId="NumHeadIII">
    <w:name w:val="NumHead III"/>
    <w:basedOn w:val="Normal"/>
    <w:next w:val="Normal"/>
    <w:semiHidden/>
    <w:rsid w:val="00E4290C"/>
    <w:pPr>
      <w:keepNext/>
      <w:keepLines/>
      <w:tabs>
        <w:tab w:val="num" w:pos="1008"/>
      </w:tabs>
      <w:spacing w:before="360" w:line="270" w:lineRule="atLeast"/>
      <w:ind w:left="1008" w:hanging="1008"/>
    </w:pPr>
    <w:rPr>
      <w:b/>
    </w:rPr>
  </w:style>
  <w:style w:type="paragraph" w:customStyle="1" w:styleId="NumHeadIV">
    <w:name w:val="NumHead IV"/>
    <w:basedOn w:val="Normal"/>
    <w:next w:val="Normal"/>
    <w:semiHidden/>
    <w:rsid w:val="00E4290C"/>
    <w:pPr>
      <w:keepNext/>
      <w:keepLines/>
      <w:tabs>
        <w:tab w:val="num" w:pos="1008"/>
      </w:tabs>
      <w:spacing w:before="360" w:line="270" w:lineRule="atLeast"/>
      <w:ind w:left="1008" w:hanging="1008"/>
    </w:pPr>
    <w:rPr>
      <w:b/>
    </w:rPr>
  </w:style>
  <w:style w:type="paragraph" w:customStyle="1" w:styleId="NumHeadV">
    <w:name w:val="NumHead V"/>
    <w:basedOn w:val="Normal"/>
    <w:next w:val="Normal"/>
    <w:semiHidden/>
    <w:rsid w:val="00E4290C"/>
    <w:pPr>
      <w:keepNext/>
      <w:keepLines/>
      <w:tabs>
        <w:tab w:val="num" w:pos="1008"/>
      </w:tabs>
      <w:spacing w:before="360" w:line="270" w:lineRule="atLeast"/>
      <w:ind w:left="1008" w:hanging="1008"/>
    </w:pPr>
    <w:rPr>
      <w:b/>
    </w:rPr>
  </w:style>
  <w:style w:type="character" w:customStyle="1" w:styleId="TitleChar">
    <w:name w:val="Title Char"/>
    <w:basedOn w:val="DefaultParagraphFont"/>
    <w:link w:val="Title"/>
    <w:rsid w:val="00E4290C"/>
    <w:rPr>
      <w:rFonts w:ascii="Arial" w:eastAsia="MS Mincho" w:hAnsi="Arial" w:cs="Arial"/>
      <w:color w:val="FFFFFF"/>
      <w:kern w:val="16"/>
      <w:sz w:val="40"/>
      <w:szCs w:val="40"/>
      <w:lang w:val="en-US" w:eastAsia="ja-JP" w:bidi="ar-SA"/>
    </w:rPr>
  </w:style>
  <w:style w:type="paragraph" w:styleId="Subtitle">
    <w:name w:val="Subtitle"/>
    <w:basedOn w:val="Title"/>
    <w:link w:val="SubtitleChar"/>
    <w:qFormat/>
    <w:rsid w:val="0039777B"/>
    <w:pPr>
      <w:spacing w:after="100" w:afterAutospacing="1" w:line="360" w:lineRule="atLeast"/>
    </w:pPr>
    <w:rPr>
      <w:b/>
      <w:i/>
      <w:sz w:val="28"/>
      <w:szCs w:val="28"/>
    </w:rPr>
  </w:style>
  <w:style w:type="paragraph" w:styleId="Salutation">
    <w:name w:val="Salutation"/>
    <w:basedOn w:val="Normal"/>
    <w:next w:val="Normal"/>
    <w:semiHidden/>
    <w:rsid w:val="00E4290C"/>
  </w:style>
  <w:style w:type="paragraph" w:styleId="MessageHeader">
    <w:name w:val="Message Header"/>
    <w:basedOn w:val="Normal"/>
    <w:semiHidden/>
    <w:rsid w:val="00E4290C"/>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paragraph" w:customStyle="1" w:styleId="NumHead4">
    <w:name w:val="NumHead 4"/>
    <w:basedOn w:val="NumHead3"/>
    <w:next w:val="BodyText"/>
    <w:link w:val="NumHead4CharChar"/>
    <w:rsid w:val="00E4290C"/>
    <w:pPr>
      <w:numPr>
        <w:ilvl w:val="3"/>
      </w:numPr>
      <w:tabs>
        <w:tab w:val="clear" w:pos="851"/>
        <w:tab w:val="left" w:pos="907"/>
      </w:tabs>
    </w:pPr>
    <w:rPr>
      <w:sz w:val="21"/>
      <w:szCs w:val="21"/>
    </w:rPr>
  </w:style>
  <w:style w:type="character" w:customStyle="1" w:styleId="SubtitleChar">
    <w:name w:val="Subtitle Char"/>
    <w:basedOn w:val="TitleChar"/>
    <w:link w:val="Subtitle"/>
    <w:rsid w:val="0039777B"/>
    <w:rPr>
      <w:rFonts w:ascii="Arial" w:eastAsia="MS Mincho" w:hAnsi="Arial" w:cs="Arial"/>
      <w:b/>
      <w:i/>
      <w:color w:val="FFFFFF"/>
      <w:kern w:val="16"/>
      <w:sz w:val="28"/>
      <w:szCs w:val="28"/>
      <w:lang w:val="en-US" w:eastAsia="ja-JP" w:bidi="ar-SA"/>
    </w:rPr>
  </w:style>
  <w:style w:type="paragraph" w:customStyle="1" w:styleId="BodyTextBold">
    <w:name w:val="Body Text Bold"/>
    <w:basedOn w:val="BlockText"/>
    <w:next w:val="BodyText"/>
    <w:rsid w:val="00E4290C"/>
    <w:pPr>
      <w:ind w:left="0"/>
    </w:pPr>
    <w:rPr>
      <w:b/>
    </w:rPr>
  </w:style>
  <w:style w:type="paragraph" w:customStyle="1" w:styleId="NumHead5">
    <w:name w:val="NumHead 5"/>
    <w:basedOn w:val="NumHead4"/>
    <w:next w:val="BodyText"/>
    <w:link w:val="NumHead5CharChar"/>
    <w:rsid w:val="00E4290C"/>
    <w:pPr>
      <w:numPr>
        <w:ilvl w:val="4"/>
      </w:numPr>
      <w:tabs>
        <w:tab w:val="clear" w:pos="907"/>
        <w:tab w:val="left" w:pos="1021"/>
      </w:tabs>
      <w:spacing w:line="240" w:lineRule="atLeast"/>
    </w:pPr>
    <w:rPr>
      <w:szCs w:val="19"/>
    </w:rPr>
  </w:style>
  <w:style w:type="character" w:customStyle="1" w:styleId="NumHead1CharChar">
    <w:name w:val="NumHead 1 Char Char"/>
    <w:basedOn w:val="DefaultParagraphFont"/>
    <w:link w:val="NumHead1"/>
    <w:rsid w:val="00E4290C"/>
    <w:rPr>
      <w:rFonts w:ascii="Arial" w:eastAsia="MS Mincho" w:hAnsi="Arial"/>
      <w:color w:val="003263"/>
      <w:kern w:val="16"/>
      <w:sz w:val="32"/>
      <w:szCs w:val="32"/>
      <w:lang w:val="en-US" w:eastAsia="ja-JP" w:bidi="ar-SA"/>
    </w:rPr>
  </w:style>
  <w:style w:type="character" w:customStyle="1" w:styleId="NumHead2CharChar">
    <w:name w:val="NumHead 2 Char Char"/>
    <w:basedOn w:val="NumHead1CharChar"/>
    <w:link w:val="NumHead2"/>
    <w:rsid w:val="00E4290C"/>
    <w:rPr>
      <w:rFonts w:ascii="Arial" w:eastAsia="MS Mincho" w:hAnsi="Arial" w:cs="Arial"/>
      <w:color w:val="0060A9"/>
      <w:kern w:val="16"/>
      <w:sz w:val="25"/>
      <w:szCs w:val="25"/>
      <w:lang w:val="en-US" w:eastAsia="ja-JP" w:bidi="ar-SA"/>
    </w:rPr>
  </w:style>
  <w:style w:type="paragraph" w:customStyle="1" w:styleId="Question1">
    <w:name w:val="Question 1"/>
    <w:basedOn w:val="Normal"/>
    <w:next w:val="BodyText"/>
    <w:rsid w:val="00E4290C"/>
    <w:pPr>
      <w:keepNext/>
      <w:keepLines/>
      <w:numPr>
        <w:numId w:val="21"/>
      </w:numPr>
      <w:pBdr>
        <w:bottom w:val="single" w:sz="2" w:space="4" w:color="8499A6"/>
      </w:pBdr>
      <w:adjustRightInd/>
      <w:spacing w:before="600" w:after="60"/>
    </w:pPr>
    <w:rPr>
      <w:color w:val="0060A9"/>
      <w:lang w:val="en-CA" w:eastAsia="en-US"/>
    </w:rPr>
  </w:style>
  <w:style w:type="paragraph" w:customStyle="1" w:styleId="Question2">
    <w:name w:val="Question 2"/>
    <w:basedOn w:val="Question1"/>
    <w:next w:val="BodyText"/>
    <w:rsid w:val="00E4290C"/>
    <w:pPr>
      <w:numPr>
        <w:numId w:val="0"/>
      </w:numPr>
    </w:pPr>
  </w:style>
  <w:style w:type="paragraph" w:styleId="List">
    <w:name w:val="List"/>
    <w:basedOn w:val="BodyText"/>
    <w:link w:val="ListChar"/>
    <w:rsid w:val="00E4290C"/>
    <w:pPr>
      <w:numPr>
        <w:numId w:val="5"/>
      </w:numPr>
      <w:spacing w:line="240" w:lineRule="atLeast"/>
    </w:pPr>
    <w:rPr>
      <w:sz w:val="19"/>
      <w:szCs w:val="19"/>
      <w:lang w:val="en-CA"/>
    </w:rPr>
  </w:style>
  <w:style w:type="paragraph" w:customStyle="1" w:styleId="DateFrontpage">
    <w:name w:val="Date Front page"/>
    <w:basedOn w:val="BodyText"/>
    <w:rsid w:val="00E4290C"/>
    <w:pPr>
      <w:framePr w:w="4043" w:h="357" w:hRule="exact" w:hSpace="181" w:wrap="notBeside" w:vAnchor="page" w:hAnchor="page" w:x="1231" w:y="5217" w:anchorLock="1"/>
      <w:spacing w:after="240"/>
    </w:pPr>
    <w:rPr>
      <w:smallCaps/>
      <w:color w:val="FFFFFF"/>
      <w:sz w:val="16"/>
      <w:szCs w:val="16"/>
    </w:rPr>
  </w:style>
  <w:style w:type="character" w:customStyle="1" w:styleId="NumHead3CharChar">
    <w:name w:val="NumHead 3 Char Char"/>
    <w:basedOn w:val="NumHead2CharChar"/>
    <w:link w:val="NumHead3"/>
    <w:rsid w:val="00E4290C"/>
    <w:rPr>
      <w:rFonts w:ascii="Arial" w:eastAsia="MS Mincho" w:hAnsi="Arial" w:cs="Arial"/>
      <w:color w:val="0060A9"/>
      <w:kern w:val="16"/>
      <w:sz w:val="22"/>
      <w:szCs w:val="25"/>
      <w:lang w:val="en-US" w:eastAsia="ja-JP" w:bidi="ar-SA"/>
    </w:rPr>
  </w:style>
  <w:style w:type="character" w:customStyle="1" w:styleId="NumHead4CharChar">
    <w:name w:val="NumHead 4 Char Char"/>
    <w:basedOn w:val="NumHead3CharChar"/>
    <w:link w:val="NumHead4"/>
    <w:rsid w:val="00E4290C"/>
    <w:rPr>
      <w:rFonts w:ascii="Arial" w:eastAsia="MS Mincho" w:hAnsi="Arial" w:cs="Arial"/>
      <w:color w:val="0060A9"/>
      <w:kern w:val="16"/>
      <w:sz w:val="21"/>
      <w:szCs w:val="21"/>
      <w:lang w:val="en-US" w:eastAsia="ja-JP" w:bidi="ar-SA"/>
    </w:rPr>
  </w:style>
  <w:style w:type="character" w:customStyle="1" w:styleId="BodyTextChar">
    <w:name w:val="Body Text Char"/>
    <w:basedOn w:val="DefaultParagraphFont"/>
    <w:link w:val="BodyText"/>
    <w:rsid w:val="00E4290C"/>
    <w:rPr>
      <w:rFonts w:ascii="Arial" w:eastAsia="MS Mincho" w:hAnsi="Arial"/>
      <w:kern w:val="16"/>
      <w:lang w:val="en-US" w:eastAsia="ja-JP" w:bidi="ar-SA"/>
    </w:rPr>
  </w:style>
  <w:style w:type="paragraph" w:styleId="PlainText">
    <w:name w:val="Plain Text"/>
    <w:basedOn w:val="Normal"/>
    <w:semiHidden/>
    <w:rsid w:val="00E4290C"/>
    <w:rPr>
      <w:rFonts w:ascii="Courier New" w:hAnsi="Courier New" w:cs="Courier New"/>
    </w:rPr>
  </w:style>
  <w:style w:type="numbering" w:styleId="111111">
    <w:name w:val="Outline List 2"/>
    <w:basedOn w:val="NoList"/>
    <w:semiHidden/>
    <w:rsid w:val="00E4290C"/>
    <w:pPr>
      <w:numPr>
        <w:numId w:val="1"/>
      </w:numPr>
    </w:pPr>
  </w:style>
  <w:style w:type="paragraph" w:styleId="BlockText">
    <w:name w:val="Block Text"/>
    <w:basedOn w:val="Normal"/>
    <w:semiHidden/>
    <w:rsid w:val="00E4290C"/>
    <w:pPr>
      <w:ind w:left="1440" w:right="1440"/>
    </w:pPr>
  </w:style>
  <w:style w:type="character" w:customStyle="1" w:styleId="NumHead5CharChar">
    <w:name w:val="NumHead 5 Char Char"/>
    <w:basedOn w:val="NumHead4CharChar"/>
    <w:link w:val="NumHead5"/>
    <w:rsid w:val="00E4290C"/>
    <w:rPr>
      <w:rFonts w:ascii="Arial" w:eastAsia="MS Mincho" w:hAnsi="Arial" w:cs="Arial"/>
      <w:color w:val="0060A9"/>
      <w:kern w:val="16"/>
      <w:sz w:val="21"/>
      <w:szCs w:val="19"/>
      <w:lang w:val="en-US" w:eastAsia="ja-JP" w:bidi="ar-SA"/>
    </w:rPr>
  </w:style>
  <w:style w:type="character" w:customStyle="1" w:styleId="Heading1CharChar">
    <w:name w:val="Heading 1 Char Char"/>
    <w:basedOn w:val="DefaultParagraphFont"/>
    <w:rsid w:val="00541410"/>
    <w:rPr>
      <w:rFonts w:ascii="Arial" w:eastAsia="MS Mincho" w:hAnsi="Arial"/>
      <w:color w:val="003263"/>
      <w:kern w:val="16"/>
      <w:sz w:val="32"/>
      <w:szCs w:val="32"/>
      <w:lang w:val="en-US" w:eastAsia="ja-JP" w:bidi="ar-SA"/>
    </w:rPr>
  </w:style>
  <w:style w:type="paragraph" w:customStyle="1" w:styleId="Question3">
    <w:name w:val="Question 3"/>
    <w:basedOn w:val="Question1"/>
    <w:next w:val="BodyText"/>
    <w:rsid w:val="00E4290C"/>
    <w:pPr>
      <w:numPr>
        <w:numId w:val="22"/>
      </w:numPr>
    </w:pPr>
  </w:style>
  <w:style w:type="paragraph" w:customStyle="1" w:styleId="Question5">
    <w:name w:val="Question 5"/>
    <w:basedOn w:val="Question1"/>
    <w:next w:val="BodyText"/>
    <w:rsid w:val="00E4290C"/>
    <w:pPr>
      <w:numPr>
        <w:numId w:val="24"/>
      </w:numPr>
    </w:pPr>
  </w:style>
  <w:style w:type="paragraph" w:customStyle="1" w:styleId="Question4">
    <w:name w:val="Question 4"/>
    <w:basedOn w:val="Question1"/>
    <w:next w:val="BodyText"/>
    <w:rsid w:val="00E4290C"/>
    <w:pPr>
      <w:numPr>
        <w:numId w:val="23"/>
      </w:numPr>
    </w:pPr>
  </w:style>
  <w:style w:type="character" w:customStyle="1" w:styleId="Heading2Char">
    <w:name w:val="Heading 2 Char"/>
    <w:basedOn w:val="Heading1Char"/>
    <w:link w:val="Heading2"/>
    <w:rsid w:val="00E4290C"/>
    <w:rPr>
      <w:rFonts w:ascii="Arial" w:eastAsia="MS Mincho" w:hAnsi="Arial"/>
      <w:color w:val="0060A9"/>
      <w:kern w:val="16"/>
      <w:sz w:val="25"/>
      <w:szCs w:val="25"/>
      <w:lang w:val="en-US" w:eastAsia="ja-JP" w:bidi="ar-SA"/>
    </w:rPr>
  </w:style>
  <w:style w:type="paragraph" w:customStyle="1" w:styleId="Redtext">
    <w:name w:val="Red text"/>
    <w:basedOn w:val="BodyText"/>
    <w:rsid w:val="00E4290C"/>
    <w:rPr>
      <w:i/>
      <w:color w:val="FF0000"/>
    </w:rPr>
  </w:style>
  <w:style w:type="paragraph" w:customStyle="1" w:styleId="TitleDisclaimer">
    <w:name w:val="Title Disclaimer"/>
    <w:basedOn w:val="Heading1"/>
    <w:rsid w:val="00E4290C"/>
  </w:style>
  <w:style w:type="paragraph" w:customStyle="1" w:styleId="Quotation">
    <w:name w:val="Quotation"/>
    <w:basedOn w:val="SubHeading"/>
    <w:rsid w:val="0039777B"/>
    <w:pPr>
      <w:spacing w:after="120" w:line="280" w:lineRule="atLeast"/>
    </w:pPr>
    <w:rPr>
      <w:sz w:val="18"/>
    </w:rPr>
  </w:style>
  <w:style w:type="character" w:customStyle="1" w:styleId="ListChar">
    <w:name w:val="List Char"/>
    <w:basedOn w:val="DefaultParagraphFont"/>
    <w:link w:val="List"/>
    <w:rsid w:val="00E4290C"/>
    <w:rPr>
      <w:rFonts w:ascii="Arial" w:eastAsia="MS Mincho" w:hAnsi="Arial"/>
      <w:kern w:val="16"/>
      <w:sz w:val="19"/>
      <w:szCs w:val="19"/>
      <w:lang w:val="en-CA" w:eastAsia="ja-JP" w:bidi="ar-SA"/>
    </w:rPr>
  </w:style>
  <w:style w:type="character" w:customStyle="1" w:styleId="ListBulletChar">
    <w:name w:val="List Bullet Char"/>
    <w:basedOn w:val="DefaultParagraphFont"/>
    <w:link w:val="ListBullet"/>
    <w:rsid w:val="004A21A3"/>
    <w:rPr>
      <w:rFonts w:ascii="Arial" w:eastAsia="MS Mincho" w:hAnsi="Arial"/>
      <w:color w:val="000000"/>
      <w:kern w:val="16"/>
      <w:sz w:val="19"/>
      <w:szCs w:val="19"/>
      <w:lang w:val="en-CA" w:eastAsia="ja-JP" w:bidi="ar-SA"/>
    </w:rPr>
  </w:style>
  <w:style w:type="numbering" w:customStyle="1" w:styleId="NumHeadListChapter">
    <w:name w:val="NumHead List Chapter"/>
    <w:basedOn w:val="NoList"/>
    <w:semiHidden/>
    <w:rsid w:val="00E4290C"/>
    <w:pPr>
      <w:numPr>
        <w:numId w:val="29"/>
      </w:numPr>
    </w:pPr>
  </w:style>
  <w:style w:type="numbering" w:customStyle="1" w:styleId="NumHeadListAppendix">
    <w:name w:val="NumHead List Appendix"/>
    <w:basedOn w:val="NoList"/>
    <w:semiHidden/>
    <w:rsid w:val="00E4290C"/>
    <w:pPr>
      <w:numPr>
        <w:numId w:val="19"/>
      </w:numPr>
    </w:pPr>
  </w:style>
  <w:style w:type="character" w:customStyle="1" w:styleId="ListBullet2Char">
    <w:name w:val="List Bullet 2 Char"/>
    <w:basedOn w:val="ListBulletChar"/>
    <w:link w:val="ListBullet2"/>
    <w:rsid w:val="00E4290C"/>
    <w:rPr>
      <w:rFonts w:ascii="Arial" w:eastAsia="MS Mincho" w:hAnsi="Arial"/>
      <w:color w:val="000000"/>
      <w:kern w:val="16"/>
      <w:sz w:val="19"/>
      <w:szCs w:val="19"/>
      <w:lang w:val="en-CA" w:eastAsia="ja-JP" w:bidi="ar-SA"/>
    </w:rPr>
  </w:style>
  <w:style w:type="character" w:customStyle="1" w:styleId="TableTextCharChar">
    <w:name w:val="Table Text Char Char"/>
    <w:basedOn w:val="DefaultParagraphFont"/>
    <w:link w:val="TableText"/>
    <w:rsid w:val="00E4290C"/>
    <w:rPr>
      <w:rFonts w:ascii="Arial" w:eastAsia="MS Mincho" w:hAnsi="Arial"/>
      <w:kern w:val="16"/>
      <w:sz w:val="18"/>
      <w:szCs w:val="18"/>
      <w:lang w:val="en-US" w:eastAsia="ja-JP" w:bidi="ar-SA"/>
    </w:rPr>
  </w:style>
  <w:style w:type="paragraph" w:customStyle="1" w:styleId="SubHeading">
    <w:name w:val="Sub Heading"/>
    <w:next w:val="BodyText"/>
    <w:rsid w:val="0039777B"/>
    <w:pPr>
      <w:spacing w:before="120" w:after="1080" w:line="260" w:lineRule="atLeast"/>
    </w:pPr>
    <w:rPr>
      <w:rFonts w:ascii="Arial" w:eastAsia="MS Mincho" w:hAnsi="Arial"/>
      <w:b/>
      <w:i/>
      <w:color w:val="0060A9"/>
      <w:kern w:val="16"/>
      <w:sz w:val="24"/>
      <w:szCs w:val="24"/>
      <w:lang w:eastAsia="ja-JP"/>
    </w:rPr>
  </w:style>
  <w:style w:type="paragraph" w:customStyle="1" w:styleId="FootnoteSeparator">
    <w:name w:val="Footnote Separator"/>
    <w:basedOn w:val="Normal"/>
    <w:semiHidden/>
    <w:rsid w:val="00E4290C"/>
    <w:pPr>
      <w:keepLines/>
    </w:pPr>
    <w:rPr>
      <w:rFonts w:cs="Arial"/>
      <w:noProof/>
      <w:sz w:val="10"/>
      <w:szCs w:val="10"/>
      <w:lang w:eastAsia="en-GB"/>
    </w:rPr>
  </w:style>
  <w:style w:type="paragraph" w:customStyle="1" w:styleId="Default">
    <w:name w:val="Default"/>
    <w:semiHidden/>
    <w:rsid w:val="00E4290C"/>
    <w:pPr>
      <w:autoSpaceDE w:val="0"/>
      <w:autoSpaceDN w:val="0"/>
      <w:adjustRightInd w:val="0"/>
    </w:pPr>
    <w:rPr>
      <w:rFonts w:ascii="Arial" w:eastAsia="Times New Roman" w:hAnsi="Arial" w:cs="Arial"/>
      <w:color w:val="000000"/>
      <w:sz w:val="24"/>
      <w:szCs w:val="24"/>
    </w:rPr>
  </w:style>
  <w:style w:type="paragraph" w:customStyle="1" w:styleId="Heading1Spacer">
    <w:name w:val="Heading 1_Spacer"/>
    <w:basedOn w:val="Heading1"/>
    <w:next w:val="BodyText"/>
    <w:rsid w:val="00E4290C"/>
    <w:pPr>
      <w:pBdr>
        <w:bottom w:val="none" w:sz="0" w:space="0" w:color="auto"/>
      </w:pBdr>
      <w:ind w:left="578" w:hanging="578"/>
    </w:pPr>
    <w:rPr>
      <w:color w:val="FFFFFF"/>
      <w:sz w:val="36"/>
    </w:rPr>
  </w:style>
  <w:style w:type="character" w:styleId="Hyperlink">
    <w:name w:val="Hyperlink"/>
    <w:basedOn w:val="DefaultParagraphFont"/>
    <w:rsid w:val="00E4290C"/>
    <w:rPr>
      <w:rFonts w:ascii="Arial" w:hAnsi="Arial"/>
      <w:b/>
      <w:color w:val="000000"/>
      <w:sz w:val="20"/>
      <w:u w:val="none"/>
      <w:lang w:val="en-GB"/>
    </w:rPr>
  </w:style>
  <w:style w:type="character" w:customStyle="1" w:styleId="FooterChar">
    <w:name w:val="Footer Char"/>
    <w:basedOn w:val="DefaultParagraphFont"/>
    <w:link w:val="Footer"/>
    <w:rsid w:val="00887BA1"/>
    <w:rPr>
      <w:rFonts w:ascii="Arial" w:eastAsia="MS Mincho" w:hAnsi="Arial"/>
      <w:caps/>
      <w:noProof/>
      <w:snapToGrid w:val="0"/>
      <w:color w:val="003263"/>
      <w:spacing w:val="20"/>
      <w:kern w:val="12"/>
      <w:sz w:val="12"/>
      <w:szCs w:val="12"/>
      <w:lang w:eastAsia="ja-JP"/>
    </w:rPr>
  </w:style>
  <w:style w:type="paragraph" w:styleId="ListBullet2">
    <w:name w:val="List Bullet 2"/>
    <w:basedOn w:val="ListBullet"/>
    <w:link w:val="ListBullet2Char"/>
    <w:rsid w:val="00E4290C"/>
    <w:pPr>
      <w:numPr>
        <w:numId w:val="10"/>
      </w:numPr>
    </w:pPr>
  </w:style>
  <w:style w:type="paragraph" w:styleId="ListBullet3">
    <w:name w:val="List Bullet 3"/>
    <w:basedOn w:val="ListBullet2"/>
    <w:rsid w:val="00E4290C"/>
    <w:pPr>
      <w:numPr>
        <w:numId w:val="11"/>
      </w:numPr>
    </w:pPr>
    <w:rPr>
      <w:color w:val="auto"/>
    </w:rPr>
  </w:style>
  <w:style w:type="character" w:styleId="PageNumber">
    <w:name w:val="page number"/>
    <w:semiHidden/>
    <w:rsid w:val="00E4290C"/>
  </w:style>
  <w:style w:type="paragraph" w:customStyle="1" w:styleId="TableMultipleColumnTitle">
    <w:name w:val="Table Multiple Column Title"/>
    <w:basedOn w:val="Normal"/>
    <w:semiHidden/>
    <w:rsid w:val="00E4290C"/>
    <w:pPr>
      <w:keepNext/>
      <w:keepLines/>
      <w:spacing w:before="50" w:after="30"/>
      <w:jc w:val="center"/>
    </w:pPr>
    <w:rPr>
      <w:b/>
      <w:sz w:val="17"/>
      <w:szCs w:val="17"/>
    </w:rPr>
  </w:style>
  <w:style w:type="paragraph" w:customStyle="1" w:styleId="TableHeaderRowBlue">
    <w:name w:val="Table Header Row Blue"/>
    <w:basedOn w:val="TableHeaderRowBrightBlue"/>
    <w:next w:val="TableText"/>
    <w:link w:val="TableHeaderRowBlueChar"/>
    <w:rsid w:val="00E32DBC"/>
    <w:rPr>
      <w:bCs/>
      <w:color w:val="003263"/>
      <w:lang w:eastAsia="ja-JP"/>
    </w:rPr>
  </w:style>
  <w:style w:type="paragraph" w:customStyle="1" w:styleId="TableHeaderRowBrightBlue">
    <w:name w:val="Table Header Row Bright Blue"/>
    <w:next w:val="TableText"/>
    <w:link w:val="TableHeaderRowBrightBlueChar"/>
    <w:rsid w:val="00E32DBC"/>
    <w:pPr>
      <w:spacing w:before="40" w:after="40" w:line="200" w:lineRule="atLeast"/>
      <w:jc w:val="center"/>
    </w:pPr>
    <w:rPr>
      <w:rFonts w:ascii="Arial" w:eastAsia="MS Mincho" w:hAnsi="Arial" w:cs="Arial"/>
      <w:b/>
      <w:color w:val="0060A9"/>
      <w:kern w:val="16"/>
      <w:sz w:val="16"/>
      <w:szCs w:val="18"/>
      <w:lang w:eastAsia="zh-CN"/>
    </w:rPr>
  </w:style>
  <w:style w:type="paragraph" w:customStyle="1" w:styleId="Disclaimer">
    <w:name w:val="Disclaimer"/>
    <w:basedOn w:val="BodyText"/>
    <w:rsid w:val="00E4290C"/>
    <w:pPr>
      <w:framePr w:hSpace="181" w:wrap="around" w:vAnchor="page" w:hAnchor="text" w:y="13402"/>
      <w:spacing w:before="80" w:after="80" w:line="240" w:lineRule="auto"/>
      <w:jc w:val="both"/>
    </w:pPr>
    <w:rPr>
      <w:rFonts w:eastAsia="Times New Roman"/>
      <w:sz w:val="13"/>
      <w:szCs w:val="13"/>
    </w:rPr>
  </w:style>
  <w:style w:type="paragraph" w:customStyle="1" w:styleId="FooterCopyright">
    <w:name w:val="Footer Copyright"/>
    <w:basedOn w:val="FooterBackcover"/>
    <w:rsid w:val="00E4290C"/>
    <w:pPr>
      <w:jc w:val="right"/>
    </w:pPr>
    <w:rPr>
      <w:sz w:val="18"/>
    </w:rPr>
  </w:style>
  <w:style w:type="paragraph" w:customStyle="1" w:styleId="TableMultipleTitle">
    <w:name w:val="Table Multiple Title"/>
    <w:basedOn w:val="Normal"/>
    <w:next w:val="EndnoteText"/>
    <w:semiHidden/>
    <w:rsid w:val="00E4290C"/>
    <w:pPr>
      <w:keepNext/>
      <w:spacing w:before="300" w:after="30" w:line="230" w:lineRule="atLeast"/>
      <w:jc w:val="center"/>
    </w:pPr>
    <w:rPr>
      <w:b/>
      <w:szCs w:val="18"/>
    </w:rPr>
  </w:style>
  <w:style w:type="paragraph" w:customStyle="1" w:styleId="Heading1Sub-Heading">
    <w:name w:val="Heading 1 + Sub-Heading"/>
    <w:basedOn w:val="Heading1"/>
    <w:rsid w:val="00E4290C"/>
    <w:pPr>
      <w:spacing w:after="120"/>
    </w:pPr>
  </w:style>
  <w:style w:type="character" w:customStyle="1" w:styleId="Lead-inEmphasis">
    <w:name w:val="Lead-in Emphasis"/>
    <w:rsid w:val="00E4290C"/>
    <w:rPr>
      <w:rFonts w:ascii="Arial Black" w:hAnsi="Arial Black"/>
      <w:spacing w:val="-4"/>
      <w:sz w:val="18"/>
    </w:rPr>
  </w:style>
  <w:style w:type="paragraph" w:customStyle="1" w:styleId="RAGRed">
    <w:name w:val="RAG Red"/>
    <w:rsid w:val="00E4290C"/>
    <w:rPr>
      <w:rFonts w:ascii="Wingdings" w:eastAsia="MS Mincho" w:hAnsi="Wingdings"/>
      <w:color w:val="F93F26"/>
      <w:kern w:val="16"/>
      <w:szCs w:val="18"/>
      <w:lang w:eastAsia="ja-JP"/>
    </w:rPr>
  </w:style>
  <w:style w:type="paragraph" w:customStyle="1" w:styleId="RAGAmber">
    <w:name w:val="RAG Amber"/>
    <w:basedOn w:val="RAGRed"/>
    <w:rsid w:val="00E4290C"/>
    <w:rPr>
      <w:color w:val="FCA311"/>
    </w:rPr>
  </w:style>
  <w:style w:type="paragraph" w:customStyle="1" w:styleId="RAGGreen">
    <w:name w:val="RAG Green"/>
    <w:basedOn w:val="RAGAmber"/>
    <w:rsid w:val="00E4290C"/>
    <w:rPr>
      <w:color w:val="C0D30B"/>
    </w:rPr>
  </w:style>
  <w:style w:type="character" w:styleId="FootnoteReference">
    <w:name w:val="footnote reference"/>
    <w:basedOn w:val="DefaultParagraphFont"/>
    <w:semiHidden/>
    <w:rsid w:val="00E4290C"/>
    <w:rPr>
      <w:vertAlign w:val="superscript"/>
      <w:lang w:val="en-GB"/>
    </w:rPr>
  </w:style>
  <w:style w:type="table" w:customStyle="1" w:styleId="RBCFigureTable">
    <w:name w:val="RBC Figure Table"/>
    <w:basedOn w:val="TableNormal"/>
    <w:rsid w:val="00E4290C"/>
    <w:pPr>
      <w:spacing w:before="60" w:after="60"/>
    </w:pPr>
    <w:rPr>
      <w:rFonts w:ascii="Arial" w:eastAsia="Times New Roman" w:hAnsi="Arial"/>
    </w:rPr>
    <w:tblPr>
      <w:tblStyleRowBandSize w:val="1"/>
      <w:tblStyleColBandSize w:val="3"/>
    </w:tblPr>
    <w:tcPr>
      <w:shd w:val="clear" w:color="auto" w:fill="auto"/>
    </w:tcPr>
    <w:tblStylePr w:type="firstRow">
      <w:pPr>
        <w:jc w:val="left"/>
      </w:pPr>
      <w:rPr>
        <w:rFonts w:ascii="Arial" w:hAnsi="Arial"/>
        <w:b/>
        <w:color w:val="FFFFFF"/>
        <w:sz w:val="18"/>
      </w:rPr>
      <w:tblPr/>
      <w:tcPr>
        <w:tcBorders>
          <w:top w:val="nil"/>
          <w:left w:val="nil"/>
          <w:bottom w:val="nil"/>
          <w:right w:val="nil"/>
          <w:insideH w:val="nil"/>
          <w:insideV w:val="nil"/>
          <w:tl2br w:val="nil"/>
          <w:tr2bl w:val="nil"/>
        </w:tcBorders>
        <w:shd w:val="clear" w:color="auto" w:fill="00254B"/>
      </w:tcPr>
    </w:tblStylePr>
    <w:tblStylePr w:type="lastRow">
      <w:pPr>
        <w:wordWrap/>
        <w:spacing w:beforeLines="0" w:before="0" w:beforeAutospacing="0"/>
        <w:ind w:leftChars="0" w:left="0" w:rightChars="0" w:right="0"/>
      </w:pPr>
      <w:rPr>
        <w:rFonts w:ascii="Arial" w:hAnsi="Arial"/>
        <w:b/>
        <w:sz w:val="18"/>
      </w:rPr>
      <w:tblPr/>
      <w:tcPr>
        <w:tcBorders>
          <w:top w:val="single" w:sz="6" w:space="0" w:color="A29989"/>
          <w:bottom w:val="single" w:sz="6" w:space="0" w:color="auto"/>
        </w:tcBorders>
        <w:shd w:val="clear" w:color="auto" w:fill="auto"/>
      </w:tcPr>
    </w:tblStylePr>
    <w:tblStylePr w:type="firstCol">
      <w:tblPr/>
      <w:tcPr>
        <w:tcBorders>
          <w:top w:val="nil"/>
          <w:left w:val="nil"/>
          <w:bottom w:val="nil"/>
          <w:right w:val="nil"/>
          <w:insideH w:val="nil"/>
          <w:insideV w:val="nil"/>
        </w:tcBorders>
        <w:shd w:val="clear" w:color="auto" w:fill="auto"/>
      </w:tcPr>
    </w:tblStylePr>
  </w:style>
  <w:style w:type="character" w:customStyle="1" w:styleId="TableBullet2CharChar">
    <w:name w:val="Table Bullet 2 Char Char"/>
    <w:basedOn w:val="TableBullet1CharChar"/>
    <w:link w:val="TableBullet2"/>
    <w:rsid w:val="00E4290C"/>
    <w:rPr>
      <w:rFonts w:ascii="Arial" w:eastAsia="MS Mincho" w:hAnsi="Arial"/>
      <w:kern w:val="16"/>
      <w:sz w:val="16"/>
      <w:szCs w:val="18"/>
      <w:lang w:val="en-CA" w:eastAsia="ja-JP" w:bidi="ar-SA"/>
    </w:rPr>
  </w:style>
  <w:style w:type="numbering" w:styleId="1ai">
    <w:name w:val="Outline List 1"/>
    <w:basedOn w:val="NoList"/>
    <w:semiHidden/>
    <w:rsid w:val="00E4290C"/>
    <w:pPr>
      <w:numPr>
        <w:numId w:val="2"/>
      </w:numPr>
    </w:pPr>
  </w:style>
  <w:style w:type="numbering" w:styleId="ArticleSection">
    <w:name w:val="Outline List 3"/>
    <w:basedOn w:val="NoList"/>
    <w:semiHidden/>
    <w:rsid w:val="00E4290C"/>
    <w:pPr>
      <w:numPr>
        <w:numId w:val="3"/>
      </w:numPr>
    </w:pPr>
  </w:style>
  <w:style w:type="paragraph" w:styleId="BodyText2">
    <w:name w:val="Body Text 2"/>
    <w:basedOn w:val="Normal"/>
    <w:semiHidden/>
    <w:rsid w:val="00E4290C"/>
    <w:pPr>
      <w:spacing w:line="480" w:lineRule="auto"/>
    </w:pPr>
  </w:style>
  <w:style w:type="paragraph" w:styleId="BodyText3">
    <w:name w:val="Body Text 3"/>
    <w:basedOn w:val="Normal"/>
    <w:semiHidden/>
    <w:rsid w:val="00E4290C"/>
    <w:rPr>
      <w:sz w:val="16"/>
      <w:szCs w:val="16"/>
    </w:rPr>
  </w:style>
  <w:style w:type="paragraph" w:styleId="BodyTextFirstIndent">
    <w:name w:val="Body Text First Indent"/>
    <w:basedOn w:val="BodyText"/>
    <w:semiHidden/>
    <w:rsid w:val="00E4290C"/>
    <w:pPr>
      <w:ind w:firstLine="210"/>
    </w:pPr>
  </w:style>
  <w:style w:type="paragraph" w:styleId="BodyTextIndent">
    <w:name w:val="Body Text Indent"/>
    <w:basedOn w:val="Normal"/>
    <w:semiHidden/>
    <w:rsid w:val="00E4290C"/>
    <w:pPr>
      <w:ind w:left="283"/>
    </w:pPr>
  </w:style>
  <w:style w:type="paragraph" w:styleId="BodyTextFirstIndent2">
    <w:name w:val="Body Text First Indent 2"/>
    <w:basedOn w:val="BodyTextIndent"/>
    <w:semiHidden/>
    <w:rsid w:val="00E4290C"/>
    <w:pPr>
      <w:ind w:firstLine="210"/>
    </w:pPr>
  </w:style>
  <w:style w:type="paragraph" w:styleId="BodyTextIndent2">
    <w:name w:val="Body Text Indent 2"/>
    <w:basedOn w:val="Normal"/>
    <w:semiHidden/>
    <w:rsid w:val="00E4290C"/>
    <w:pPr>
      <w:spacing w:line="480" w:lineRule="auto"/>
      <w:ind w:left="283"/>
    </w:pPr>
  </w:style>
  <w:style w:type="paragraph" w:styleId="BodyTextIndent3">
    <w:name w:val="Body Text Indent 3"/>
    <w:basedOn w:val="Normal"/>
    <w:semiHidden/>
    <w:rsid w:val="00E4290C"/>
    <w:pPr>
      <w:ind w:left="283"/>
    </w:pPr>
    <w:rPr>
      <w:sz w:val="16"/>
      <w:szCs w:val="16"/>
    </w:rPr>
  </w:style>
  <w:style w:type="paragraph" w:styleId="Closing">
    <w:name w:val="Closing"/>
    <w:basedOn w:val="Normal"/>
    <w:semiHidden/>
    <w:rsid w:val="00E4290C"/>
    <w:pPr>
      <w:ind w:left="4252"/>
    </w:pPr>
  </w:style>
  <w:style w:type="paragraph" w:styleId="Date">
    <w:name w:val="Date"/>
    <w:basedOn w:val="Normal"/>
    <w:next w:val="Normal"/>
    <w:semiHidden/>
    <w:rsid w:val="00E4290C"/>
  </w:style>
  <w:style w:type="paragraph" w:styleId="E-mailSignature">
    <w:name w:val="E-mail Signature"/>
    <w:basedOn w:val="Normal"/>
    <w:semiHidden/>
    <w:rsid w:val="00E4290C"/>
  </w:style>
  <w:style w:type="character" w:styleId="Emphasis">
    <w:name w:val="Emphasis"/>
    <w:basedOn w:val="DefaultParagraphFont"/>
    <w:qFormat/>
    <w:rsid w:val="00E4290C"/>
    <w:rPr>
      <w:i/>
      <w:iCs/>
      <w:lang w:val="en-GB"/>
    </w:rPr>
  </w:style>
  <w:style w:type="paragraph" w:styleId="EnvelopeAddress">
    <w:name w:val="envelope address"/>
    <w:basedOn w:val="Normal"/>
    <w:semiHidden/>
    <w:rsid w:val="00E4290C"/>
    <w:pPr>
      <w:framePr w:w="7920" w:h="1980" w:hRule="exact" w:hSpace="180" w:wrap="auto" w:hAnchor="page" w:xAlign="center" w:yAlign="bottom"/>
      <w:ind w:left="2880"/>
    </w:pPr>
    <w:rPr>
      <w:rFonts w:cs="Arial"/>
    </w:rPr>
  </w:style>
  <w:style w:type="paragraph" w:styleId="EnvelopeReturn">
    <w:name w:val="envelope return"/>
    <w:basedOn w:val="Normal"/>
    <w:semiHidden/>
    <w:rsid w:val="00E4290C"/>
    <w:rPr>
      <w:rFonts w:cs="Arial"/>
    </w:rPr>
  </w:style>
  <w:style w:type="character" w:styleId="FollowedHyperlink">
    <w:name w:val="FollowedHyperlink"/>
    <w:basedOn w:val="DefaultParagraphFont"/>
    <w:semiHidden/>
    <w:rsid w:val="00E4290C"/>
    <w:rPr>
      <w:color w:val="800080"/>
      <w:u w:val="single"/>
      <w:lang w:val="en-GB"/>
    </w:rPr>
  </w:style>
  <w:style w:type="character" w:styleId="HTMLAcronym">
    <w:name w:val="HTML Acronym"/>
    <w:basedOn w:val="DefaultParagraphFont"/>
    <w:semiHidden/>
    <w:rsid w:val="00E4290C"/>
    <w:rPr>
      <w:lang w:val="en-GB"/>
    </w:rPr>
  </w:style>
  <w:style w:type="paragraph" w:styleId="HTMLAddress">
    <w:name w:val="HTML Address"/>
    <w:basedOn w:val="Normal"/>
    <w:semiHidden/>
    <w:rsid w:val="00E4290C"/>
    <w:rPr>
      <w:i/>
      <w:iCs/>
    </w:rPr>
  </w:style>
  <w:style w:type="character" w:styleId="HTMLCite">
    <w:name w:val="HTML Cite"/>
    <w:basedOn w:val="DefaultParagraphFont"/>
    <w:semiHidden/>
    <w:rsid w:val="00E4290C"/>
    <w:rPr>
      <w:i/>
      <w:iCs/>
      <w:lang w:val="en-GB"/>
    </w:rPr>
  </w:style>
  <w:style w:type="character" w:styleId="HTMLCode">
    <w:name w:val="HTML Code"/>
    <w:basedOn w:val="DefaultParagraphFont"/>
    <w:semiHidden/>
    <w:rsid w:val="00E4290C"/>
    <w:rPr>
      <w:rFonts w:ascii="Courier New" w:hAnsi="Courier New" w:cs="Courier New"/>
      <w:sz w:val="20"/>
      <w:szCs w:val="20"/>
      <w:lang w:val="en-GB"/>
    </w:rPr>
  </w:style>
  <w:style w:type="character" w:styleId="HTMLDefinition">
    <w:name w:val="HTML Definition"/>
    <w:basedOn w:val="DefaultParagraphFont"/>
    <w:semiHidden/>
    <w:rsid w:val="00E4290C"/>
    <w:rPr>
      <w:i/>
      <w:iCs/>
      <w:lang w:val="en-GB"/>
    </w:rPr>
  </w:style>
  <w:style w:type="character" w:styleId="HTMLKeyboard">
    <w:name w:val="HTML Keyboard"/>
    <w:basedOn w:val="DefaultParagraphFont"/>
    <w:semiHidden/>
    <w:rsid w:val="00E4290C"/>
    <w:rPr>
      <w:rFonts w:ascii="Courier New" w:hAnsi="Courier New" w:cs="Courier New"/>
      <w:sz w:val="20"/>
      <w:szCs w:val="20"/>
      <w:lang w:val="en-GB"/>
    </w:rPr>
  </w:style>
  <w:style w:type="paragraph" w:styleId="HTMLPreformatted">
    <w:name w:val="HTML Preformatted"/>
    <w:basedOn w:val="Normal"/>
    <w:semiHidden/>
    <w:rsid w:val="00E4290C"/>
    <w:rPr>
      <w:rFonts w:ascii="Courier New" w:hAnsi="Courier New" w:cs="Courier New"/>
    </w:rPr>
  </w:style>
  <w:style w:type="character" w:styleId="HTMLSample">
    <w:name w:val="HTML Sample"/>
    <w:basedOn w:val="DefaultParagraphFont"/>
    <w:semiHidden/>
    <w:rsid w:val="00E4290C"/>
    <w:rPr>
      <w:rFonts w:ascii="Courier New" w:hAnsi="Courier New" w:cs="Courier New"/>
      <w:lang w:val="en-GB"/>
    </w:rPr>
  </w:style>
  <w:style w:type="character" w:styleId="HTMLTypewriter">
    <w:name w:val="HTML Typewriter"/>
    <w:basedOn w:val="DefaultParagraphFont"/>
    <w:semiHidden/>
    <w:rsid w:val="00E4290C"/>
    <w:rPr>
      <w:rFonts w:ascii="Courier New" w:hAnsi="Courier New" w:cs="Courier New"/>
      <w:sz w:val="20"/>
      <w:szCs w:val="20"/>
      <w:lang w:val="en-GB"/>
    </w:rPr>
  </w:style>
  <w:style w:type="character" w:styleId="HTMLVariable">
    <w:name w:val="HTML Variable"/>
    <w:basedOn w:val="DefaultParagraphFont"/>
    <w:semiHidden/>
    <w:rsid w:val="00E4290C"/>
    <w:rPr>
      <w:i/>
      <w:iCs/>
      <w:lang w:val="en-GB"/>
    </w:rPr>
  </w:style>
  <w:style w:type="character" w:styleId="LineNumber">
    <w:name w:val="line number"/>
    <w:basedOn w:val="DefaultParagraphFont"/>
    <w:semiHidden/>
    <w:rsid w:val="00E4290C"/>
    <w:rPr>
      <w:lang w:val="en-GB"/>
    </w:rPr>
  </w:style>
  <w:style w:type="paragraph" w:styleId="List2">
    <w:name w:val="List 2"/>
    <w:basedOn w:val="List"/>
    <w:rsid w:val="00E4290C"/>
    <w:pPr>
      <w:numPr>
        <w:numId w:val="6"/>
      </w:numPr>
    </w:pPr>
  </w:style>
  <w:style w:type="paragraph" w:styleId="List3">
    <w:name w:val="List 3"/>
    <w:basedOn w:val="List2"/>
    <w:rsid w:val="00E4290C"/>
    <w:pPr>
      <w:numPr>
        <w:numId w:val="7"/>
      </w:numPr>
    </w:pPr>
  </w:style>
  <w:style w:type="paragraph" w:styleId="List4">
    <w:name w:val="List 4"/>
    <w:basedOn w:val="List3"/>
    <w:rsid w:val="00E4290C"/>
    <w:pPr>
      <w:numPr>
        <w:numId w:val="8"/>
      </w:numPr>
    </w:pPr>
    <w:rPr>
      <w:rFonts w:cs="Arial"/>
    </w:rPr>
  </w:style>
  <w:style w:type="paragraph" w:styleId="List5">
    <w:name w:val="List 5"/>
    <w:basedOn w:val="Normal"/>
    <w:semiHidden/>
    <w:rsid w:val="00E4290C"/>
    <w:pPr>
      <w:ind w:left="1415" w:hanging="283"/>
    </w:pPr>
  </w:style>
  <w:style w:type="paragraph" w:styleId="ListContinue">
    <w:name w:val="List Continue"/>
    <w:basedOn w:val="Normal"/>
    <w:semiHidden/>
    <w:rsid w:val="00E4290C"/>
    <w:pPr>
      <w:ind w:left="283"/>
    </w:pPr>
  </w:style>
  <w:style w:type="paragraph" w:styleId="ListContinue2">
    <w:name w:val="List Continue 2"/>
    <w:basedOn w:val="Normal"/>
    <w:semiHidden/>
    <w:rsid w:val="00E4290C"/>
    <w:pPr>
      <w:ind w:left="566"/>
    </w:pPr>
  </w:style>
  <w:style w:type="paragraph" w:styleId="ListContinue3">
    <w:name w:val="List Continue 3"/>
    <w:basedOn w:val="Normal"/>
    <w:semiHidden/>
    <w:rsid w:val="00E4290C"/>
    <w:pPr>
      <w:ind w:left="849"/>
    </w:pPr>
  </w:style>
  <w:style w:type="paragraph" w:styleId="ListContinue4">
    <w:name w:val="List Continue 4"/>
    <w:basedOn w:val="Normal"/>
    <w:semiHidden/>
    <w:rsid w:val="00E4290C"/>
    <w:pPr>
      <w:ind w:left="1132"/>
    </w:pPr>
  </w:style>
  <w:style w:type="paragraph" w:styleId="ListContinue5">
    <w:name w:val="List Continue 5"/>
    <w:basedOn w:val="Normal"/>
    <w:semiHidden/>
    <w:rsid w:val="00E4290C"/>
    <w:pPr>
      <w:ind w:left="1415"/>
    </w:pPr>
  </w:style>
  <w:style w:type="paragraph" w:styleId="ListNumber">
    <w:name w:val="List Number"/>
    <w:basedOn w:val="List"/>
    <w:rsid w:val="00E4290C"/>
    <w:pPr>
      <w:numPr>
        <w:numId w:val="14"/>
      </w:numPr>
      <w:spacing w:before="60"/>
    </w:pPr>
  </w:style>
  <w:style w:type="paragraph" w:styleId="ListNumber2">
    <w:name w:val="List Number 2"/>
    <w:basedOn w:val="Normal"/>
    <w:semiHidden/>
    <w:rsid w:val="00E4290C"/>
    <w:pPr>
      <w:numPr>
        <w:numId w:val="15"/>
      </w:numPr>
    </w:pPr>
  </w:style>
  <w:style w:type="paragraph" w:styleId="ListNumber3">
    <w:name w:val="List Number 3"/>
    <w:basedOn w:val="Normal"/>
    <w:semiHidden/>
    <w:rsid w:val="00E4290C"/>
    <w:pPr>
      <w:numPr>
        <w:numId w:val="16"/>
      </w:numPr>
    </w:pPr>
  </w:style>
  <w:style w:type="paragraph" w:styleId="ListNumber4">
    <w:name w:val="List Number 4"/>
    <w:basedOn w:val="Normal"/>
    <w:semiHidden/>
    <w:rsid w:val="00E4290C"/>
  </w:style>
  <w:style w:type="paragraph" w:styleId="ListNumber5">
    <w:name w:val="List Number 5"/>
    <w:basedOn w:val="Normal"/>
    <w:semiHidden/>
    <w:rsid w:val="00E4290C"/>
    <w:pPr>
      <w:numPr>
        <w:numId w:val="17"/>
      </w:numPr>
    </w:pPr>
  </w:style>
  <w:style w:type="paragraph" w:styleId="NormalWeb">
    <w:name w:val="Normal (Web)"/>
    <w:basedOn w:val="Normal"/>
    <w:semiHidden/>
    <w:rsid w:val="00E4290C"/>
  </w:style>
  <w:style w:type="paragraph" w:styleId="NormalIndent">
    <w:name w:val="Normal Indent"/>
    <w:basedOn w:val="Normal"/>
    <w:semiHidden/>
    <w:rsid w:val="00E4290C"/>
    <w:pPr>
      <w:ind w:left="720"/>
    </w:pPr>
  </w:style>
  <w:style w:type="paragraph" w:styleId="NoteHeading">
    <w:name w:val="Note Heading"/>
    <w:basedOn w:val="Normal"/>
    <w:next w:val="Normal"/>
    <w:semiHidden/>
    <w:rsid w:val="00E4290C"/>
  </w:style>
  <w:style w:type="paragraph" w:styleId="Signature">
    <w:name w:val="Signature"/>
    <w:basedOn w:val="Normal"/>
    <w:semiHidden/>
    <w:rsid w:val="00E4290C"/>
    <w:pPr>
      <w:ind w:left="4252"/>
    </w:pPr>
  </w:style>
  <w:style w:type="character" w:styleId="Strong">
    <w:name w:val="Strong"/>
    <w:basedOn w:val="DefaultParagraphFont"/>
    <w:qFormat/>
    <w:rsid w:val="00E4290C"/>
    <w:rPr>
      <w:rFonts w:ascii="Verdana" w:hAnsi="Verdana"/>
      <w:b/>
      <w:bCs/>
      <w:lang w:val="en-GB"/>
    </w:rPr>
  </w:style>
  <w:style w:type="table" w:styleId="Table3Deffects1">
    <w:name w:val="Table 3D effects 1"/>
    <w:basedOn w:val="TableNormal"/>
    <w:semiHidden/>
    <w:rsid w:val="00E4290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E4290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E4290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E4290C"/>
    <w:rPr>
      <w:rFonts w:ascii="Verdana" w:hAnsi="Verdana"/>
      <w:color w:val="6F6E6F"/>
      <w:sz w:val="18"/>
    </w:rPr>
    <w:tblPr>
      <w:tblBorders>
        <w:top w:val="single" w:sz="6" w:space="0" w:color="6F6E6F"/>
        <w:left w:val="single" w:sz="6" w:space="0" w:color="6F6E6F"/>
        <w:bottom w:val="single" w:sz="6" w:space="0" w:color="6F6E6F"/>
        <w:right w:val="single" w:sz="6" w:space="0" w:color="6F6E6F"/>
        <w:insideH w:val="single" w:sz="6" w:space="0" w:color="6F6E6F"/>
        <w:insideV w:val="single" w:sz="6" w:space="0" w:color="6F6E6F"/>
      </w:tblBorders>
      <w:tblCellMar>
        <w:left w:w="115" w:type="dxa"/>
        <w:right w:w="115"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E4290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E4290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E4290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E4290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E4290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E4290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E4290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E4290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E4290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E4290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E4290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E4290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E4290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List1">
    <w:name w:val="Table List 1"/>
    <w:basedOn w:val="TableNormal"/>
    <w:semiHidden/>
    <w:rsid w:val="00E4290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E4290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E4290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E4290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E4290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E4290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E4290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E4290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E4290C"/>
    <w:rPr>
      <w:rFonts w:ascii="Verdana" w:hAnsi="Verdana"/>
      <w:sz w:val="18"/>
    </w:rPr>
    <w:tblPr>
      <w:tblBorders>
        <w:top w:val="single" w:sz="6" w:space="0" w:color="6F6E6F"/>
        <w:bottom w:val="single" w:sz="6" w:space="0" w:color="6F6E6F"/>
        <w:insideH w:val="single" w:sz="6" w:space="0" w:color="6F6E6F"/>
        <w:insideV w:val="single" w:sz="6" w:space="0" w:color="6F6E6F"/>
      </w:tblBorders>
    </w:tblPr>
    <w:tcPr>
      <w:shd w:val="clear" w:color="auto" w:fill="FFFFFF"/>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E4290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E4290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E4290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E4290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E4290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semiHidden/>
    <w:rsid w:val="00E4290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E4290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E4290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Subtitle"/>
    <w:link w:val="TitleChar"/>
    <w:qFormat/>
    <w:rsid w:val="00E4290C"/>
    <w:pPr>
      <w:spacing w:before="240" w:after="240" w:line="240" w:lineRule="auto"/>
      <w:ind w:right="5778"/>
    </w:pPr>
    <w:rPr>
      <w:rFonts w:cs="Arial"/>
      <w:color w:val="FFFFFF"/>
      <w:sz w:val="40"/>
      <w:szCs w:val="40"/>
    </w:rPr>
  </w:style>
  <w:style w:type="table" w:styleId="TableTheme">
    <w:name w:val="Table Theme"/>
    <w:basedOn w:val="TableNormal"/>
    <w:semiHidden/>
    <w:rsid w:val="00E429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ondlevelSubtitle">
    <w:name w:val="Second level Subtitle"/>
    <w:basedOn w:val="BodyText"/>
    <w:rsid w:val="00E4290C"/>
    <w:rPr>
      <w:rFonts w:ascii="Arial Bold" w:hAnsi="Arial Bold"/>
      <w:b/>
      <w:color w:val="FFFFFF"/>
    </w:rPr>
  </w:style>
  <w:style w:type="character" w:customStyle="1" w:styleId="SubtitleDateChar">
    <w:name w:val="Subtitle Date Char"/>
    <w:basedOn w:val="SubtitleChar"/>
    <w:link w:val="SubtitleDate"/>
    <w:rsid w:val="00E4290C"/>
    <w:rPr>
      <w:rFonts w:ascii="Georgia" w:eastAsia="MS Mincho" w:hAnsi="Georgia" w:cs="Arial"/>
      <w:b/>
      <w:i/>
      <w:color w:val="FFFFFF"/>
      <w:kern w:val="16"/>
      <w:sz w:val="28"/>
      <w:szCs w:val="28"/>
      <w:lang w:val="en-US" w:eastAsia="ja-JP" w:bidi="ar-SA"/>
    </w:rPr>
  </w:style>
  <w:style w:type="paragraph" w:customStyle="1" w:styleId="TableCharttitle">
    <w:name w:val="Table Chart title"/>
    <w:basedOn w:val="TableTitle"/>
    <w:rsid w:val="00E32DBC"/>
    <w:pPr>
      <w:spacing w:before="40"/>
      <w:jc w:val="center"/>
    </w:pPr>
  </w:style>
  <w:style w:type="character" w:customStyle="1" w:styleId="TableHeaderRowBlueChar">
    <w:name w:val="Table Header Row Blue Char"/>
    <w:basedOn w:val="TableTextCharChar"/>
    <w:link w:val="TableHeaderRowBlue"/>
    <w:rsid w:val="00E32DBC"/>
    <w:rPr>
      <w:rFonts w:ascii="Arial" w:eastAsia="MS Mincho" w:hAnsi="Arial" w:cs="Arial"/>
      <w:b/>
      <w:bCs/>
      <w:color w:val="003263"/>
      <w:kern w:val="16"/>
      <w:sz w:val="16"/>
      <w:szCs w:val="18"/>
      <w:lang w:val="en-US" w:eastAsia="ja-JP" w:bidi="ar-SA"/>
    </w:rPr>
  </w:style>
  <w:style w:type="character" w:customStyle="1" w:styleId="TableHeaderRowBrightBlueChar">
    <w:name w:val="Table Header Row Bright Blue Char"/>
    <w:basedOn w:val="TableTextCharChar"/>
    <w:link w:val="TableHeaderRowBrightBlue"/>
    <w:rsid w:val="00E32DBC"/>
    <w:rPr>
      <w:rFonts w:ascii="Arial" w:eastAsia="MS Mincho" w:hAnsi="Arial" w:cs="Arial"/>
      <w:b/>
      <w:color w:val="0060A9"/>
      <w:kern w:val="16"/>
      <w:sz w:val="16"/>
      <w:szCs w:val="18"/>
      <w:lang w:val="en-US" w:eastAsia="zh-CN" w:bidi="ar-SA"/>
    </w:rPr>
  </w:style>
  <w:style w:type="paragraph" w:customStyle="1" w:styleId="TableTextRightAlign">
    <w:name w:val="Table Text Right Align"/>
    <w:basedOn w:val="TableText"/>
    <w:rsid w:val="00E4290C"/>
    <w:pPr>
      <w:jc w:val="right"/>
    </w:pPr>
  </w:style>
  <w:style w:type="paragraph" w:customStyle="1" w:styleId="TableTitle1">
    <w:name w:val="Table Title 1"/>
    <w:basedOn w:val="TableText"/>
    <w:rsid w:val="00E4290C"/>
    <w:rPr>
      <w:b/>
      <w:color w:val="0060A9"/>
      <w:lang w:eastAsia="zh-CN"/>
    </w:rPr>
  </w:style>
  <w:style w:type="paragraph" w:customStyle="1" w:styleId="TableTitle2">
    <w:name w:val="Table Title 2"/>
    <w:basedOn w:val="TableTitle1"/>
    <w:rsid w:val="00E4290C"/>
    <w:rPr>
      <w:color w:val="FFFFFF"/>
    </w:rPr>
  </w:style>
  <w:style w:type="paragraph" w:customStyle="1" w:styleId="BioName">
    <w:name w:val="Bio Name"/>
    <w:basedOn w:val="Normal"/>
    <w:next w:val="Normal"/>
    <w:rsid w:val="00E4290C"/>
    <w:pPr>
      <w:adjustRightInd/>
      <w:spacing w:before="120" w:after="60" w:line="240" w:lineRule="auto"/>
    </w:pPr>
    <w:rPr>
      <w:b/>
      <w:color w:val="003263"/>
      <w:kern w:val="14"/>
      <w:sz w:val="16"/>
      <w:szCs w:val="16"/>
    </w:rPr>
  </w:style>
  <w:style w:type="paragraph" w:customStyle="1" w:styleId="BioTitle">
    <w:name w:val="Bio Title"/>
    <w:basedOn w:val="BioName"/>
    <w:next w:val="BodyText"/>
    <w:rsid w:val="00E4290C"/>
    <w:pPr>
      <w:spacing w:before="0" w:after="120"/>
    </w:pPr>
    <w:rPr>
      <w:rFonts w:eastAsia="Times New Roman"/>
      <w:color w:val="5A5A5A"/>
    </w:rPr>
  </w:style>
  <w:style w:type="character" w:customStyle="1" w:styleId="GraphicCharChar">
    <w:name w:val="Graphic Char Char"/>
    <w:basedOn w:val="TableTextCharChar"/>
    <w:link w:val="Graphic"/>
    <w:rsid w:val="00E4290C"/>
    <w:rPr>
      <w:rFonts w:ascii="Arial" w:eastAsia="MS Mincho" w:hAnsi="Arial"/>
      <w:kern w:val="16"/>
      <w:sz w:val="18"/>
      <w:szCs w:val="18"/>
      <w:lang w:val="en-US" w:eastAsia="ja-JP" w:bidi="ar-SA"/>
    </w:rPr>
  </w:style>
  <w:style w:type="paragraph" w:customStyle="1" w:styleId="TableBullet3">
    <w:name w:val="Table Bullet 3"/>
    <w:basedOn w:val="TableBullet2"/>
    <w:rsid w:val="00E4290C"/>
    <w:pPr>
      <w:numPr>
        <w:numId w:val="27"/>
      </w:numPr>
      <w:tabs>
        <w:tab w:val="left" w:pos="595"/>
      </w:tabs>
    </w:pPr>
  </w:style>
  <w:style w:type="paragraph" w:customStyle="1" w:styleId="TableText">
    <w:name w:val="Table Text"/>
    <w:basedOn w:val="BodyText"/>
    <w:link w:val="TableTextCharChar"/>
    <w:rsid w:val="00E4290C"/>
    <w:pPr>
      <w:spacing w:before="80" w:after="80" w:line="180" w:lineRule="atLeast"/>
    </w:pPr>
    <w:rPr>
      <w:sz w:val="18"/>
      <w:szCs w:val="18"/>
    </w:rPr>
  </w:style>
  <w:style w:type="paragraph" w:customStyle="1" w:styleId="Graphic">
    <w:name w:val="Graphic"/>
    <w:basedOn w:val="BodyText"/>
    <w:next w:val="BodyText"/>
    <w:link w:val="GraphicCharChar"/>
    <w:rsid w:val="00E4290C"/>
    <w:pPr>
      <w:spacing w:before="20" w:after="20" w:line="240" w:lineRule="auto"/>
      <w:ind w:left="-58" w:right="-58"/>
      <w:jc w:val="center"/>
    </w:pPr>
    <w:rPr>
      <w:sz w:val="18"/>
      <w:szCs w:val="18"/>
    </w:rPr>
  </w:style>
  <w:style w:type="paragraph" w:customStyle="1" w:styleId="MiniMarker">
    <w:name w:val="Mini Marker"/>
    <w:basedOn w:val="BodyText"/>
    <w:next w:val="BodyText"/>
    <w:rsid w:val="00E4290C"/>
    <w:pPr>
      <w:spacing w:before="0" w:after="0" w:line="240" w:lineRule="auto"/>
    </w:pPr>
    <w:rPr>
      <w:sz w:val="10"/>
    </w:rPr>
  </w:style>
  <w:style w:type="paragraph" w:customStyle="1" w:styleId="Headingpage2">
    <w:name w:val="Heading_page2"/>
    <w:basedOn w:val="Heading1"/>
    <w:next w:val="Normal"/>
    <w:link w:val="Headingpage2CharChar"/>
    <w:semiHidden/>
    <w:rsid w:val="00E4290C"/>
    <w:pPr>
      <w:tabs>
        <w:tab w:val="left" w:pos="216"/>
      </w:tabs>
      <w:spacing w:after="240" w:line="240" w:lineRule="atLeast"/>
      <w:ind w:left="216" w:hanging="216"/>
    </w:pPr>
    <w:rPr>
      <w:bCs/>
      <w:color w:val="6F6E6E"/>
      <w:sz w:val="16"/>
    </w:rPr>
  </w:style>
  <w:style w:type="paragraph" w:customStyle="1" w:styleId="TableFootnote">
    <w:name w:val="Table Footnote"/>
    <w:rsid w:val="00E4290C"/>
    <w:pPr>
      <w:spacing w:before="40"/>
    </w:pPr>
    <w:rPr>
      <w:rFonts w:ascii="Arial" w:eastAsia="MS Mincho" w:hAnsi="Arial"/>
      <w:kern w:val="16"/>
      <w:sz w:val="14"/>
      <w:szCs w:val="14"/>
      <w:lang w:eastAsia="zh-CN"/>
    </w:rPr>
  </w:style>
  <w:style w:type="paragraph" w:customStyle="1" w:styleId="TableSource">
    <w:name w:val="Table Source"/>
    <w:basedOn w:val="TableFootnote"/>
    <w:rsid w:val="00E4290C"/>
    <w:rPr>
      <w:i/>
    </w:rPr>
  </w:style>
  <w:style w:type="paragraph" w:customStyle="1" w:styleId="TableBulletNumeric">
    <w:name w:val="Table Bullet Numeric"/>
    <w:basedOn w:val="TableText"/>
    <w:rsid w:val="00E4290C"/>
    <w:pPr>
      <w:numPr>
        <w:numId w:val="28"/>
      </w:numPr>
      <w:spacing w:line="240" w:lineRule="auto"/>
      <w:contextualSpacing/>
    </w:pPr>
    <w:rPr>
      <w:sz w:val="16"/>
    </w:rPr>
  </w:style>
  <w:style w:type="paragraph" w:customStyle="1" w:styleId="TableBullet1">
    <w:name w:val="Table Bullet 1"/>
    <w:basedOn w:val="TableText"/>
    <w:link w:val="TableBullet1CharChar"/>
    <w:rsid w:val="00E4290C"/>
    <w:pPr>
      <w:numPr>
        <w:numId w:val="25"/>
      </w:numPr>
      <w:spacing w:line="200" w:lineRule="atLeast"/>
      <w:contextualSpacing/>
    </w:pPr>
    <w:rPr>
      <w:sz w:val="16"/>
    </w:rPr>
  </w:style>
  <w:style w:type="paragraph" w:customStyle="1" w:styleId="TableBullet2">
    <w:name w:val="Table Bullet 2"/>
    <w:basedOn w:val="TableBullet1"/>
    <w:link w:val="TableBullet2CharChar"/>
    <w:rsid w:val="00E4290C"/>
    <w:pPr>
      <w:numPr>
        <w:numId w:val="26"/>
      </w:numPr>
    </w:pPr>
    <w:rPr>
      <w:lang w:val="en-CA"/>
    </w:rPr>
  </w:style>
  <w:style w:type="paragraph" w:customStyle="1" w:styleId="SubtitleDate">
    <w:name w:val="Subtitle Date"/>
    <w:basedOn w:val="Subtitle"/>
    <w:next w:val="BodyText"/>
    <w:link w:val="SubtitleDateChar"/>
    <w:rsid w:val="00E4290C"/>
    <w:pPr>
      <w:spacing w:before="120"/>
    </w:pPr>
  </w:style>
  <w:style w:type="character" w:customStyle="1" w:styleId="Headingpage2CharChar">
    <w:name w:val="Heading_page2 Char Char"/>
    <w:basedOn w:val="DefaultParagraphFont"/>
    <w:link w:val="Headingpage2"/>
    <w:rsid w:val="00E4290C"/>
    <w:rPr>
      <w:rFonts w:ascii="Arial" w:eastAsia="MS Mincho" w:hAnsi="Arial"/>
      <w:bCs/>
      <w:color w:val="6F6E6E"/>
      <w:kern w:val="16"/>
      <w:sz w:val="16"/>
      <w:szCs w:val="32"/>
      <w:lang w:val="en-US" w:eastAsia="ja-JP" w:bidi="ar-SA"/>
    </w:rPr>
  </w:style>
  <w:style w:type="paragraph" w:styleId="TOCHeading">
    <w:name w:val="TOC Heading"/>
    <w:basedOn w:val="Heading1"/>
    <w:next w:val="BodyText"/>
    <w:qFormat/>
    <w:rsid w:val="00E4290C"/>
  </w:style>
  <w:style w:type="paragraph" w:customStyle="1" w:styleId="FooterBackcover">
    <w:name w:val="Footer Backcover"/>
    <w:basedOn w:val="Normal"/>
    <w:rsid w:val="00E4290C"/>
    <w:pPr>
      <w:spacing w:before="0" w:after="60" w:line="240" w:lineRule="auto"/>
    </w:pPr>
    <w:rPr>
      <w:rFonts w:cs="Arial"/>
      <w:color w:val="002144"/>
      <w:spacing w:val="4"/>
      <w:szCs w:val="16"/>
      <w:lang w:val="en-CA"/>
    </w:rPr>
  </w:style>
  <w:style w:type="paragraph" w:customStyle="1" w:styleId="Sub-heading">
    <w:name w:val="Sub-heading"/>
    <w:basedOn w:val="SubHeading"/>
    <w:link w:val="Sub-headingChar"/>
    <w:qFormat/>
    <w:rsid w:val="00BC14D8"/>
    <w:rPr>
      <w:lang w:val="en-CA"/>
    </w:rPr>
  </w:style>
  <w:style w:type="character" w:customStyle="1" w:styleId="Sub-headingChar">
    <w:name w:val="Sub-heading Char"/>
    <w:basedOn w:val="DefaultParagraphFont"/>
    <w:link w:val="Sub-heading"/>
    <w:rsid w:val="00BC14D8"/>
    <w:rPr>
      <w:rFonts w:ascii="Arial" w:eastAsia="MS Mincho" w:hAnsi="Arial"/>
      <w:b/>
      <w:i/>
      <w:color w:val="0060A9"/>
      <w:kern w:val="16"/>
      <w:sz w:val="24"/>
      <w:szCs w:val="24"/>
      <w:lang w:val="en-CA" w:eastAsia="ja-JP"/>
    </w:rPr>
  </w:style>
  <w:style w:type="paragraph" w:styleId="ListParagraph">
    <w:name w:val="List Paragraph"/>
    <w:basedOn w:val="Normal"/>
    <w:uiPriority w:val="34"/>
    <w:qFormat/>
    <w:rsid w:val="006941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041350">
      <w:bodyDiv w:val="1"/>
      <w:marLeft w:val="0"/>
      <w:marRight w:val="0"/>
      <w:marTop w:val="0"/>
      <w:marBottom w:val="0"/>
      <w:divBdr>
        <w:top w:val="none" w:sz="0" w:space="0" w:color="auto"/>
        <w:left w:val="none" w:sz="0" w:space="0" w:color="auto"/>
        <w:bottom w:val="none" w:sz="0" w:space="0" w:color="auto"/>
        <w:right w:val="none" w:sz="0" w:space="0" w:color="auto"/>
      </w:divBdr>
    </w:div>
    <w:div w:id="250508782">
      <w:bodyDiv w:val="1"/>
      <w:marLeft w:val="0"/>
      <w:marRight w:val="0"/>
      <w:marTop w:val="0"/>
      <w:marBottom w:val="0"/>
      <w:divBdr>
        <w:top w:val="none" w:sz="0" w:space="0" w:color="auto"/>
        <w:left w:val="none" w:sz="0" w:space="0" w:color="auto"/>
        <w:bottom w:val="none" w:sz="0" w:space="0" w:color="auto"/>
        <w:right w:val="none" w:sz="0" w:space="0" w:color="auto"/>
      </w:divBdr>
    </w:div>
    <w:div w:id="419108262">
      <w:bodyDiv w:val="1"/>
      <w:marLeft w:val="0"/>
      <w:marRight w:val="0"/>
      <w:marTop w:val="0"/>
      <w:marBottom w:val="0"/>
      <w:divBdr>
        <w:top w:val="none" w:sz="0" w:space="0" w:color="auto"/>
        <w:left w:val="none" w:sz="0" w:space="0" w:color="auto"/>
        <w:bottom w:val="none" w:sz="0" w:space="0" w:color="auto"/>
        <w:right w:val="none" w:sz="0" w:space="0" w:color="auto"/>
      </w:divBdr>
      <w:divsChild>
        <w:div w:id="1908610550">
          <w:marLeft w:val="0"/>
          <w:marRight w:val="0"/>
          <w:marTop w:val="0"/>
          <w:marBottom w:val="0"/>
          <w:divBdr>
            <w:top w:val="none" w:sz="0" w:space="0" w:color="auto"/>
            <w:left w:val="none" w:sz="0" w:space="0" w:color="auto"/>
            <w:bottom w:val="none" w:sz="0" w:space="0" w:color="auto"/>
            <w:right w:val="none" w:sz="0" w:space="0" w:color="auto"/>
          </w:divBdr>
          <w:divsChild>
            <w:div w:id="43568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6913">
      <w:bodyDiv w:val="1"/>
      <w:marLeft w:val="0"/>
      <w:marRight w:val="0"/>
      <w:marTop w:val="0"/>
      <w:marBottom w:val="0"/>
      <w:divBdr>
        <w:top w:val="none" w:sz="0" w:space="0" w:color="auto"/>
        <w:left w:val="none" w:sz="0" w:space="0" w:color="auto"/>
        <w:bottom w:val="none" w:sz="0" w:space="0" w:color="auto"/>
        <w:right w:val="none" w:sz="0" w:space="0" w:color="auto"/>
      </w:divBdr>
      <w:divsChild>
        <w:div w:id="1492678865">
          <w:marLeft w:val="0"/>
          <w:marRight w:val="0"/>
          <w:marTop w:val="0"/>
          <w:marBottom w:val="0"/>
          <w:divBdr>
            <w:top w:val="none" w:sz="0" w:space="0" w:color="auto"/>
            <w:left w:val="none" w:sz="0" w:space="0" w:color="auto"/>
            <w:bottom w:val="none" w:sz="0" w:space="0" w:color="auto"/>
            <w:right w:val="none" w:sz="0" w:space="0" w:color="auto"/>
          </w:divBdr>
        </w:div>
      </w:divsChild>
    </w:div>
    <w:div w:id="473179177">
      <w:bodyDiv w:val="1"/>
      <w:marLeft w:val="0"/>
      <w:marRight w:val="0"/>
      <w:marTop w:val="0"/>
      <w:marBottom w:val="0"/>
      <w:divBdr>
        <w:top w:val="none" w:sz="0" w:space="0" w:color="auto"/>
        <w:left w:val="none" w:sz="0" w:space="0" w:color="auto"/>
        <w:bottom w:val="none" w:sz="0" w:space="0" w:color="auto"/>
        <w:right w:val="none" w:sz="0" w:space="0" w:color="auto"/>
      </w:divBdr>
      <w:divsChild>
        <w:div w:id="2101171430">
          <w:marLeft w:val="0"/>
          <w:marRight w:val="0"/>
          <w:marTop w:val="0"/>
          <w:marBottom w:val="0"/>
          <w:divBdr>
            <w:top w:val="none" w:sz="0" w:space="0" w:color="auto"/>
            <w:left w:val="none" w:sz="0" w:space="0" w:color="auto"/>
            <w:bottom w:val="none" w:sz="0" w:space="0" w:color="auto"/>
            <w:right w:val="none" w:sz="0" w:space="0" w:color="auto"/>
          </w:divBdr>
        </w:div>
      </w:divsChild>
    </w:div>
    <w:div w:id="532115178">
      <w:bodyDiv w:val="1"/>
      <w:marLeft w:val="0"/>
      <w:marRight w:val="0"/>
      <w:marTop w:val="0"/>
      <w:marBottom w:val="0"/>
      <w:divBdr>
        <w:top w:val="none" w:sz="0" w:space="0" w:color="auto"/>
        <w:left w:val="none" w:sz="0" w:space="0" w:color="auto"/>
        <w:bottom w:val="none" w:sz="0" w:space="0" w:color="auto"/>
        <w:right w:val="none" w:sz="0" w:space="0" w:color="auto"/>
      </w:divBdr>
    </w:div>
    <w:div w:id="557667598">
      <w:bodyDiv w:val="1"/>
      <w:marLeft w:val="0"/>
      <w:marRight w:val="0"/>
      <w:marTop w:val="0"/>
      <w:marBottom w:val="0"/>
      <w:divBdr>
        <w:top w:val="none" w:sz="0" w:space="0" w:color="auto"/>
        <w:left w:val="none" w:sz="0" w:space="0" w:color="auto"/>
        <w:bottom w:val="none" w:sz="0" w:space="0" w:color="auto"/>
        <w:right w:val="none" w:sz="0" w:space="0" w:color="auto"/>
      </w:divBdr>
      <w:divsChild>
        <w:div w:id="431826404">
          <w:marLeft w:val="0"/>
          <w:marRight w:val="0"/>
          <w:marTop w:val="0"/>
          <w:marBottom w:val="0"/>
          <w:divBdr>
            <w:top w:val="none" w:sz="0" w:space="0" w:color="auto"/>
            <w:left w:val="none" w:sz="0" w:space="0" w:color="auto"/>
            <w:bottom w:val="none" w:sz="0" w:space="0" w:color="auto"/>
            <w:right w:val="none" w:sz="0" w:space="0" w:color="auto"/>
          </w:divBdr>
          <w:divsChild>
            <w:div w:id="4946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9423">
      <w:bodyDiv w:val="1"/>
      <w:marLeft w:val="0"/>
      <w:marRight w:val="0"/>
      <w:marTop w:val="0"/>
      <w:marBottom w:val="0"/>
      <w:divBdr>
        <w:top w:val="none" w:sz="0" w:space="0" w:color="auto"/>
        <w:left w:val="none" w:sz="0" w:space="0" w:color="auto"/>
        <w:bottom w:val="none" w:sz="0" w:space="0" w:color="auto"/>
        <w:right w:val="none" w:sz="0" w:space="0" w:color="auto"/>
      </w:divBdr>
    </w:div>
    <w:div w:id="608969601">
      <w:bodyDiv w:val="1"/>
      <w:marLeft w:val="0"/>
      <w:marRight w:val="0"/>
      <w:marTop w:val="0"/>
      <w:marBottom w:val="0"/>
      <w:divBdr>
        <w:top w:val="none" w:sz="0" w:space="0" w:color="auto"/>
        <w:left w:val="none" w:sz="0" w:space="0" w:color="auto"/>
        <w:bottom w:val="none" w:sz="0" w:space="0" w:color="auto"/>
        <w:right w:val="none" w:sz="0" w:space="0" w:color="auto"/>
      </w:divBdr>
      <w:divsChild>
        <w:div w:id="2128503102">
          <w:marLeft w:val="0"/>
          <w:marRight w:val="0"/>
          <w:marTop w:val="0"/>
          <w:marBottom w:val="0"/>
          <w:divBdr>
            <w:top w:val="none" w:sz="0" w:space="0" w:color="auto"/>
            <w:left w:val="none" w:sz="0" w:space="0" w:color="auto"/>
            <w:bottom w:val="none" w:sz="0" w:space="0" w:color="auto"/>
            <w:right w:val="none" w:sz="0" w:space="0" w:color="auto"/>
          </w:divBdr>
          <w:divsChild>
            <w:div w:id="141099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79747">
      <w:bodyDiv w:val="1"/>
      <w:marLeft w:val="0"/>
      <w:marRight w:val="0"/>
      <w:marTop w:val="100"/>
      <w:marBottom w:val="100"/>
      <w:divBdr>
        <w:top w:val="none" w:sz="0" w:space="0" w:color="auto"/>
        <w:left w:val="none" w:sz="0" w:space="0" w:color="auto"/>
        <w:bottom w:val="none" w:sz="0" w:space="0" w:color="auto"/>
        <w:right w:val="none" w:sz="0" w:space="0" w:color="auto"/>
      </w:divBdr>
      <w:divsChild>
        <w:div w:id="759569598">
          <w:marLeft w:val="0"/>
          <w:marRight w:val="0"/>
          <w:marTop w:val="100"/>
          <w:marBottom w:val="100"/>
          <w:divBdr>
            <w:top w:val="none" w:sz="0" w:space="0" w:color="auto"/>
            <w:left w:val="none" w:sz="0" w:space="0" w:color="auto"/>
            <w:bottom w:val="none" w:sz="0" w:space="0" w:color="auto"/>
            <w:right w:val="none" w:sz="0" w:space="0" w:color="auto"/>
          </w:divBdr>
          <w:divsChild>
            <w:div w:id="410006576">
              <w:marLeft w:val="0"/>
              <w:marRight w:val="0"/>
              <w:marTop w:val="100"/>
              <w:marBottom w:val="100"/>
              <w:divBdr>
                <w:top w:val="none" w:sz="0" w:space="0" w:color="auto"/>
                <w:left w:val="none" w:sz="0" w:space="0" w:color="auto"/>
                <w:bottom w:val="none" w:sz="0" w:space="0" w:color="auto"/>
                <w:right w:val="none" w:sz="0" w:space="0" w:color="auto"/>
              </w:divBdr>
              <w:divsChild>
                <w:div w:id="1976328166">
                  <w:marLeft w:val="635"/>
                  <w:marRight w:val="0"/>
                  <w:marTop w:val="311"/>
                  <w:marBottom w:val="0"/>
                  <w:divBdr>
                    <w:top w:val="none" w:sz="0" w:space="0" w:color="auto"/>
                    <w:left w:val="none" w:sz="0" w:space="0" w:color="auto"/>
                    <w:bottom w:val="none" w:sz="0" w:space="0" w:color="auto"/>
                    <w:right w:val="none" w:sz="0" w:space="0" w:color="auto"/>
                  </w:divBdr>
                </w:div>
              </w:divsChild>
            </w:div>
          </w:divsChild>
        </w:div>
      </w:divsChild>
    </w:div>
    <w:div w:id="866721202">
      <w:bodyDiv w:val="1"/>
      <w:marLeft w:val="0"/>
      <w:marRight w:val="0"/>
      <w:marTop w:val="0"/>
      <w:marBottom w:val="0"/>
      <w:divBdr>
        <w:top w:val="none" w:sz="0" w:space="0" w:color="auto"/>
        <w:left w:val="none" w:sz="0" w:space="0" w:color="auto"/>
        <w:bottom w:val="none" w:sz="0" w:space="0" w:color="auto"/>
        <w:right w:val="none" w:sz="0" w:space="0" w:color="auto"/>
      </w:divBdr>
    </w:div>
    <w:div w:id="917983250">
      <w:bodyDiv w:val="1"/>
      <w:marLeft w:val="0"/>
      <w:marRight w:val="0"/>
      <w:marTop w:val="0"/>
      <w:marBottom w:val="0"/>
      <w:divBdr>
        <w:top w:val="none" w:sz="0" w:space="0" w:color="auto"/>
        <w:left w:val="none" w:sz="0" w:space="0" w:color="auto"/>
        <w:bottom w:val="none" w:sz="0" w:space="0" w:color="auto"/>
        <w:right w:val="none" w:sz="0" w:space="0" w:color="auto"/>
      </w:divBdr>
      <w:divsChild>
        <w:div w:id="1799034166">
          <w:marLeft w:val="0"/>
          <w:marRight w:val="0"/>
          <w:marTop w:val="0"/>
          <w:marBottom w:val="0"/>
          <w:divBdr>
            <w:top w:val="none" w:sz="0" w:space="0" w:color="auto"/>
            <w:left w:val="none" w:sz="0" w:space="0" w:color="auto"/>
            <w:bottom w:val="none" w:sz="0" w:space="0" w:color="auto"/>
            <w:right w:val="none" w:sz="0" w:space="0" w:color="auto"/>
          </w:divBdr>
        </w:div>
      </w:divsChild>
    </w:div>
    <w:div w:id="995374417">
      <w:bodyDiv w:val="1"/>
      <w:marLeft w:val="0"/>
      <w:marRight w:val="0"/>
      <w:marTop w:val="0"/>
      <w:marBottom w:val="0"/>
      <w:divBdr>
        <w:top w:val="none" w:sz="0" w:space="0" w:color="auto"/>
        <w:left w:val="none" w:sz="0" w:space="0" w:color="auto"/>
        <w:bottom w:val="none" w:sz="0" w:space="0" w:color="auto"/>
        <w:right w:val="none" w:sz="0" w:space="0" w:color="auto"/>
      </w:divBdr>
      <w:divsChild>
        <w:div w:id="477695605">
          <w:marLeft w:val="0"/>
          <w:marRight w:val="0"/>
          <w:marTop w:val="0"/>
          <w:marBottom w:val="0"/>
          <w:divBdr>
            <w:top w:val="none" w:sz="0" w:space="0" w:color="auto"/>
            <w:left w:val="none" w:sz="0" w:space="0" w:color="auto"/>
            <w:bottom w:val="none" w:sz="0" w:space="0" w:color="auto"/>
            <w:right w:val="none" w:sz="0" w:space="0" w:color="auto"/>
          </w:divBdr>
          <w:divsChild>
            <w:div w:id="824978076">
              <w:marLeft w:val="0"/>
              <w:marRight w:val="0"/>
              <w:marTop w:val="0"/>
              <w:marBottom w:val="0"/>
              <w:divBdr>
                <w:top w:val="none" w:sz="0" w:space="0" w:color="auto"/>
                <w:left w:val="none" w:sz="0" w:space="0" w:color="auto"/>
                <w:bottom w:val="none" w:sz="0" w:space="0" w:color="auto"/>
                <w:right w:val="none" w:sz="0" w:space="0" w:color="auto"/>
              </w:divBdr>
            </w:div>
            <w:div w:id="90711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5331">
      <w:bodyDiv w:val="1"/>
      <w:marLeft w:val="0"/>
      <w:marRight w:val="0"/>
      <w:marTop w:val="0"/>
      <w:marBottom w:val="0"/>
      <w:divBdr>
        <w:top w:val="none" w:sz="0" w:space="0" w:color="auto"/>
        <w:left w:val="none" w:sz="0" w:space="0" w:color="auto"/>
        <w:bottom w:val="none" w:sz="0" w:space="0" w:color="auto"/>
        <w:right w:val="none" w:sz="0" w:space="0" w:color="auto"/>
      </w:divBdr>
      <w:divsChild>
        <w:div w:id="434524781">
          <w:marLeft w:val="0"/>
          <w:marRight w:val="0"/>
          <w:marTop w:val="0"/>
          <w:marBottom w:val="0"/>
          <w:divBdr>
            <w:top w:val="none" w:sz="0" w:space="0" w:color="auto"/>
            <w:left w:val="none" w:sz="0" w:space="0" w:color="auto"/>
            <w:bottom w:val="none" w:sz="0" w:space="0" w:color="auto"/>
            <w:right w:val="none" w:sz="0" w:space="0" w:color="auto"/>
          </w:divBdr>
          <w:divsChild>
            <w:div w:id="597058011">
              <w:marLeft w:val="0"/>
              <w:marRight w:val="0"/>
              <w:marTop w:val="0"/>
              <w:marBottom w:val="0"/>
              <w:divBdr>
                <w:top w:val="none" w:sz="0" w:space="0" w:color="auto"/>
                <w:left w:val="none" w:sz="0" w:space="0" w:color="auto"/>
                <w:bottom w:val="none" w:sz="0" w:space="0" w:color="auto"/>
                <w:right w:val="none" w:sz="0" w:space="0" w:color="auto"/>
              </w:divBdr>
            </w:div>
            <w:div w:id="939728170">
              <w:marLeft w:val="0"/>
              <w:marRight w:val="0"/>
              <w:marTop w:val="0"/>
              <w:marBottom w:val="0"/>
              <w:divBdr>
                <w:top w:val="none" w:sz="0" w:space="0" w:color="auto"/>
                <w:left w:val="none" w:sz="0" w:space="0" w:color="auto"/>
                <w:bottom w:val="none" w:sz="0" w:space="0" w:color="auto"/>
                <w:right w:val="none" w:sz="0" w:space="0" w:color="auto"/>
              </w:divBdr>
            </w:div>
            <w:div w:id="1556968030">
              <w:marLeft w:val="0"/>
              <w:marRight w:val="0"/>
              <w:marTop w:val="0"/>
              <w:marBottom w:val="0"/>
              <w:divBdr>
                <w:top w:val="none" w:sz="0" w:space="0" w:color="auto"/>
                <w:left w:val="none" w:sz="0" w:space="0" w:color="auto"/>
                <w:bottom w:val="none" w:sz="0" w:space="0" w:color="auto"/>
                <w:right w:val="none" w:sz="0" w:space="0" w:color="auto"/>
              </w:divBdr>
            </w:div>
            <w:div w:id="20935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72897">
      <w:bodyDiv w:val="1"/>
      <w:marLeft w:val="0"/>
      <w:marRight w:val="0"/>
      <w:marTop w:val="0"/>
      <w:marBottom w:val="0"/>
      <w:divBdr>
        <w:top w:val="none" w:sz="0" w:space="0" w:color="auto"/>
        <w:left w:val="none" w:sz="0" w:space="0" w:color="auto"/>
        <w:bottom w:val="none" w:sz="0" w:space="0" w:color="auto"/>
        <w:right w:val="none" w:sz="0" w:space="0" w:color="auto"/>
      </w:divBdr>
      <w:divsChild>
        <w:div w:id="689648905">
          <w:marLeft w:val="0"/>
          <w:marRight w:val="0"/>
          <w:marTop w:val="0"/>
          <w:marBottom w:val="0"/>
          <w:divBdr>
            <w:top w:val="none" w:sz="0" w:space="0" w:color="auto"/>
            <w:left w:val="none" w:sz="0" w:space="0" w:color="auto"/>
            <w:bottom w:val="none" w:sz="0" w:space="0" w:color="auto"/>
            <w:right w:val="none" w:sz="0" w:space="0" w:color="auto"/>
          </w:divBdr>
        </w:div>
      </w:divsChild>
    </w:div>
    <w:div w:id="1113355612">
      <w:bodyDiv w:val="1"/>
      <w:marLeft w:val="0"/>
      <w:marRight w:val="0"/>
      <w:marTop w:val="0"/>
      <w:marBottom w:val="0"/>
      <w:divBdr>
        <w:top w:val="none" w:sz="0" w:space="0" w:color="auto"/>
        <w:left w:val="none" w:sz="0" w:space="0" w:color="auto"/>
        <w:bottom w:val="none" w:sz="0" w:space="0" w:color="auto"/>
        <w:right w:val="none" w:sz="0" w:space="0" w:color="auto"/>
      </w:divBdr>
    </w:div>
    <w:div w:id="1135752704">
      <w:bodyDiv w:val="1"/>
      <w:marLeft w:val="0"/>
      <w:marRight w:val="0"/>
      <w:marTop w:val="0"/>
      <w:marBottom w:val="0"/>
      <w:divBdr>
        <w:top w:val="none" w:sz="0" w:space="0" w:color="auto"/>
        <w:left w:val="none" w:sz="0" w:space="0" w:color="auto"/>
        <w:bottom w:val="none" w:sz="0" w:space="0" w:color="auto"/>
        <w:right w:val="none" w:sz="0" w:space="0" w:color="auto"/>
      </w:divBdr>
      <w:divsChild>
        <w:div w:id="1218709456">
          <w:marLeft w:val="0"/>
          <w:marRight w:val="0"/>
          <w:marTop w:val="0"/>
          <w:marBottom w:val="0"/>
          <w:divBdr>
            <w:top w:val="none" w:sz="0" w:space="0" w:color="auto"/>
            <w:left w:val="none" w:sz="0" w:space="0" w:color="auto"/>
            <w:bottom w:val="none" w:sz="0" w:space="0" w:color="auto"/>
            <w:right w:val="none" w:sz="0" w:space="0" w:color="auto"/>
          </w:divBdr>
          <w:divsChild>
            <w:div w:id="175034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0639">
      <w:bodyDiv w:val="1"/>
      <w:marLeft w:val="0"/>
      <w:marRight w:val="0"/>
      <w:marTop w:val="0"/>
      <w:marBottom w:val="0"/>
      <w:divBdr>
        <w:top w:val="none" w:sz="0" w:space="0" w:color="auto"/>
        <w:left w:val="none" w:sz="0" w:space="0" w:color="auto"/>
        <w:bottom w:val="none" w:sz="0" w:space="0" w:color="auto"/>
        <w:right w:val="none" w:sz="0" w:space="0" w:color="auto"/>
      </w:divBdr>
      <w:divsChild>
        <w:div w:id="1110130324">
          <w:marLeft w:val="0"/>
          <w:marRight w:val="0"/>
          <w:marTop w:val="0"/>
          <w:marBottom w:val="0"/>
          <w:divBdr>
            <w:top w:val="none" w:sz="0" w:space="0" w:color="auto"/>
            <w:left w:val="none" w:sz="0" w:space="0" w:color="auto"/>
            <w:bottom w:val="none" w:sz="0" w:space="0" w:color="auto"/>
            <w:right w:val="none" w:sz="0" w:space="0" w:color="auto"/>
          </w:divBdr>
          <w:divsChild>
            <w:div w:id="125215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44934">
      <w:bodyDiv w:val="1"/>
      <w:marLeft w:val="0"/>
      <w:marRight w:val="0"/>
      <w:marTop w:val="0"/>
      <w:marBottom w:val="0"/>
      <w:divBdr>
        <w:top w:val="none" w:sz="0" w:space="0" w:color="auto"/>
        <w:left w:val="none" w:sz="0" w:space="0" w:color="auto"/>
        <w:bottom w:val="none" w:sz="0" w:space="0" w:color="auto"/>
        <w:right w:val="none" w:sz="0" w:space="0" w:color="auto"/>
      </w:divBdr>
      <w:divsChild>
        <w:div w:id="127478066">
          <w:marLeft w:val="0"/>
          <w:marRight w:val="0"/>
          <w:marTop w:val="0"/>
          <w:marBottom w:val="0"/>
          <w:divBdr>
            <w:top w:val="none" w:sz="0" w:space="0" w:color="auto"/>
            <w:left w:val="none" w:sz="0" w:space="0" w:color="auto"/>
            <w:bottom w:val="none" w:sz="0" w:space="0" w:color="auto"/>
            <w:right w:val="none" w:sz="0" w:space="0" w:color="auto"/>
          </w:divBdr>
        </w:div>
      </w:divsChild>
    </w:div>
    <w:div w:id="1497306478">
      <w:bodyDiv w:val="1"/>
      <w:marLeft w:val="0"/>
      <w:marRight w:val="0"/>
      <w:marTop w:val="0"/>
      <w:marBottom w:val="0"/>
      <w:divBdr>
        <w:top w:val="none" w:sz="0" w:space="0" w:color="auto"/>
        <w:left w:val="none" w:sz="0" w:space="0" w:color="auto"/>
        <w:bottom w:val="none" w:sz="0" w:space="0" w:color="auto"/>
        <w:right w:val="none" w:sz="0" w:space="0" w:color="auto"/>
      </w:divBdr>
      <w:divsChild>
        <w:div w:id="1600328631">
          <w:marLeft w:val="0"/>
          <w:marRight w:val="0"/>
          <w:marTop w:val="0"/>
          <w:marBottom w:val="0"/>
          <w:divBdr>
            <w:top w:val="none" w:sz="0" w:space="0" w:color="auto"/>
            <w:left w:val="none" w:sz="0" w:space="0" w:color="auto"/>
            <w:bottom w:val="none" w:sz="0" w:space="0" w:color="auto"/>
            <w:right w:val="none" w:sz="0" w:space="0" w:color="auto"/>
          </w:divBdr>
          <w:divsChild>
            <w:div w:id="181434422">
              <w:marLeft w:val="0"/>
              <w:marRight w:val="0"/>
              <w:marTop w:val="74"/>
              <w:marBottom w:val="0"/>
              <w:divBdr>
                <w:top w:val="single" w:sz="4" w:space="4" w:color="666666"/>
                <w:left w:val="none" w:sz="0" w:space="0" w:color="auto"/>
                <w:bottom w:val="none" w:sz="0" w:space="0" w:color="auto"/>
                <w:right w:val="none" w:sz="0" w:space="0" w:color="auto"/>
              </w:divBdr>
            </w:div>
          </w:divsChild>
        </w:div>
      </w:divsChild>
    </w:div>
    <w:div w:id="1567449875">
      <w:bodyDiv w:val="1"/>
      <w:marLeft w:val="0"/>
      <w:marRight w:val="0"/>
      <w:marTop w:val="0"/>
      <w:marBottom w:val="0"/>
      <w:divBdr>
        <w:top w:val="none" w:sz="0" w:space="0" w:color="auto"/>
        <w:left w:val="none" w:sz="0" w:space="0" w:color="auto"/>
        <w:bottom w:val="none" w:sz="0" w:space="0" w:color="auto"/>
        <w:right w:val="none" w:sz="0" w:space="0" w:color="auto"/>
      </w:divBdr>
      <w:divsChild>
        <w:div w:id="24059681">
          <w:marLeft w:val="0"/>
          <w:marRight w:val="0"/>
          <w:marTop w:val="0"/>
          <w:marBottom w:val="0"/>
          <w:divBdr>
            <w:top w:val="none" w:sz="0" w:space="0" w:color="auto"/>
            <w:left w:val="none" w:sz="0" w:space="0" w:color="auto"/>
            <w:bottom w:val="none" w:sz="0" w:space="0" w:color="auto"/>
            <w:right w:val="none" w:sz="0" w:space="0" w:color="auto"/>
          </w:divBdr>
        </w:div>
        <w:div w:id="362680426">
          <w:marLeft w:val="0"/>
          <w:marRight w:val="0"/>
          <w:marTop w:val="0"/>
          <w:marBottom w:val="0"/>
          <w:divBdr>
            <w:top w:val="none" w:sz="0" w:space="0" w:color="auto"/>
            <w:left w:val="none" w:sz="0" w:space="0" w:color="auto"/>
            <w:bottom w:val="none" w:sz="0" w:space="0" w:color="auto"/>
            <w:right w:val="none" w:sz="0" w:space="0" w:color="auto"/>
          </w:divBdr>
        </w:div>
        <w:div w:id="669286088">
          <w:marLeft w:val="0"/>
          <w:marRight w:val="0"/>
          <w:marTop w:val="0"/>
          <w:marBottom w:val="0"/>
          <w:divBdr>
            <w:top w:val="none" w:sz="0" w:space="0" w:color="auto"/>
            <w:left w:val="none" w:sz="0" w:space="0" w:color="auto"/>
            <w:bottom w:val="none" w:sz="0" w:space="0" w:color="auto"/>
            <w:right w:val="none" w:sz="0" w:space="0" w:color="auto"/>
          </w:divBdr>
        </w:div>
        <w:div w:id="783769970">
          <w:marLeft w:val="0"/>
          <w:marRight w:val="0"/>
          <w:marTop w:val="0"/>
          <w:marBottom w:val="0"/>
          <w:divBdr>
            <w:top w:val="none" w:sz="0" w:space="0" w:color="auto"/>
            <w:left w:val="none" w:sz="0" w:space="0" w:color="auto"/>
            <w:bottom w:val="none" w:sz="0" w:space="0" w:color="auto"/>
            <w:right w:val="none" w:sz="0" w:space="0" w:color="auto"/>
          </w:divBdr>
        </w:div>
        <w:div w:id="1308901566">
          <w:marLeft w:val="0"/>
          <w:marRight w:val="0"/>
          <w:marTop w:val="0"/>
          <w:marBottom w:val="0"/>
          <w:divBdr>
            <w:top w:val="none" w:sz="0" w:space="0" w:color="auto"/>
            <w:left w:val="none" w:sz="0" w:space="0" w:color="auto"/>
            <w:bottom w:val="none" w:sz="0" w:space="0" w:color="auto"/>
            <w:right w:val="none" w:sz="0" w:space="0" w:color="auto"/>
          </w:divBdr>
        </w:div>
        <w:div w:id="1362585728">
          <w:marLeft w:val="0"/>
          <w:marRight w:val="0"/>
          <w:marTop w:val="0"/>
          <w:marBottom w:val="0"/>
          <w:divBdr>
            <w:top w:val="none" w:sz="0" w:space="0" w:color="auto"/>
            <w:left w:val="none" w:sz="0" w:space="0" w:color="auto"/>
            <w:bottom w:val="none" w:sz="0" w:space="0" w:color="auto"/>
            <w:right w:val="none" w:sz="0" w:space="0" w:color="auto"/>
          </w:divBdr>
        </w:div>
        <w:div w:id="1398363345">
          <w:marLeft w:val="0"/>
          <w:marRight w:val="0"/>
          <w:marTop w:val="0"/>
          <w:marBottom w:val="0"/>
          <w:divBdr>
            <w:top w:val="none" w:sz="0" w:space="0" w:color="auto"/>
            <w:left w:val="none" w:sz="0" w:space="0" w:color="auto"/>
            <w:bottom w:val="none" w:sz="0" w:space="0" w:color="auto"/>
            <w:right w:val="none" w:sz="0" w:space="0" w:color="auto"/>
          </w:divBdr>
        </w:div>
        <w:div w:id="1751657061">
          <w:marLeft w:val="0"/>
          <w:marRight w:val="0"/>
          <w:marTop w:val="0"/>
          <w:marBottom w:val="0"/>
          <w:divBdr>
            <w:top w:val="none" w:sz="0" w:space="0" w:color="auto"/>
            <w:left w:val="none" w:sz="0" w:space="0" w:color="auto"/>
            <w:bottom w:val="none" w:sz="0" w:space="0" w:color="auto"/>
            <w:right w:val="none" w:sz="0" w:space="0" w:color="auto"/>
          </w:divBdr>
        </w:div>
        <w:div w:id="1759254752">
          <w:marLeft w:val="0"/>
          <w:marRight w:val="0"/>
          <w:marTop w:val="0"/>
          <w:marBottom w:val="0"/>
          <w:divBdr>
            <w:top w:val="none" w:sz="0" w:space="0" w:color="auto"/>
            <w:left w:val="none" w:sz="0" w:space="0" w:color="auto"/>
            <w:bottom w:val="none" w:sz="0" w:space="0" w:color="auto"/>
            <w:right w:val="none" w:sz="0" w:space="0" w:color="auto"/>
          </w:divBdr>
        </w:div>
        <w:div w:id="1797790076">
          <w:marLeft w:val="0"/>
          <w:marRight w:val="0"/>
          <w:marTop w:val="0"/>
          <w:marBottom w:val="0"/>
          <w:divBdr>
            <w:top w:val="none" w:sz="0" w:space="0" w:color="auto"/>
            <w:left w:val="none" w:sz="0" w:space="0" w:color="auto"/>
            <w:bottom w:val="none" w:sz="0" w:space="0" w:color="auto"/>
            <w:right w:val="none" w:sz="0" w:space="0" w:color="auto"/>
          </w:divBdr>
        </w:div>
        <w:div w:id="2082293364">
          <w:marLeft w:val="0"/>
          <w:marRight w:val="0"/>
          <w:marTop w:val="0"/>
          <w:marBottom w:val="0"/>
          <w:divBdr>
            <w:top w:val="none" w:sz="0" w:space="0" w:color="auto"/>
            <w:left w:val="none" w:sz="0" w:space="0" w:color="auto"/>
            <w:bottom w:val="none" w:sz="0" w:space="0" w:color="auto"/>
            <w:right w:val="none" w:sz="0" w:space="0" w:color="auto"/>
          </w:divBdr>
        </w:div>
        <w:div w:id="2126189436">
          <w:marLeft w:val="0"/>
          <w:marRight w:val="0"/>
          <w:marTop w:val="0"/>
          <w:marBottom w:val="0"/>
          <w:divBdr>
            <w:top w:val="none" w:sz="0" w:space="0" w:color="auto"/>
            <w:left w:val="none" w:sz="0" w:space="0" w:color="auto"/>
            <w:bottom w:val="none" w:sz="0" w:space="0" w:color="auto"/>
            <w:right w:val="none" w:sz="0" w:space="0" w:color="auto"/>
          </w:divBdr>
        </w:div>
      </w:divsChild>
    </w:div>
    <w:div w:id="1594778829">
      <w:bodyDiv w:val="1"/>
      <w:marLeft w:val="0"/>
      <w:marRight w:val="0"/>
      <w:marTop w:val="0"/>
      <w:marBottom w:val="0"/>
      <w:divBdr>
        <w:top w:val="none" w:sz="0" w:space="0" w:color="auto"/>
        <w:left w:val="none" w:sz="0" w:space="0" w:color="auto"/>
        <w:bottom w:val="none" w:sz="0" w:space="0" w:color="auto"/>
        <w:right w:val="none" w:sz="0" w:space="0" w:color="auto"/>
      </w:divBdr>
    </w:div>
    <w:div w:id="1598517815">
      <w:bodyDiv w:val="1"/>
      <w:marLeft w:val="0"/>
      <w:marRight w:val="0"/>
      <w:marTop w:val="0"/>
      <w:marBottom w:val="0"/>
      <w:divBdr>
        <w:top w:val="none" w:sz="0" w:space="0" w:color="auto"/>
        <w:left w:val="none" w:sz="0" w:space="0" w:color="auto"/>
        <w:bottom w:val="none" w:sz="0" w:space="0" w:color="auto"/>
        <w:right w:val="none" w:sz="0" w:space="0" w:color="auto"/>
      </w:divBdr>
      <w:divsChild>
        <w:div w:id="144275757">
          <w:marLeft w:val="0"/>
          <w:marRight w:val="0"/>
          <w:marTop w:val="0"/>
          <w:marBottom w:val="0"/>
          <w:divBdr>
            <w:top w:val="none" w:sz="0" w:space="0" w:color="auto"/>
            <w:left w:val="none" w:sz="0" w:space="0" w:color="auto"/>
            <w:bottom w:val="none" w:sz="0" w:space="0" w:color="auto"/>
            <w:right w:val="none" w:sz="0" w:space="0" w:color="auto"/>
          </w:divBdr>
        </w:div>
        <w:div w:id="362245376">
          <w:marLeft w:val="0"/>
          <w:marRight w:val="0"/>
          <w:marTop w:val="0"/>
          <w:marBottom w:val="0"/>
          <w:divBdr>
            <w:top w:val="none" w:sz="0" w:space="0" w:color="auto"/>
            <w:left w:val="none" w:sz="0" w:space="0" w:color="auto"/>
            <w:bottom w:val="none" w:sz="0" w:space="0" w:color="auto"/>
            <w:right w:val="none" w:sz="0" w:space="0" w:color="auto"/>
          </w:divBdr>
        </w:div>
        <w:div w:id="475610597">
          <w:marLeft w:val="0"/>
          <w:marRight w:val="0"/>
          <w:marTop w:val="0"/>
          <w:marBottom w:val="0"/>
          <w:divBdr>
            <w:top w:val="none" w:sz="0" w:space="0" w:color="auto"/>
            <w:left w:val="none" w:sz="0" w:space="0" w:color="auto"/>
            <w:bottom w:val="none" w:sz="0" w:space="0" w:color="auto"/>
            <w:right w:val="none" w:sz="0" w:space="0" w:color="auto"/>
          </w:divBdr>
        </w:div>
        <w:div w:id="1409383683">
          <w:marLeft w:val="0"/>
          <w:marRight w:val="0"/>
          <w:marTop w:val="0"/>
          <w:marBottom w:val="0"/>
          <w:divBdr>
            <w:top w:val="none" w:sz="0" w:space="0" w:color="auto"/>
            <w:left w:val="none" w:sz="0" w:space="0" w:color="auto"/>
            <w:bottom w:val="none" w:sz="0" w:space="0" w:color="auto"/>
            <w:right w:val="none" w:sz="0" w:space="0" w:color="auto"/>
          </w:divBdr>
        </w:div>
        <w:div w:id="1572888649">
          <w:marLeft w:val="0"/>
          <w:marRight w:val="0"/>
          <w:marTop w:val="0"/>
          <w:marBottom w:val="0"/>
          <w:divBdr>
            <w:top w:val="none" w:sz="0" w:space="0" w:color="auto"/>
            <w:left w:val="none" w:sz="0" w:space="0" w:color="auto"/>
            <w:bottom w:val="none" w:sz="0" w:space="0" w:color="auto"/>
            <w:right w:val="none" w:sz="0" w:space="0" w:color="auto"/>
          </w:divBdr>
        </w:div>
        <w:div w:id="1724214722">
          <w:marLeft w:val="0"/>
          <w:marRight w:val="0"/>
          <w:marTop w:val="0"/>
          <w:marBottom w:val="0"/>
          <w:divBdr>
            <w:top w:val="none" w:sz="0" w:space="0" w:color="auto"/>
            <w:left w:val="none" w:sz="0" w:space="0" w:color="auto"/>
            <w:bottom w:val="none" w:sz="0" w:space="0" w:color="auto"/>
            <w:right w:val="none" w:sz="0" w:space="0" w:color="auto"/>
          </w:divBdr>
        </w:div>
      </w:divsChild>
    </w:div>
    <w:div w:id="1719820229">
      <w:bodyDiv w:val="1"/>
      <w:marLeft w:val="0"/>
      <w:marRight w:val="0"/>
      <w:marTop w:val="0"/>
      <w:marBottom w:val="0"/>
      <w:divBdr>
        <w:top w:val="none" w:sz="0" w:space="0" w:color="auto"/>
        <w:left w:val="none" w:sz="0" w:space="0" w:color="auto"/>
        <w:bottom w:val="none" w:sz="0" w:space="0" w:color="auto"/>
        <w:right w:val="none" w:sz="0" w:space="0" w:color="auto"/>
      </w:divBdr>
      <w:divsChild>
        <w:div w:id="2896992">
          <w:marLeft w:val="0"/>
          <w:marRight w:val="0"/>
          <w:marTop w:val="0"/>
          <w:marBottom w:val="0"/>
          <w:divBdr>
            <w:top w:val="none" w:sz="0" w:space="0" w:color="auto"/>
            <w:left w:val="none" w:sz="0" w:space="0" w:color="auto"/>
            <w:bottom w:val="none" w:sz="0" w:space="0" w:color="auto"/>
            <w:right w:val="none" w:sz="0" w:space="0" w:color="auto"/>
          </w:divBdr>
        </w:div>
        <w:div w:id="52048736">
          <w:marLeft w:val="0"/>
          <w:marRight w:val="0"/>
          <w:marTop w:val="0"/>
          <w:marBottom w:val="0"/>
          <w:divBdr>
            <w:top w:val="none" w:sz="0" w:space="0" w:color="auto"/>
            <w:left w:val="none" w:sz="0" w:space="0" w:color="auto"/>
            <w:bottom w:val="none" w:sz="0" w:space="0" w:color="auto"/>
            <w:right w:val="none" w:sz="0" w:space="0" w:color="auto"/>
          </w:divBdr>
        </w:div>
        <w:div w:id="63795057">
          <w:marLeft w:val="0"/>
          <w:marRight w:val="0"/>
          <w:marTop w:val="0"/>
          <w:marBottom w:val="0"/>
          <w:divBdr>
            <w:top w:val="none" w:sz="0" w:space="0" w:color="auto"/>
            <w:left w:val="none" w:sz="0" w:space="0" w:color="auto"/>
            <w:bottom w:val="none" w:sz="0" w:space="0" w:color="auto"/>
            <w:right w:val="none" w:sz="0" w:space="0" w:color="auto"/>
          </w:divBdr>
        </w:div>
        <w:div w:id="69425370">
          <w:marLeft w:val="0"/>
          <w:marRight w:val="0"/>
          <w:marTop w:val="0"/>
          <w:marBottom w:val="0"/>
          <w:divBdr>
            <w:top w:val="none" w:sz="0" w:space="0" w:color="auto"/>
            <w:left w:val="none" w:sz="0" w:space="0" w:color="auto"/>
            <w:bottom w:val="none" w:sz="0" w:space="0" w:color="auto"/>
            <w:right w:val="none" w:sz="0" w:space="0" w:color="auto"/>
          </w:divBdr>
        </w:div>
        <w:div w:id="77823492">
          <w:marLeft w:val="0"/>
          <w:marRight w:val="0"/>
          <w:marTop w:val="0"/>
          <w:marBottom w:val="0"/>
          <w:divBdr>
            <w:top w:val="none" w:sz="0" w:space="0" w:color="auto"/>
            <w:left w:val="none" w:sz="0" w:space="0" w:color="auto"/>
            <w:bottom w:val="none" w:sz="0" w:space="0" w:color="auto"/>
            <w:right w:val="none" w:sz="0" w:space="0" w:color="auto"/>
          </w:divBdr>
        </w:div>
        <w:div w:id="174151798">
          <w:marLeft w:val="0"/>
          <w:marRight w:val="0"/>
          <w:marTop w:val="0"/>
          <w:marBottom w:val="0"/>
          <w:divBdr>
            <w:top w:val="none" w:sz="0" w:space="0" w:color="auto"/>
            <w:left w:val="none" w:sz="0" w:space="0" w:color="auto"/>
            <w:bottom w:val="none" w:sz="0" w:space="0" w:color="auto"/>
            <w:right w:val="none" w:sz="0" w:space="0" w:color="auto"/>
          </w:divBdr>
        </w:div>
        <w:div w:id="182518230">
          <w:marLeft w:val="0"/>
          <w:marRight w:val="0"/>
          <w:marTop w:val="0"/>
          <w:marBottom w:val="0"/>
          <w:divBdr>
            <w:top w:val="none" w:sz="0" w:space="0" w:color="auto"/>
            <w:left w:val="none" w:sz="0" w:space="0" w:color="auto"/>
            <w:bottom w:val="none" w:sz="0" w:space="0" w:color="auto"/>
            <w:right w:val="none" w:sz="0" w:space="0" w:color="auto"/>
          </w:divBdr>
        </w:div>
        <w:div w:id="195968634">
          <w:marLeft w:val="0"/>
          <w:marRight w:val="0"/>
          <w:marTop w:val="0"/>
          <w:marBottom w:val="0"/>
          <w:divBdr>
            <w:top w:val="none" w:sz="0" w:space="0" w:color="auto"/>
            <w:left w:val="none" w:sz="0" w:space="0" w:color="auto"/>
            <w:bottom w:val="none" w:sz="0" w:space="0" w:color="auto"/>
            <w:right w:val="none" w:sz="0" w:space="0" w:color="auto"/>
          </w:divBdr>
        </w:div>
        <w:div w:id="254098916">
          <w:marLeft w:val="0"/>
          <w:marRight w:val="0"/>
          <w:marTop w:val="0"/>
          <w:marBottom w:val="0"/>
          <w:divBdr>
            <w:top w:val="none" w:sz="0" w:space="0" w:color="auto"/>
            <w:left w:val="none" w:sz="0" w:space="0" w:color="auto"/>
            <w:bottom w:val="none" w:sz="0" w:space="0" w:color="auto"/>
            <w:right w:val="none" w:sz="0" w:space="0" w:color="auto"/>
          </w:divBdr>
        </w:div>
        <w:div w:id="263461039">
          <w:marLeft w:val="0"/>
          <w:marRight w:val="0"/>
          <w:marTop w:val="0"/>
          <w:marBottom w:val="0"/>
          <w:divBdr>
            <w:top w:val="none" w:sz="0" w:space="0" w:color="auto"/>
            <w:left w:val="none" w:sz="0" w:space="0" w:color="auto"/>
            <w:bottom w:val="none" w:sz="0" w:space="0" w:color="auto"/>
            <w:right w:val="none" w:sz="0" w:space="0" w:color="auto"/>
          </w:divBdr>
        </w:div>
        <w:div w:id="290020716">
          <w:marLeft w:val="0"/>
          <w:marRight w:val="0"/>
          <w:marTop w:val="0"/>
          <w:marBottom w:val="0"/>
          <w:divBdr>
            <w:top w:val="none" w:sz="0" w:space="0" w:color="auto"/>
            <w:left w:val="none" w:sz="0" w:space="0" w:color="auto"/>
            <w:bottom w:val="none" w:sz="0" w:space="0" w:color="auto"/>
            <w:right w:val="none" w:sz="0" w:space="0" w:color="auto"/>
          </w:divBdr>
        </w:div>
        <w:div w:id="294607663">
          <w:marLeft w:val="0"/>
          <w:marRight w:val="0"/>
          <w:marTop w:val="0"/>
          <w:marBottom w:val="0"/>
          <w:divBdr>
            <w:top w:val="none" w:sz="0" w:space="0" w:color="auto"/>
            <w:left w:val="none" w:sz="0" w:space="0" w:color="auto"/>
            <w:bottom w:val="none" w:sz="0" w:space="0" w:color="auto"/>
            <w:right w:val="none" w:sz="0" w:space="0" w:color="auto"/>
          </w:divBdr>
        </w:div>
        <w:div w:id="296492174">
          <w:marLeft w:val="0"/>
          <w:marRight w:val="0"/>
          <w:marTop w:val="0"/>
          <w:marBottom w:val="0"/>
          <w:divBdr>
            <w:top w:val="none" w:sz="0" w:space="0" w:color="auto"/>
            <w:left w:val="none" w:sz="0" w:space="0" w:color="auto"/>
            <w:bottom w:val="none" w:sz="0" w:space="0" w:color="auto"/>
            <w:right w:val="none" w:sz="0" w:space="0" w:color="auto"/>
          </w:divBdr>
        </w:div>
        <w:div w:id="309481675">
          <w:marLeft w:val="0"/>
          <w:marRight w:val="0"/>
          <w:marTop w:val="0"/>
          <w:marBottom w:val="0"/>
          <w:divBdr>
            <w:top w:val="none" w:sz="0" w:space="0" w:color="auto"/>
            <w:left w:val="none" w:sz="0" w:space="0" w:color="auto"/>
            <w:bottom w:val="none" w:sz="0" w:space="0" w:color="auto"/>
            <w:right w:val="none" w:sz="0" w:space="0" w:color="auto"/>
          </w:divBdr>
        </w:div>
        <w:div w:id="348528201">
          <w:marLeft w:val="0"/>
          <w:marRight w:val="0"/>
          <w:marTop w:val="0"/>
          <w:marBottom w:val="0"/>
          <w:divBdr>
            <w:top w:val="none" w:sz="0" w:space="0" w:color="auto"/>
            <w:left w:val="none" w:sz="0" w:space="0" w:color="auto"/>
            <w:bottom w:val="none" w:sz="0" w:space="0" w:color="auto"/>
            <w:right w:val="none" w:sz="0" w:space="0" w:color="auto"/>
          </w:divBdr>
        </w:div>
        <w:div w:id="447239116">
          <w:marLeft w:val="0"/>
          <w:marRight w:val="0"/>
          <w:marTop w:val="0"/>
          <w:marBottom w:val="0"/>
          <w:divBdr>
            <w:top w:val="none" w:sz="0" w:space="0" w:color="auto"/>
            <w:left w:val="none" w:sz="0" w:space="0" w:color="auto"/>
            <w:bottom w:val="none" w:sz="0" w:space="0" w:color="auto"/>
            <w:right w:val="none" w:sz="0" w:space="0" w:color="auto"/>
          </w:divBdr>
        </w:div>
        <w:div w:id="535041968">
          <w:marLeft w:val="0"/>
          <w:marRight w:val="0"/>
          <w:marTop w:val="0"/>
          <w:marBottom w:val="0"/>
          <w:divBdr>
            <w:top w:val="none" w:sz="0" w:space="0" w:color="auto"/>
            <w:left w:val="none" w:sz="0" w:space="0" w:color="auto"/>
            <w:bottom w:val="none" w:sz="0" w:space="0" w:color="auto"/>
            <w:right w:val="none" w:sz="0" w:space="0" w:color="auto"/>
          </w:divBdr>
        </w:div>
        <w:div w:id="551042670">
          <w:marLeft w:val="0"/>
          <w:marRight w:val="0"/>
          <w:marTop w:val="0"/>
          <w:marBottom w:val="0"/>
          <w:divBdr>
            <w:top w:val="none" w:sz="0" w:space="0" w:color="auto"/>
            <w:left w:val="none" w:sz="0" w:space="0" w:color="auto"/>
            <w:bottom w:val="none" w:sz="0" w:space="0" w:color="auto"/>
            <w:right w:val="none" w:sz="0" w:space="0" w:color="auto"/>
          </w:divBdr>
        </w:div>
        <w:div w:id="577204511">
          <w:marLeft w:val="0"/>
          <w:marRight w:val="0"/>
          <w:marTop w:val="0"/>
          <w:marBottom w:val="0"/>
          <w:divBdr>
            <w:top w:val="none" w:sz="0" w:space="0" w:color="auto"/>
            <w:left w:val="none" w:sz="0" w:space="0" w:color="auto"/>
            <w:bottom w:val="none" w:sz="0" w:space="0" w:color="auto"/>
            <w:right w:val="none" w:sz="0" w:space="0" w:color="auto"/>
          </w:divBdr>
        </w:div>
        <w:div w:id="725839089">
          <w:marLeft w:val="0"/>
          <w:marRight w:val="0"/>
          <w:marTop w:val="0"/>
          <w:marBottom w:val="0"/>
          <w:divBdr>
            <w:top w:val="none" w:sz="0" w:space="0" w:color="auto"/>
            <w:left w:val="none" w:sz="0" w:space="0" w:color="auto"/>
            <w:bottom w:val="none" w:sz="0" w:space="0" w:color="auto"/>
            <w:right w:val="none" w:sz="0" w:space="0" w:color="auto"/>
          </w:divBdr>
        </w:div>
        <w:div w:id="935402510">
          <w:marLeft w:val="0"/>
          <w:marRight w:val="0"/>
          <w:marTop w:val="0"/>
          <w:marBottom w:val="0"/>
          <w:divBdr>
            <w:top w:val="none" w:sz="0" w:space="0" w:color="auto"/>
            <w:left w:val="none" w:sz="0" w:space="0" w:color="auto"/>
            <w:bottom w:val="none" w:sz="0" w:space="0" w:color="auto"/>
            <w:right w:val="none" w:sz="0" w:space="0" w:color="auto"/>
          </w:divBdr>
        </w:div>
        <w:div w:id="1001470634">
          <w:marLeft w:val="0"/>
          <w:marRight w:val="0"/>
          <w:marTop w:val="0"/>
          <w:marBottom w:val="0"/>
          <w:divBdr>
            <w:top w:val="none" w:sz="0" w:space="0" w:color="auto"/>
            <w:left w:val="none" w:sz="0" w:space="0" w:color="auto"/>
            <w:bottom w:val="none" w:sz="0" w:space="0" w:color="auto"/>
            <w:right w:val="none" w:sz="0" w:space="0" w:color="auto"/>
          </w:divBdr>
        </w:div>
        <w:div w:id="1057126209">
          <w:marLeft w:val="0"/>
          <w:marRight w:val="0"/>
          <w:marTop w:val="0"/>
          <w:marBottom w:val="0"/>
          <w:divBdr>
            <w:top w:val="none" w:sz="0" w:space="0" w:color="auto"/>
            <w:left w:val="none" w:sz="0" w:space="0" w:color="auto"/>
            <w:bottom w:val="none" w:sz="0" w:space="0" w:color="auto"/>
            <w:right w:val="none" w:sz="0" w:space="0" w:color="auto"/>
          </w:divBdr>
        </w:div>
        <w:div w:id="1061290244">
          <w:marLeft w:val="0"/>
          <w:marRight w:val="0"/>
          <w:marTop w:val="0"/>
          <w:marBottom w:val="0"/>
          <w:divBdr>
            <w:top w:val="none" w:sz="0" w:space="0" w:color="auto"/>
            <w:left w:val="none" w:sz="0" w:space="0" w:color="auto"/>
            <w:bottom w:val="none" w:sz="0" w:space="0" w:color="auto"/>
            <w:right w:val="none" w:sz="0" w:space="0" w:color="auto"/>
          </w:divBdr>
        </w:div>
        <w:div w:id="1181168057">
          <w:marLeft w:val="0"/>
          <w:marRight w:val="0"/>
          <w:marTop w:val="0"/>
          <w:marBottom w:val="0"/>
          <w:divBdr>
            <w:top w:val="none" w:sz="0" w:space="0" w:color="auto"/>
            <w:left w:val="none" w:sz="0" w:space="0" w:color="auto"/>
            <w:bottom w:val="none" w:sz="0" w:space="0" w:color="auto"/>
            <w:right w:val="none" w:sz="0" w:space="0" w:color="auto"/>
          </w:divBdr>
        </w:div>
        <w:div w:id="1227915195">
          <w:marLeft w:val="0"/>
          <w:marRight w:val="0"/>
          <w:marTop w:val="0"/>
          <w:marBottom w:val="0"/>
          <w:divBdr>
            <w:top w:val="none" w:sz="0" w:space="0" w:color="auto"/>
            <w:left w:val="none" w:sz="0" w:space="0" w:color="auto"/>
            <w:bottom w:val="none" w:sz="0" w:space="0" w:color="auto"/>
            <w:right w:val="none" w:sz="0" w:space="0" w:color="auto"/>
          </w:divBdr>
        </w:div>
        <w:div w:id="1235623801">
          <w:marLeft w:val="0"/>
          <w:marRight w:val="0"/>
          <w:marTop w:val="0"/>
          <w:marBottom w:val="0"/>
          <w:divBdr>
            <w:top w:val="none" w:sz="0" w:space="0" w:color="auto"/>
            <w:left w:val="none" w:sz="0" w:space="0" w:color="auto"/>
            <w:bottom w:val="none" w:sz="0" w:space="0" w:color="auto"/>
            <w:right w:val="none" w:sz="0" w:space="0" w:color="auto"/>
          </w:divBdr>
        </w:div>
        <w:div w:id="1301151983">
          <w:marLeft w:val="0"/>
          <w:marRight w:val="0"/>
          <w:marTop w:val="0"/>
          <w:marBottom w:val="0"/>
          <w:divBdr>
            <w:top w:val="none" w:sz="0" w:space="0" w:color="auto"/>
            <w:left w:val="none" w:sz="0" w:space="0" w:color="auto"/>
            <w:bottom w:val="none" w:sz="0" w:space="0" w:color="auto"/>
            <w:right w:val="none" w:sz="0" w:space="0" w:color="auto"/>
          </w:divBdr>
        </w:div>
        <w:div w:id="1302079560">
          <w:marLeft w:val="0"/>
          <w:marRight w:val="0"/>
          <w:marTop w:val="0"/>
          <w:marBottom w:val="0"/>
          <w:divBdr>
            <w:top w:val="none" w:sz="0" w:space="0" w:color="auto"/>
            <w:left w:val="none" w:sz="0" w:space="0" w:color="auto"/>
            <w:bottom w:val="none" w:sz="0" w:space="0" w:color="auto"/>
            <w:right w:val="none" w:sz="0" w:space="0" w:color="auto"/>
          </w:divBdr>
        </w:div>
        <w:div w:id="1310670914">
          <w:marLeft w:val="0"/>
          <w:marRight w:val="0"/>
          <w:marTop w:val="0"/>
          <w:marBottom w:val="0"/>
          <w:divBdr>
            <w:top w:val="none" w:sz="0" w:space="0" w:color="auto"/>
            <w:left w:val="none" w:sz="0" w:space="0" w:color="auto"/>
            <w:bottom w:val="none" w:sz="0" w:space="0" w:color="auto"/>
            <w:right w:val="none" w:sz="0" w:space="0" w:color="auto"/>
          </w:divBdr>
        </w:div>
        <w:div w:id="1352990786">
          <w:marLeft w:val="0"/>
          <w:marRight w:val="0"/>
          <w:marTop w:val="0"/>
          <w:marBottom w:val="0"/>
          <w:divBdr>
            <w:top w:val="none" w:sz="0" w:space="0" w:color="auto"/>
            <w:left w:val="none" w:sz="0" w:space="0" w:color="auto"/>
            <w:bottom w:val="none" w:sz="0" w:space="0" w:color="auto"/>
            <w:right w:val="none" w:sz="0" w:space="0" w:color="auto"/>
          </w:divBdr>
        </w:div>
        <w:div w:id="1355810021">
          <w:marLeft w:val="0"/>
          <w:marRight w:val="0"/>
          <w:marTop w:val="0"/>
          <w:marBottom w:val="0"/>
          <w:divBdr>
            <w:top w:val="none" w:sz="0" w:space="0" w:color="auto"/>
            <w:left w:val="none" w:sz="0" w:space="0" w:color="auto"/>
            <w:bottom w:val="none" w:sz="0" w:space="0" w:color="auto"/>
            <w:right w:val="none" w:sz="0" w:space="0" w:color="auto"/>
          </w:divBdr>
        </w:div>
        <w:div w:id="1447772350">
          <w:marLeft w:val="0"/>
          <w:marRight w:val="0"/>
          <w:marTop w:val="0"/>
          <w:marBottom w:val="0"/>
          <w:divBdr>
            <w:top w:val="none" w:sz="0" w:space="0" w:color="auto"/>
            <w:left w:val="none" w:sz="0" w:space="0" w:color="auto"/>
            <w:bottom w:val="none" w:sz="0" w:space="0" w:color="auto"/>
            <w:right w:val="none" w:sz="0" w:space="0" w:color="auto"/>
          </w:divBdr>
        </w:div>
        <w:div w:id="1453136110">
          <w:marLeft w:val="0"/>
          <w:marRight w:val="0"/>
          <w:marTop w:val="0"/>
          <w:marBottom w:val="0"/>
          <w:divBdr>
            <w:top w:val="none" w:sz="0" w:space="0" w:color="auto"/>
            <w:left w:val="none" w:sz="0" w:space="0" w:color="auto"/>
            <w:bottom w:val="none" w:sz="0" w:space="0" w:color="auto"/>
            <w:right w:val="none" w:sz="0" w:space="0" w:color="auto"/>
          </w:divBdr>
        </w:div>
        <w:div w:id="1454789510">
          <w:marLeft w:val="0"/>
          <w:marRight w:val="0"/>
          <w:marTop w:val="0"/>
          <w:marBottom w:val="0"/>
          <w:divBdr>
            <w:top w:val="none" w:sz="0" w:space="0" w:color="auto"/>
            <w:left w:val="none" w:sz="0" w:space="0" w:color="auto"/>
            <w:bottom w:val="none" w:sz="0" w:space="0" w:color="auto"/>
            <w:right w:val="none" w:sz="0" w:space="0" w:color="auto"/>
          </w:divBdr>
        </w:div>
        <w:div w:id="1484391543">
          <w:marLeft w:val="0"/>
          <w:marRight w:val="0"/>
          <w:marTop w:val="0"/>
          <w:marBottom w:val="0"/>
          <w:divBdr>
            <w:top w:val="none" w:sz="0" w:space="0" w:color="auto"/>
            <w:left w:val="none" w:sz="0" w:space="0" w:color="auto"/>
            <w:bottom w:val="none" w:sz="0" w:space="0" w:color="auto"/>
            <w:right w:val="none" w:sz="0" w:space="0" w:color="auto"/>
          </w:divBdr>
        </w:div>
        <w:div w:id="1491672737">
          <w:marLeft w:val="0"/>
          <w:marRight w:val="0"/>
          <w:marTop w:val="0"/>
          <w:marBottom w:val="0"/>
          <w:divBdr>
            <w:top w:val="none" w:sz="0" w:space="0" w:color="auto"/>
            <w:left w:val="none" w:sz="0" w:space="0" w:color="auto"/>
            <w:bottom w:val="none" w:sz="0" w:space="0" w:color="auto"/>
            <w:right w:val="none" w:sz="0" w:space="0" w:color="auto"/>
          </w:divBdr>
        </w:div>
        <w:div w:id="1517117482">
          <w:marLeft w:val="0"/>
          <w:marRight w:val="0"/>
          <w:marTop w:val="0"/>
          <w:marBottom w:val="0"/>
          <w:divBdr>
            <w:top w:val="none" w:sz="0" w:space="0" w:color="auto"/>
            <w:left w:val="none" w:sz="0" w:space="0" w:color="auto"/>
            <w:bottom w:val="none" w:sz="0" w:space="0" w:color="auto"/>
            <w:right w:val="none" w:sz="0" w:space="0" w:color="auto"/>
          </w:divBdr>
        </w:div>
        <w:div w:id="1526792641">
          <w:marLeft w:val="0"/>
          <w:marRight w:val="0"/>
          <w:marTop w:val="0"/>
          <w:marBottom w:val="0"/>
          <w:divBdr>
            <w:top w:val="none" w:sz="0" w:space="0" w:color="auto"/>
            <w:left w:val="none" w:sz="0" w:space="0" w:color="auto"/>
            <w:bottom w:val="none" w:sz="0" w:space="0" w:color="auto"/>
            <w:right w:val="none" w:sz="0" w:space="0" w:color="auto"/>
          </w:divBdr>
        </w:div>
        <w:div w:id="1541816134">
          <w:marLeft w:val="0"/>
          <w:marRight w:val="0"/>
          <w:marTop w:val="0"/>
          <w:marBottom w:val="0"/>
          <w:divBdr>
            <w:top w:val="none" w:sz="0" w:space="0" w:color="auto"/>
            <w:left w:val="none" w:sz="0" w:space="0" w:color="auto"/>
            <w:bottom w:val="none" w:sz="0" w:space="0" w:color="auto"/>
            <w:right w:val="none" w:sz="0" w:space="0" w:color="auto"/>
          </w:divBdr>
        </w:div>
        <w:div w:id="1551727928">
          <w:marLeft w:val="0"/>
          <w:marRight w:val="0"/>
          <w:marTop w:val="0"/>
          <w:marBottom w:val="0"/>
          <w:divBdr>
            <w:top w:val="none" w:sz="0" w:space="0" w:color="auto"/>
            <w:left w:val="none" w:sz="0" w:space="0" w:color="auto"/>
            <w:bottom w:val="none" w:sz="0" w:space="0" w:color="auto"/>
            <w:right w:val="none" w:sz="0" w:space="0" w:color="auto"/>
          </w:divBdr>
        </w:div>
        <w:div w:id="1559168186">
          <w:marLeft w:val="0"/>
          <w:marRight w:val="0"/>
          <w:marTop w:val="0"/>
          <w:marBottom w:val="0"/>
          <w:divBdr>
            <w:top w:val="none" w:sz="0" w:space="0" w:color="auto"/>
            <w:left w:val="none" w:sz="0" w:space="0" w:color="auto"/>
            <w:bottom w:val="none" w:sz="0" w:space="0" w:color="auto"/>
            <w:right w:val="none" w:sz="0" w:space="0" w:color="auto"/>
          </w:divBdr>
        </w:div>
        <w:div w:id="1595817545">
          <w:marLeft w:val="0"/>
          <w:marRight w:val="0"/>
          <w:marTop w:val="0"/>
          <w:marBottom w:val="0"/>
          <w:divBdr>
            <w:top w:val="none" w:sz="0" w:space="0" w:color="auto"/>
            <w:left w:val="none" w:sz="0" w:space="0" w:color="auto"/>
            <w:bottom w:val="none" w:sz="0" w:space="0" w:color="auto"/>
            <w:right w:val="none" w:sz="0" w:space="0" w:color="auto"/>
          </w:divBdr>
        </w:div>
        <w:div w:id="1662612360">
          <w:marLeft w:val="0"/>
          <w:marRight w:val="0"/>
          <w:marTop w:val="0"/>
          <w:marBottom w:val="0"/>
          <w:divBdr>
            <w:top w:val="none" w:sz="0" w:space="0" w:color="auto"/>
            <w:left w:val="none" w:sz="0" w:space="0" w:color="auto"/>
            <w:bottom w:val="none" w:sz="0" w:space="0" w:color="auto"/>
            <w:right w:val="none" w:sz="0" w:space="0" w:color="auto"/>
          </w:divBdr>
        </w:div>
        <w:div w:id="1717312299">
          <w:marLeft w:val="0"/>
          <w:marRight w:val="0"/>
          <w:marTop w:val="0"/>
          <w:marBottom w:val="0"/>
          <w:divBdr>
            <w:top w:val="none" w:sz="0" w:space="0" w:color="auto"/>
            <w:left w:val="none" w:sz="0" w:space="0" w:color="auto"/>
            <w:bottom w:val="none" w:sz="0" w:space="0" w:color="auto"/>
            <w:right w:val="none" w:sz="0" w:space="0" w:color="auto"/>
          </w:divBdr>
        </w:div>
        <w:div w:id="1724864039">
          <w:marLeft w:val="0"/>
          <w:marRight w:val="0"/>
          <w:marTop w:val="0"/>
          <w:marBottom w:val="0"/>
          <w:divBdr>
            <w:top w:val="none" w:sz="0" w:space="0" w:color="auto"/>
            <w:left w:val="none" w:sz="0" w:space="0" w:color="auto"/>
            <w:bottom w:val="none" w:sz="0" w:space="0" w:color="auto"/>
            <w:right w:val="none" w:sz="0" w:space="0" w:color="auto"/>
          </w:divBdr>
        </w:div>
        <w:div w:id="1814641099">
          <w:marLeft w:val="0"/>
          <w:marRight w:val="0"/>
          <w:marTop w:val="0"/>
          <w:marBottom w:val="0"/>
          <w:divBdr>
            <w:top w:val="none" w:sz="0" w:space="0" w:color="auto"/>
            <w:left w:val="none" w:sz="0" w:space="0" w:color="auto"/>
            <w:bottom w:val="none" w:sz="0" w:space="0" w:color="auto"/>
            <w:right w:val="none" w:sz="0" w:space="0" w:color="auto"/>
          </w:divBdr>
        </w:div>
        <w:div w:id="1823112067">
          <w:marLeft w:val="0"/>
          <w:marRight w:val="0"/>
          <w:marTop w:val="0"/>
          <w:marBottom w:val="0"/>
          <w:divBdr>
            <w:top w:val="none" w:sz="0" w:space="0" w:color="auto"/>
            <w:left w:val="none" w:sz="0" w:space="0" w:color="auto"/>
            <w:bottom w:val="none" w:sz="0" w:space="0" w:color="auto"/>
            <w:right w:val="none" w:sz="0" w:space="0" w:color="auto"/>
          </w:divBdr>
        </w:div>
        <w:div w:id="1896505024">
          <w:marLeft w:val="0"/>
          <w:marRight w:val="0"/>
          <w:marTop w:val="0"/>
          <w:marBottom w:val="0"/>
          <w:divBdr>
            <w:top w:val="none" w:sz="0" w:space="0" w:color="auto"/>
            <w:left w:val="none" w:sz="0" w:space="0" w:color="auto"/>
            <w:bottom w:val="none" w:sz="0" w:space="0" w:color="auto"/>
            <w:right w:val="none" w:sz="0" w:space="0" w:color="auto"/>
          </w:divBdr>
        </w:div>
        <w:div w:id="1942181553">
          <w:marLeft w:val="0"/>
          <w:marRight w:val="0"/>
          <w:marTop w:val="0"/>
          <w:marBottom w:val="0"/>
          <w:divBdr>
            <w:top w:val="none" w:sz="0" w:space="0" w:color="auto"/>
            <w:left w:val="none" w:sz="0" w:space="0" w:color="auto"/>
            <w:bottom w:val="none" w:sz="0" w:space="0" w:color="auto"/>
            <w:right w:val="none" w:sz="0" w:space="0" w:color="auto"/>
          </w:divBdr>
        </w:div>
        <w:div w:id="1980649254">
          <w:marLeft w:val="0"/>
          <w:marRight w:val="0"/>
          <w:marTop w:val="0"/>
          <w:marBottom w:val="0"/>
          <w:divBdr>
            <w:top w:val="none" w:sz="0" w:space="0" w:color="auto"/>
            <w:left w:val="none" w:sz="0" w:space="0" w:color="auto"/>
            <w:bottom w:val="none" w:sz="0" w:space="0" w:color="auto"/>
            <w:right w:val="none" w:sz="0" w:space="0" w:color="auto"/>
          </w:divBdr>
        </w:div>
        <w:div w:id="2032489911">
          <w:marLeft w:val="0"/>
          <w:marRight w:val="0"/>
          <w:marTop w:val="0"/>
          <w:marBottom w:val="0"/>
          <w:divBdr>
            <w:top w:val="none" w:sz="0" w:space="0" w:color="auto"/>
            <w:left w:val="none" w:sz="0" w:space="0" w:color="auto"/>
            <w:bottom w:val="none" w:sz="0" w:space="0" w:color="auto"/>
            <w:right w:val="none" w:sz="0" w:space="0" w:color="auto"/>
          </w:divBdr>
        </w:div>
        <w:div w:id="2111511900">
          <w:marLeft w:val="0"/>
          <w:marRight w:val="0"/>
          <w:marTop w:val="0"/>
          <w:marBottom w:val="0"/>
          <w:divBdr>
            <w:top w:val="none" w:sz="0" w:space="0" w:color="auto"/>
            <w:left w:val="none" w:sz="0" w:space="0" w:color="auto"/>
            <w:bottom w:val="none" w:sz="0" w:space="0" w:color="auto"/>
            <w:right w:val="none" w:sz="0" w:space="0" w:color="auto"/>
          </w:divBdr>
        </w:div>
        <w:div w:id="2118671631">
          <w:marLeft w:val="0"/>
          <w:marRight w:val="0"/>
          <w:marTop w:val="0"/>
          <w:marBottom w:val="0"/>
          <w:divBdr>
            <w:top w:val="none" w:sz="0" w:space="0" w:color="auto"/>
            <w:left w:val="none" w:sz="0" w:space="0" w:color="auto"/>
            <w:bottom w:val="none" w:sz="0" w:space="0" w:color="auto"/>
            <w:right w:val="none" w:sz="0" w:space="0" w:color="auto"/>
          </w:divBdr>
        </w:div>
      </w:divsChild>
    </w:div>
    <w:div w:id="1741564372">
      <w:bodyDiv w:val="1"/>
      <w:marLeft w:val="0"/>
      <w:marRight w:val="0"/>
      <w:marTop w:val="0"/>
      <w:marBottom w:val="0"/>
      <w:divBdr>
        <w:top w:val="none" w:sz="0" w:space="0" w:color="auto"/>
        <w:left w:val="none" w:sz="0" w:space="0" w:color="auto"/>
        <w:bottom w:val="none" w:sz="0" w:space="0" w:color="auto"/>
        <w:right w:val="none" w:sz="0" w:space="0" w:color="auto"/>
      </w:divBdr>
      <w:divsChild>
        <w:div w:id="2014213291">
          <w:marLeft w:val="0"/>
          <w:marRight w:val="0"/>
          <w:marTop w:val="0"/>
          <w:marBottom w:val="0"/>
          <w:divBdr>
            <w:top w:val="none" w:sz="0" w:space="0" w:color="auto"/>
            <w:left w:val="none" w:sz="0" w:space="0" w:color="auto"/>
            <w:bottom w:val="none" w:sz="0" w:space="0" w:color="auto"/>
            <w:right w:val="none" w:sz="0" w:space="0" w:color="auto"/>
          </w:divBdr>
          <w:divsChild>
            <w:div w:id="68486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31054">
      <w:bodyDiv w:val="1"/>
      <w:marLeft w:val="0"/>
      <w:marRight w:val="0"/>
      <w:marTop w:val="0"/>
      <w:marBottom w:val="0"/>
      <w:divBdr>
        <w:top w:val="none" w:sz="0" w:space="0" w:color="auto"/>
        <w:left w:val="none" w:sz="0" w:space="0" w:color="auto"/>
        <w:bottom w:val="none" w:sz="0" w:space="0" w:color="auto"/>
        <w:right w:val="none" w:sz="0" w:space="0" w:color="auto"/>
      </w:divBdr>
    </w:div>
    <w:div w:id="1799180390">
      <w:bodyDiv w:val="1"/>
      <w:marLeft w:val="0"/>
      <w:marRight w:val="0"/>
      <w:marTop w:val="0"/>
      <w:marBottom w:val="0"/>
      <w:divBdr>
        <w:top w:val="none" w:sz="0" w:space="0" w:color="auto"/>
        <w:left w:val="none" w:sz="0" w:space="0" w:color="auto"/>
        <w:bottom w:val="none" w:sz="0" w:space="0" w:color="auto"/>
        <w:right w:val="none" w:sz="0" w:space="0" w:color="auto"/>
      </w:divBdr>
      <w:divsChild>
        <w:div w:id="531386562">
          <w:marLeft w:val="0"/>
          <w:marRight w:val="0"/>
          <w:marTop w:val="0"/>
          <w:marBottom w:val="0"/>
          <w:divBdr>
            <w:top w:val="none" w:sz="0" w:space="0" w:color="auto"/>
            <w:left w:val="none" w:sz="0" w:space="0" w:color="auto"/>
            <w:bottom w:val="none" w:sz="0" w:space="0" w:color="auto"/>
            <w:right w:val="none" w:sz="0" w:space="0" w:color="auto"/>
          </w:divBdr>
        </w:div>
        <w:div w:id="970090116">
          <w:marLeft w:val="0"/>
          <w:marRight w:val="0"/>
          <w:marTop w:val="0"/>
          <w:marBottom w:val="0"/>
          <w:divBdr>
            <w:top w:val="none" w:sz="0" w:space="0" w:color="auto"/>
            <w:left w:val="none" w:sz="0" w:space="0" w:color="auto"/>
            <w:bottom w:val="none" w:sz="0" w:space="0" w:color="auto"/>
            <w:right w:val="none" w:sz="0" w:space="0" w:color="auto"/>
          </w:divBdr>
        </w:div>
        <w:div w:id="1244293965">
          <w:marLeft w:val="0"/>
          <w:marRight w:val="0"/>
          <w:marTop w:val="0"/>
          <w:marBottom w:val="0"/>
          <w:divBdr>
            <w:top w:val="none" w:sz="0" w:space="0" w:color="auto"/>
            <w:left w:val="none" w:sz="0" w:space="0" w:color="auto"/>
            <w:bottom w:val="none" w:sz="0" w:space="0" w:color="auto"/>
            <w:right w:val="none" w:sz="0" w:space="0" w:color="auto"/>
          </w:divBdr>
        </w:div>
        <w:div w:id="1635214568">
          <w:marLeft w:val="0"/>
          <w:marRight w:val="0"/>
          <w:marTop w:val="0"/>
          <w:marBottom w:val="0"/>
          <w:divBdr>
            <w:top w:val="none" w:sz="0" w:space="0" w:color="auto"/>
            <w:left w:val="none" w:sz="0" w:space="0" w:color="auto"/>
            <w:bottom w:val="none" w:sz="0" w:space="0" w:color="auto"/>
            <w:right w:val="none" w:sz="0" w:space="0" w:color="auto"/>
          </w:divBdr>
        </w:div>
      </w:divsChild>
    </w:div>
    <w:div w:id="1802310048">
      <w:bodyDiv w:val="1"/>
      <w:marLeft w:val="0"/>
      <w:marRight w:val="0"/>
      <w:marTop w:val="0"/>
      <w:marBottom w:val="0"/>
      <w:divBdr>
        <w:top w:val="none" w:sz="0" w:space="0" w:color="auto"/>
        <w:left w:val="none" w:sz="0" w:space="0" w:color="auto"/>
        <w:bottom w:val="none" w:sz="0" w:space="0" w:color="auto"/>
        <w:right w:val="none" w:sz="0" w:space="0" w:color="auto"/>
      </w:divBdr>
      <w:divsChild>
        <w:div w:id="397634921">
          <w:marLeft w:val="0"/>
          <w:marRight w:val="0"/>
          <w:marTop w:val="0"/>
          <w:marBottom w:val="0"/>
          <w:divBdr>
            <w:top w:val="none" w:sz="0" w:space="0" w:color="auto"/>
            <w:left w:val="none" w:sz="0" w:space="0" w:color="auto"/>
            <w:bottom w:val="none" w:sz="0" w:space="0" w:color="auto"/>
            <w:right w:val="none" w:sz="0" w:space="0" w:color="auto"/>
          </w:divBdr>
          <w:divsChild>
            <w:div w:id="58600572">
              <w:marLeft w:val="0"/>
              <w:marRight w:val="0"/>
              <w:marTop w:val="0"/>
              <w:marBottom w:val="0"/>
              <w:divBdr>
                <w:top w:val="none" w:sz="0" w:space="0" w:color="auto"/>
                <w:left w:val="none" w:sz="0" w:space="0" w:color="auto"/>
                <w:bottom w:val="none" w:sz="0" w:space="0" w:color="auto"/>
                <w:right w:val="none" w:sz="0" w:space="0" w:color="auto"/>
              </w:divBdr>
            </w:div>
            <w:div w:id="520898690">
              <w:marLeft w:val="0"/>
              <w:marRight w:val="0"/>
              <w:marTop w:val="0"/>
              <w:marBottom w:val="0"/>
              <w:divBdr>
                <w:top w:val="none" w:sz="0" w:space="0" w:color="auto"/>
                <w:left w:val="none" w:sz="0" w:space="0" w:color="auto"/>
                <w:bottom w:val="none" w:sz="0" w:space="0" w:color="auto"/>
                <w:right w:val="none" w:sz="0" w:space="0" w:color="auto"/>
              </w:divBdr>
            </w:div>
            <w:div w:id="799373901">
              <w:marLeft w:val="0"/>
              <w:marRight w:val="0"/>
              <w:marTop w:val="0"/>
              <w:marBottom w:val="0"/>
              <w:divBdr>
                <w:top w:val="none" w:sz="0" w:space="0" w:color="auto"/>
                <w:left w:val="none" w:sz="0" w:space="0" w:color="auto"/>
                <w:bottom w:val="none" w:sz="0" w:space="0" w:color="auto"/>
                <w:right w:val="none" w:sz="0" w:space="0" w:color="auto"/>
              </w:divBdr>
            </w:div>
            <w:div w:id="199205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661904">
      <w:bodyDiv w:val="1"/>
      <w:marLeft w:val="0"/>
      <w:marRight w:val="0"/>
      <w:marTop w:val="0"/>
      <w:marBottom w:val="0"/>
      <w:divBdr>
        <w:top w:val="none" w:sz="0" w:space="0" w:color="auto"/>
        <w:left w:val="none" w:sz="0" w:space="0" w:color="auto"/>
        <w:bottom w:val="none" w:sz="0" w:space="0" w:color="auto"/>
        <w:right w:val="none" w:sz="0" w:space="0" w:color="auto"/>
      </w:divBdr>
      <w:divsChild>
        <w:div w:id="1200269">
          <w:marLeft w:val="0"/>
          <w:marRight w:val="0"/>
          <w:marTop w:val="0"/>
          <w:marBottom w:val="0"/>
          <w:divBdr>
            <w:top w:val="none" w:sz="0" w:space="0" w:color="auto"/>
            <w:left w:val="none" w:sz="0" w:space="0" w:color="auto"/>
            <w:bottom w:val="none" w:sz="0" w:space="0" w:color="auto"/>
            <w:right w:val="none" w:sz="0" w:space="0" w:color="auto"/>
          </w:divBdr>
        </w:div>
        <w:div w:id="9570430">
          <w:marLeft w:val="0"/>
          <w:marRight w:val="0"/>
          <w:marTop w:val="0"/>
          <w:marBottom w:val="0"/>
          <w:divBdr>
            <w:top w:val="none" w:sz="0" w:space="0" w:color="auto"/>
            <w:left w:val="none" w:sz="0" w:space="0" w:color="auto"/>
            <w:bottom w:val="none" w:sz="0" w:space="0" w:color="auto"/>
            <w:right w:val="none" w:sz="0" w:space="0" w:color="auto"/>
          </w:divBdr>
        </w:div>
        <w:div w:id="14696009">
          <w:marLeft w:val="0"/>
          <w:marRight w:val="0"/>
          <w:marTop w:val="0"/>
          <w:marBottom w:val="0"/>
          <w:divBdr>
            <w:top w:val="none" w:sz="0" w:space="0" w:color="auto"/>
            <w:left w:val="none" w:sz="0" w:space="0" w:color="auto"/>
            <w:bottom w:val="none" w:sz="0" w:space="0" w:color="auto"/>
            <w:right w:val="none" w:sz="0" w:space="0" w:color="auto"/>
          </w:divBdr>
        </w:div>
        <w:div w:id="15694440">
          <w:marLeft w:val="0"/>
          <w:marRight w:val="0"/>
          <w:marTop w:val="0"/>
          <w:marBottom w:val="0"/>
          <w:divBdr>
            <w:top w:val="none" w:sz="0" w:space="0" w:color="auto"/>
            <w:left w:val="none" w:sz="0" w:space="0" w:color="auto"/>
            <w:bottom w:val="none" w:sz="0" w:space="0" w:color="auto"/>
            <w:right w:val="none" w:sz="0" w:space="0" w:color="auto"/>
          </w:divBdr>
        </w:div>
        <w:div w:id="18508882">
          <w:marLeft w:val="0"/>
          <w:marRight w:val="0"/>
          <w:marTop w:val="0"/>
          <w:marBottom w:val="0"/>
          <w:divBdr>
            <w:top w:val="none" w:sz="0" w:space="0" w:color="auto"/>
            <w:left w:val="none" w:sz="0" w:space="0" w:color="auto"/>
            <w:bottom w:val="none" w:sz="0" w:space="0" w:color="auto"/>
            <w:right w:val="none" w:sz="0" w:space="0" w:color="auto"/>
          </w:divBdr>
        </w:div>
        <w:div w:id="39863653">
          <w:marLeft w:val="0"/>
          <w:marRight w:val="0"/>
          <w:marTop w:val="0"/>
          <w:marBottom w:val="0"/>
          <w:divBdr>
            <w:top w:val="none" w:sz="0" w:space="0" w:color="auto"/>
            <w:left w:val="none" w:sz="0" w:space="0" w:color="auto"/>
            <w:bottom w:val="none" w:sz="0" w:space="0" w:color="auto"/>
            <w:right w:val="none" w:sz="0" w:space="0" w:color="auto"/>
          </w:divBdr>
        </w:div>
        <w:div w:id="53041395">
          <w:marLeft w:val="0"/>
          <w:marRight w:val="0"/>
          <w:marTop w:val="0"/>
          <w:marBottom w:val="0"/>
          <w:divBdr>
            <w:top w:val="none" w:sz="0" w:space="0" w:color="auto"/>
            <w:left w:val="none" w:sz="0" w:space="0" w:color="auto"/>
            <w:bottom w:val="none" w:sz="0" w:space="0" w:color="auto"/>
            <w:right w:val="none" w:sz="0" w:space="0" w:color="auto"/>
          </w:divBdr>
        </w:div>
        <w:div w:id="70006526">
          <w:marLeft w:val="0"/>
          <w:marRight w:val="0"/>
          <w:marTop w:val="0"/>
          <w:marBottom w:val="0"/>
          <w:divBdr>
            <w:top w:val="none" w:sz="0" w:space="0" w:color="auto"/>
            <w:left w:val="none" w:sz="0" w:space="0" w:color="auto"/>
            <w:bottom w:val="none" w:sz="0" w:space="0" w:color="auto"/>
            <w:right w:val="none" w:sz="0" w:space="0" w:color="auto"/>
          </w:divBdr>
        </w:div>
        <w:div w:id="75903739">
          <w:marLeft w:val="0"/>
          <w:marRight w:val="0"/>
          <w:marTop w:val="0"/>
          <w:marBottom w:val="0"/>
          <w:divBdr>
            <w:top w:val="none" w:sz="0" w:space="0" w:color="auto"/>
            <w:left w:val="none" w:sz="0" w:space="0" w:color="auto"/>
            <w:bottom w:val="none" w:sz="0" w:space="0" w:color="auto"/>
            <w:right w:val="none" w:sz="0" w:space="0" w:color="auto"/>
          </w:divBdr>
        </w:div>
        <w:div w:id="78062459">
          <w:marLeft w:val="0"/>
          <w:marRight w:val="0"/>
          <w:marTop w:val="0"/>
          <w:marBottom w:val="0"/>
          <w:divBdr>
            <w:top w:val="none" w:sz="0" w:space="0" w:color="auto"/>
            <w:left w:val="none" w:sz="0" w:space="0" w:color="auto"/>
            <w:bottom w:val="none" w:sz="0" w:space="0" w:color="auto"/>
            <w:right w:val="none" w:sz="0" w:space="0" w:color="auto"/>
          </w:divBdr>
        </w:div>
        <w:div w:id="80686817">
          <w:marLeft w:val="0"/>
          <w:marRight w:val="0"/>
          <w:marTop w:val="0"/>
          <w:marBottom w:val="0"/>
          <w:divBdr>
            <w:top w:val="none" w:sz="0" w:space="0" w:color="auto"/>
            <w:left w:val="none" w:sz="0" w:space="0" w:color="auto"/>
            <w:bottom w:val="none" w:sz="0" w:space="0" w:color="auto"/>
            <w:right w:val="none" w:sz="0" w:space="0" w:color="auto"/>
          </w:divBdr>
        </w:div>
        <w:div w:id="80760702">
          <w:marLeft w:val="0"/>
          <w:marRight w:val="0"/>
          <w:marTop w:val="0"/>
          <w:marBottom w:val="0"/>
          <w:divBdr>
            <w:top w:val="none" w:sz="0" w:space="0" w:color="auto"/>
            <w:left w:val="none" w:sz="0" w:space="0" w:color="auto"/>
            <w:bottom w:val="none" w:sz="0" w:space="0" w:color="auto"/>
            <w:right w:val="none" w:sz="0" w:space="0" w:color="auto"/>
          </w:divBdr>
        </w:div>
        <w:div w:id="87701737">
          <w:marLeft w:val="0"/>
          <w:marRight w:val="0"/>
          <w:marTop w:val="0"/>
          <w:marBottom w:val="0"/>
          <w:divBdr>
            <w:top w:val="none" w:sz="0" w:space="0" w:color="auto"/>
            <w:left w:val="none" w:sz="0" w:space="0" w:color="auto"/>
            <w:bottom w:val="none" w:sz="0" w:space="0" w:color="auto"/>
            <w:right w:val="none" w:sz="0" w:space="0" w:color="auto"/>
          </w:divBdr>
        </w:div>
        <w:div w:id="97875513">
          <w:marLeft w:val="0"/>
          <w:marRight w:val="0"/>
          <w:marTop w:val="0"/>
          <w:marBottom w:val="0"/>
          <w:divBdr>
            <w:top w:val="none" w:sz="0" w:space="0" w:color="auto"/>
            <w:left w:val="none" w:sz="0" w:space="0" w:color="auto"/>
            <w:bottom w:val="none" w:sz="0" w:space="0" w:color="auto"/>
            <w:right w:val="none" w:sz="0" w:space="0" w:color="auto"/>
          </w:divBdr>
        </w:div>
        <w:div w:id="98185305">
          <w:marLeft w:val="0"/>
          <w:marRight w:val="0"/>
          <w:marTop w:val="0"/>
          <w:marBottom w:val="0"/>
          <w:divBdr>
            <w:top w:val="none" w:sz="0" w:space="0" w:color="auto"/>
            <w:left w:val="none" w:sz="0" w:space="0" w:color="auto"/>
            <w:bottom w:val="none" w:sz="0" w:space="0" w:color="auto"/>
            <w:right w:val="none" w:sz="0" w:space="0" w:color="auto"/>
          </w:divBdr>
        </w:div>
        <w:div w:id="99031217">
          <w:marLeft w:val="0"/>
          <w:marRight w:val="0"/>
          <w:marTop w:val="0"/>
          <w:marBottom w:val="0"/>
          <w:divBdr>
            <w:top w:val="none" w:sz="0" w:space="0" w:color="auto"/>
            <w:left w:val="none" w:sz="0" w:space="0" w:color="auto"/>
            <w:bottom w:val="none" w:sz="0" w:space="0" w:color="auto"/>
            <w:right w:val="none" w:sz="0" w:space="0" w:color="auto"/>
          </w:divBdr>
        </w:div>
        <w:div w:id="107241395">
          <w:marLeft w:val="0"/>
          <w:marRight w:val="0"/>
          <w:marTop w:val="0"/>
          <w:marBottom w:val="0"/>
          <w:divBdr>
            <w:top w:val="none" w:sz="0" w:space="0" w:color="auto"/>
            <w:left w:val="none" w:sz="0" w:space="0" w:color="auto"/>
            <w:bottom w:val="none" w:sz="0" w:space="0" w:color="auto"/>
            <w:right w:val="none" w:sz="0" w:space="0" w:color="auto"/>
          </w:divBdr>
        </w:div>
        <w:div w:id="118036628">
          <w:marLeft w:val="0"/>
          <w:marRight w:val="0"/>
          <w:marTop w:val="0"/>
          <w:marBottom w:val="0"/>
          <w:divBdr>
            <w:top w:val="none" w:sz="0" w:space="0" w:color="auto"/>
            <w:left w:val="none" w:sz="0" w:space="0" w:color="auto"/>
            <w:bottom w:val="none" w:sz="0" w:space="0" w:color="auto"/>
            <w:right w:val="none" w:sz="0" w:space="0" w:color="auto"/>
          </w:divBdr>
        </w:div>
        <w:div w:id="135875973">
          <w:marLeft w:val="0"/>
          <w:marRight w:val="0"/>
          <w:marTop w:val="0"/>
          <w:marBottom w:val="0"/>
          <w:divBdr>
            <w:top w:val="none" w:sz="0" w:space="0" w:color="auto"/>
            <w:left w:val="none" w:sz="0" w:space="0" w:color="auto"/>
            <w:bottom w:val="none" w:sz="0" w:space="0" w:color="auto"/>
            <w:right w:val="none" w:sz="0" w:space="0" w:color="auto"/>
          </w:divBdr>
        </w:div>
        <w:div w:id="136143469">
          <w:marLeft w:val="0"/>
          <w:marRight w:val="0"/>
          <w:marTop w:val="0"/>
          <w:marBottom w:val="0"/>
          <w:divBdr>
            <w:top w:val="none" w:sz="0" w:space="0" w:color="auto"/>
            <w:left w:val="none" w:sz="0" w:space="0" w:color="auto"/>
            <w:bottom w:val="none" w:sz="0" w:space="0" w:color="auto"/>
            <w:right w:val="none" w:sz="0" w:space="0" w:color="auto"/>
          </w:divBdr>
        </w:div>
        <w:div w:id="145560184">
          <w:marLeft w:val="0"/>
          <w:marRight w:val="0"/>
          <w:marTop w:val="0"/>
          <w:marBottom w:val="0"/>
          <w:divBdr>
            <w:top w:val="none" w:sz="0" w:space="0" w:color="auto"/>
            <w:left w:val="none" w:sz="0" w:space="0" w:color="auto"/>
            <w:bottom w:val="none" w:sz="0" w:space="0" w:color="auto"/>
            <w:right w:val="none" w:sz="0" w:space="0" w:color="auto"/>
          </w:divBdr>
        </w:div>
        <w:div w:id="153106591">
          <w:marLeft w:val="0"/>
          <w:marRight w:val="0"/>
          <w:marTop w:val="0"/>
          <w:marBottom w:val="0"/>
          <w:divBdr>
            <w:top w:val="none" w:sz="0" w:space="0" w:color="auto"/>
            <w:left w:val="none" w:sz="0" w:space="0" w:color="auto"/>
            <w:bottom w:val="none" w:sz="0" w:space="0" w:color="auto"/>
            <w:right w:val="none" w:sz="0" w:space="0" w:color="auto"/>
          </w:divBdr>
        </w:div>
        <w:div w:id="154298614">
          <w:marLeft w:val="0"/>
          <w:marRight w:val="0"/>
          <w:marTop w:val="0"/>
          <w:marBottom w:val="0"/>
          <w:divBdr>
            <w:top w:val="none" w:sz="0" w:space="0" w:color="auto"/>
            <w:left w:val="none" w:sz="0" w:space="0" w:color="auto"/>
            <w:bottom w:val="none" w:sz="0" w:space="0" w:color="auto"/>
            <w:right w:val="none" w:sz="0" w:space="0" w:color="auto"/>
          </w:divBdr>
        </w:div>
        <w:div w:id="177237329">
          <w:marLeft w:val="0"/>
          <w:marRight w:val="0"/>
          <w:marTop w:val="0"/>
          <w:marBottom w:val="0"/>
          <w:divBdr>
            <w:top w:val="none" w:sz="0" w:space="0" w:color="auto"/>
            <w:left w:val="none" w:sz="0" w:space="0" w:color="auto"/>
            <w:bottom w:val="none" w:sz="0" w:space="0" w:color="auto"/>
            <w:right w:val="none" w:sz="0" w:space="0" w:color="auto"/>
          </w:divBdr>
        </w:div>
        <w:div w:id="179392981">
          <w:marLeft w:val="0"/>
          <w:marRight w:val="0"/>
          <w:marTop w:val="0"/>
          <w:marBottom w:val="0"/>
          <w:divBdr>
            <w:top w:val="none" w:sz="0" w:space="0" w:color="auto"/>
            <w:left w:val="none" w:sz="0" w:space="0" w:color="auto"/>
            <w:bottom w:val="none" w:sz="0" w:space="0" w:color="auto"/>
            <w:right w:val="none" w:sz="0" w:space="0" w:color="auto"/>
          </w:divBdr>
        </w:div>
        <w:div w:id="185102008">
          <w:marLeft w:val="0"/>
          <w:marRight w:val="0"/>
          <w:marTop w:val="0"/>
          <w:marBottom w:val="0"/>
          <w:divBdr>
            <w:top w:val="none" w:sz="0" w:space="0" w:color="auto"/>
            <w:left w:val="none" w:sz="0" w:space="0" w:color="auto"/>
            <w:bottom w:val="none" w:sz="0" w:space="0" w:color="auto"/>
            <w:right w:val="none" w:sz="0" w:space="0" w:color="auto"/>
          </w:divBdr>
        </w:div>
        <w:div w:id="187530528">
          <w:marLeft w:val="0"/>
          <w:marRight w:val="0"/>
          <w:marTop w:val="0"/>
          <w:marBottom w:val="0"/>
          <w:divBdr>
            <w:top w:val="none" w:sz="0" w:space="0" w:color="auto"/>
            <w:left w:val="none" w:sz="0" w:space="0" w:color="auto"/>
            <w:bottom w:val="none" w:sz="0" w:space="0" w:color="auto"/>
            <w:right w:val="none" w:sz="0" w:space="0" w:color="auto"/>
          </w:divBdr>
        </w:div>
        <w:div w:id="191769711">
          <w:marLeft w:val="0"/>
          <w:marRight w:val="0"/>
          <w:marTop w:val="0"/>
          <w:marBottom w:val="0"/>
          <w:divBdr>
            <w:top w:val="none" w:sz="0" w:space="0" w:color="auto"/>
            <w:left w:val="none" w:sz="0" w:space="0" w:color="auto"/>
            <w:bottom w:val="none" w:sz="0" w:space="0" w:color="auto"/>
            <w:right w:val="none" w:sz="0" w:space="0" w:color="auto"/>
          </w:divBdr>
        </w:div>
        <w:div w:id="194343805">
          <w:marLeft w:val="0"/>
          <w:marRight w:val="0"/>
          <w:marTop w:val="0"/>
          <w:marBottom w:val="0"/>
          <w:divBdr>
            <w:top w:val="none" w:sz="0" w:space="0" w:color="auto"/>
            <w:left w:val="none" w:sz="0" w:space="0" w:color="auto"/>
            <w:bottom w:val="none" w:sz="0" w:space="0" w:color="auto"/>
            <w:right w:val="none" w:sz="0" w:space="0" w:color="auto"/>
          </w:divBdr>
        </w:div>
        <w:div w:id="202985886">
          <w:marLeft w:val="0"/>
          <w:marRight w:val="0"/>
          <w:marTop w:val="0"/>
          <w:marBottom w:val="0"/>
          <w:divBdr>
            <w:top w:val="none" w:sz="0" w:space="0" w:color="auto"/>
            <w:left w:val="none" w:sz="0" w:space="0" w:color="auto"/>
            <w:bottom w:val="none" w:sz="0" w:space="0" w:color="auto"/>
            <w:right w:val="none" w:sz="0" w:space="0" w:color="auto"/>
          </w:divBdr>
        </w:div>
        <w:div w:id="206458570">
          <w:marLeft w:val="0"/>
          <w:marRight w:val="0"/>
          <w:marTop w:val="0"/>
          <w:marBottom w:val="0"/>
          <w:divBdr>
            <w:top w:val="none" w:sz="0" w:space="0" w:color="auto"/>
            <w:left w:val="none" w:sz="0" w:space="0" w:color="auto"/>
            <w:bottom w:val="none" w:sz="0" w:space="0" w:color="auto"/>
            <w:right w:val="none" w:sz="0" w:space="0" w:color="auto"/>
          </w:divBdr>
        </w:div>
        <w:div w:id="252202328">
          <w:marLeft w:val="0"/>
          <w:marRight w:val="0"/>
          <w:marTop w:val="0"/>
          <w:marBottom w:val="0"/>
          <w:divBdr>
            <w:top w:val="none" w:sz="0" w:space="0" w:color="auto"/>
            <w:left w:val="none" w:sz="0" w:space="0" w:color="auto"/>
            <w:bottom w:val="none" w:sz="0" w:space="0" w:color="auto"/>
            <w:right w:val="none" w:sz="0" w:space="0" w:color="auto"/>
          </w:divBdr>
        </w:div>
        <w:div w:id="260333562">
          <w:marLeft w:val="0"/>
          <w:marRight w:val="0"/>
          <w:marTop w:val="0"/>
          <w:marBottom w:val="0"/>
          <w:divBdr>
            <w:top w:val="none" w:sz="0" w:space="0" w:color="auto"/>
            <w:left w:val="none" w:sz="0" w:space="0" w:color="auto"/>
            <w:bottom w:val="none" w:sz="0" w:space="0" w:color="auto"/>
            <w:right w:val="none" w:sz="0" w:space="0" w:color="auto"/>
          </w:divBdr>
        </w:div>
        <w:div w:id="260339054">
          <w:marLeft w:val="0"/>
          <w:marRight w:val="0"/>
          <w:marTop w:val="0"/>
          <w:marBottom w:val="0"/>
          <w:divBdr>
            <w:top w:val="none" w:sz="0" w:space="0" w:color="auto"/>
            <w:left w:val="none" w:sz="0" w:space="0" w:color="auto"/>
            <w:bottom w:val="none" w:sz="0" w:space="0" w:color="auto"/>
            <w:right w:val="none" w:sz="0" w:space="0" w:color="auto"/>
          </w:divBdr>
        </w:div>
        <w:div w:id="268977634">
          <w:marLeft w:val="0"/>
          <w:marRight w:val="0"/>
          <w:marTop w:val="0"/>
          <w:marBottom w:val="0"/>
          <w:divBdr>
            <w:top w:val="none" w:sz="0" w:space="0" w:color="auto"/>
            <w:left w:val="none" w:sz="0" w:space="0" w:color="auto"/>
            <w:bottom w:val="none" w:sz="0" w:space="0" w:color="auto"/>
            <w:right w:val="none" w:sz="0" w:space="0" w:color="auto"/>
          </w:divBdr>
        </w:div>
        <w:div w:id="272639117">
          <w:marLeft w:val="0"/>
          <w:marRight w:val="0"/>
          <w:marTop w:val="0"/>
          <w:marBottom w:val="0"/>
          <w:divBdr>
            <w:top w:val="none" w:sz="0" w:space="0" w:color="auto"/>
            <w:left w:val="none" w:sz="0" w:space="0" w:color="auto"/>
            <w:bottom w:val="none" w:sz="0" w:space="0" w:color="auto"/>
            <w:right w:val="none" w:sz="0" w:space="0" w:color="auto"/>
          </w:divBdr>
        </w:div>
        <w:div w:id="278223889">
          <w:marLeft w:val="0"/>
          <w:marRight w:val="0"/>
          <w:marTop w:val="0"/>
          <w:marBottom w:val="0"/>
          <w:divBdr>
            <w:top w:val="none" w:sz="0" w:space="0" w:color="auto"/>
            <w:left w:val="none" w:sz="0" w:space="0" w:color="auto"/>
            <w:bottom w:val="none" w:sz="0" w:space="0" w:color="auto"/>
            <w:right w:val="none" w:sz="0" w:space="0" w:color="auto"/>
          </w:divBdr>
        </w:div>
        <w:div w:id="280383111">
          <w:marLeft w:val="0"/>
          <w:marRight w:val="0"/>
          <w:marTop w:val="0"/>
          <w:marBottom w:val="0"/>
          <w:divBdr>
            <w:top w:val="none" w:sz="0" w:space="0" w:color="auto"/>
            <w:left w:val="none" w:sz="0" w:space="0" w:color="auto"/>
            <w:bottom w:val="none" w:sz="0" w:space="0" w:color="auto"/>
            <w:right w:val="none" w:sz="0" w:space="0" w:color="auto"/>
          </w:divBdr>
        </w:div>
        <w:div w:id="287132173">
          <w:marLeft w:val="0"/>
          <w:marRight w:val="0"/>
          <w:marTop w:val="0"/>
          <w:marBottom w:val="0"/>
          <w:divBdr>
            <w:top w:val="none" w:sz="0" w:space="0" w:color="auto"/>
            <w:left w:val="none" w:sz="0" w:space="0" w:color="auto"/>
            <w:bottom w:val="none" w:sz="0" w:space="0" w:color="auto"/>
            <w:right w:val="none" w:sz="0" w:space="0" w:color="auto"/>
          </w:divBdr>
        </w:div>
        <w:div w:id="289089256">
          <w:marLeft w:val="0"/>
          <w:marRight w:val="0"/>
          <w:marTop w:val="0"/>
          <w:marBottom w:val="0"/>
          <w:divBdr>
            <w:top w:val="none" w:sz="0" w:space="0" w:color="auto"/>
            <w:left w:val="none" w:sz="0" w:space="0" w:color="auto"/>
            <w:bottom w:val="none" w:sz="0" w:space="0" w:color="auto"/>
            <w:right w:val="none" w:sz="0" w:space="0" w:color="auto"/>
          </w:divBdr>
        </w:div>
        <w:div w:id="302738606">
          <w:marLeft w:val="0"/>
          <w:marRight w:val="0"/>
          <w:marTop w:val="0"/>
          <w:marBottom w:val="0"/>
          <w:divBdr>
            <w:top w:val="none" w:sz="0" w:space="0" w:color="auto"/>
            <w:left w:val="none" w:sz="0" w:space="0" w:color="auto"/>
            <w:bottom w:val="none" w:sz="0" w:space="0" w:color="auto"/>
            <w:right w:val="none" w:sz="0" w:space="0" w:color="auto"/>
          </w:divBdr>
        </w:div>
        <w:div w:id="303896468">
          <w:marLeft w:val="0"/>
          <w:marRight w:val="0"/>
          <w:marTop w:val="0"/>
          <w:marBottom w:val="0"/>
          <w:divBdr>
            <w:top w:val="none" w:sz="0" w:space="0" w:color="auto"/>
            <w:left w:val="none" w:sz="0" w:space="0" w:color="auto"/>
            <w:bottom w:val="none" w:sz="0" w:space="0" w:color="auto"/>
            <w:right w:val="none" w:sz="0" w:space="0" w:color="auto"/>
          </w:divBdr>
        </w:div>
        <w:div w:id="306017136">
          <w:marLeft w:val="0"/>
          <w:marRight w:val="0"/>
          <w:marTop w:val="0"/>
          <w:marBottom w:val="0"/>
          <w:divBdr>
            <w:top w:val="none" w:sz="0" w:space="0" w:color="auto"/>
            <w:left w:val="none" w:sz="0" w:space="0" w:color="auto"/>
            <w:bottom w:val="none" w:sz="0" w:space="0" w:color="auto"/>
            <w:right w:val="none" w:sz="0" w:space="0" w:color="auto"/>
          </w:divBdr>
        </w:div>
        <w:div w:id="312563657">
          <w:marLeft w:val="0"/>
          <w:marRight w:val="0"/>
          <w:marTop w:val="0"/>
          <w:marBottom w:val="0"/>
          <w:divBdr>
            <w:top w:val="none" w:sz="0" w:space="0" w:color="auto"/>
            <w:left w:val="none" w:sz="0" w:space="0" w:color="auto"/>
            <w:bottom w:val="none" w:sz="0" w:space="0" w:color="auto"/>
            <w:right w:val="none" w:sz="0" w:space="0" w:color="auto"/>
          </w:divBdr>
        </w:div>
        <w:div w:id="313610570">
          <w:marLeft w:val="0"/>
          <w:marRight w:val="0"/>
          <w:marTop w:val="0"/>
          <w:marBottom w:val="0"/>
          <w:divBdr>
            <w:top w:val="none" w:sz="0" w:space="0" w:color="auto"/>
            <w:left w:val="none" w:sz="0" w:space="0" w:color="auto"/>
            <w:bottom w:val="none" w:sz="0" w:space="0" w:color="auto"/>
            <w:right w:val="none" w:sz="0" w:space="0" w:color="auto"/>
          </w:divBdr>
        </w:div>
        <w:div w:id="324288035">
          <w:marLeft w:val="0"/>
          <w:marRight w:val="0"/>
          <w:marTop w:val="0"/>
          <w:marBottom w:val="0"/>
          <w:divBdr>
            <w:top w:val="none" w:sz="0" w:space="0" w:color="auto"/>
            <w:left w:val="none" w:sz="0" w:space="0" w:color="auto"/>
            <w:bottom w:val="none" w:sz="0" w:space="0" w:color="auto"/>
            <w:right w:val="none" w:sz="0" w:space="0" w:color="auto"/>
          </w:divBdr>
        </w:div>
        <w:div w:id="325403175">
          <w:marLeft w:val="0"/>
          <w:marRight w:val="0"/>
          <w:marTop w:val="0"/>
          <w:marBottom w:val="0"/>
          <w:divBdr>
            <w:top w:val="none" w:sz="0" w:space="0" w:color="auto"/>
            <w:left w:val="none" w:sz="0" w:space="0" w:color="auto"/>
            <w:bottom w:val="none" w:sz="0" w:space="0" w:color="auto"/>
            <w:right w:val="none" w:sz="0" w:space="0" w:color="auto"/>
          </w:divBdr>
        </w:div>
        <w:div w:id="334190925">
          <w:marLeft w:val="0"/>
          <w:marRight w:val="0"/>
          <w:marTop w:val="0"/>
          <w:marBottom w:val="0"/>
          <w:divBdr>
            <w:top w:val="none" w:sz="0" w:space="0" w:color="auto"/>
            <w:left w:val="none" w:sz="0" w:space="0" w:color="auto"/>
            <w:bottom w:val="none" w:sz="0" w:space="0" w:color="auto"/>
            <w:right w:val="none" w:sz="0" w:space="0" w:color="auto"/>
          </w:divBdr>
        </w:div>
        <w:div w:id="339746445">
          <w:marLeft w:val="0"/>
          <w:marRight w:val="0"/>
          <w:marTop w:val="0"/>
          <w:marBottom w:val="0"/>
          <w:divBdr>
            <w:top w:val="none" w:sz="0" w:space="0" w:color="auto"/>
            <w:left w:val="none" w:sz="0" w:space="0" w:color="auto"/>
            <w:bottom w:val="none" w:sz="0" w:space="0" w:color="auto"/>
            <w:right w:val="none" w:sz="0" w:space="0" w:color="auto"/>
          </w:divBdr>
        </w:div>
        <w:div w:id="346717434">
          <w:marLeft w:val="0"/>
          <w:marRight w:val="0"/>
          <w:marTop w:val="0"/>
          <w:marBottom w:val="0"/>
          <w:divBdr>
            <w:top w:val="none" w:sz="0" w:space="0" w:color="auto"/>
            <w:left w:val="none" w:sz="0" w:space="0" w:color="auto"/>
            <w:bottom w:val="none" w:sz="0" w:space="0" w:color="auto"/>
            <w:right w:val="none" w:sz="0" w:space="0" w:color="auto"/>
          </w:divBdr>
        </w:div>
        <w:div w:id="347952661">
          <w:marLeft w:val="0"/>
          <w:marRight w:val="0"/>
          <w:marTop w:val="0"/>
          <w:marBottom w:val="0"/>
          <w:divBdr>
            <w:top w:val="none" w:sz="0" w:space="0" w:color="auto"/>
            <w:left w:val="none" w:sz="0" w:space="0" w:color="auto"/>
            <w:bottom w:val="none" w:sz="0" w:space="0" w:color="auto"/>
            <w:right w:val="none" w:sz="0" w:space="0" w:color="auto"/>
          </w:divBdr>
        </w:div>
        <w:div w:id="350839198">
          <w:marLeft w:val="0"/>
          <w:marRight w:val="0"/>
          <w:marTop w:val="0"/>
          <w:marBottom w:val="0"/>
          <w:divBdr>
            <w:top w:val="none" w:sz="0" w:space="0" w:color="auto"/>
            <w:left w:val="none" w:sz="0" w:space="0" w:color="auto"/>
            <w:bottom w:val="none" w:sz="0" w:space="0" w:color="auto"/>
            <w:right w:val="none" w:sz="0" w:space="0" w:color="auto"/>
          </w:divBdr>
        </w:div>
        <w:div w:id="359863871">
          <w:marLeft w:val="0"/>
          <w:marRight w:val="0"/>
          <w:marTop w:val="0"/>
          <w:marBottom w:val="0"/>
          <w:divBdr>
            <w:top w:val="none" w:sz="0" w:space="0" w:color="auto"/>
            <w:left w:val="none" w:sz="0" w:space="0" w:color="auto"/>
            <w:bottom w:val="none" w:sz="0" w:space="0" w:color="auto"/>
            <w:right w:val="none" w:sz="0" w:space="0" w:color="auto"/>
          </w:divBdr>
        </w:div>
        <w:div w:id="363216049">
          <w:marLeft w:val="0"/>
          <w:marRight w:val="0"/>
          <w:marTop w:val="0"/>
          <w:marBottom w:val="0"/>
          <w:divBdr>
            <w:top w:val="none" w:sz="0" w:space="0" w:color="auto"/>
            <w:left w:val="none" w:sz="0" w:space="0" w:color="auto"/>
            <w:bottom w:val="none" w:sz="0" w:space="0" w:color="auto"/>
            <w:right w:val="none" w:sz="0" w:space="0" w:color="auto"/>
          </w:divBdr>
        </w:div>
        <w:div w:id="364646107">
          <w:marLeft w:val="0"/>
          <w:marRight w:val="0"/>
          <w:marTop w:val="0"/>
          <w:marBottom w:val="0"/>
          <w:divBdr>
            <w:top w:val="none" w:sz="0" w:space="0" w:color="auto"/>
            <w:left w:val="none" w:sz="0" w:space="0" w:color="auto"/>
            <w:bottom w:val="none" w:sz="0" w:space="0" w:color="auto"/>
            <w:right w:val="none" w:sz="0" w:space="0" w:color="auto"/>
          </w:divBdr>
        </w:div>
        <w:div w:id="370767423">
          <w:marLeft w:val="0"/>
          <w:marRight w:val="0"/>
          <w:marTop w:val="0"/>
          <w:marBottom w:val="0"/>
          <w:divBdr>
            <w:top w:val="none" w:sz="0" w:space="0" w:color="auto"/>
            <w:left w:val="none" w:sz="0" w:space="0" w:color="auto"/>
            <w:bottom w:val="none" w:sz="0" w:space="0" w:color="auto"/>
            <w:right w:val="none" w:sz="0" w:space="0" w:color="auto"/>
          </w:divBdr>
        </w:div>
        <w:div w:id="383212847">
          <w:marLeft w:val="0"/>
          <w:marRight w:val="0"/>
          <w:marTop w:val="0"/>
          <w:marBottom w:val="0"/>
          <w:divBdr>
            <w:top w:val="none" w:sz="0" w:space="0" w:color="auto"/>
            <w:left w:val="none" w:sz="0" w:space="0" w:color="auto"/>
            <w:bottom w:val="none" w:sz="0" w:space="0" w:color="auto"/>
            <w:right w:val="none" w:sz="0" w:space="0" w:color="auto"/>
          </w:divBdr>
        </w:div>
        <w:div w:id="385953135">
          <w:marLeft w:val="0"/>
          <w:marRight w:val="0"/>
          <w:marTop w:val="0"/>
          <w:marBottom w:val="0"/>
          <w:divBdr>
            <w:top w:val="none" w:sz="0" w:space="0" w:color="auto"/>
            <w:left w:val="none" w:sz="0" w:space="0" w:color="auto"/>
            <w:bottom w:val="none" w:sz="0" w:space="0" w:color="auto"/>
            <w:right w:val="none" w:sz="0" w:space="0" w:color="auto"/>
          </w:divBdr>
        </w:div>
        <w:div w:id="392897731">
          <w:marLeft w:val="0"/>
          <w:marRight w:val="0"/>
          <w:marTop w:val="0"/>
          <w:marBottom w:val="0"/>
          <w:divBdr>
            <w:top w:val="none" w:sz="0" w:space="0" w:color="auto"/>
            <w:left w:val="none" w:sz="0" w:space="0" w:color="auto"/>
            <w:bottom w:val="none" w:sz="0" w:space="0" w:color="auto"/>
            <w:right w:val="none" w:sz="0" w:space="0" w:color="auto"/>
          </w:divBdr>
        </w:div>
        <w:div w:id="392970979">
          <w:marLeft w:val="0"/>
          <w:marRight w:val="0"/>
          <w:marTop w:val="0"/>
          <w:marBottom w:val="0"/>
          <w:divBdr>
            <w:top w:val="none" w:sz="0" w:space="0" w:color="auto"/>
            <w:left w:val="none" w:sz="0" w:space="0" w:color="auto"/>
            <w:bottom w:val="none" w:sz="0" w:space="0" w:color="auto"/>
            <w:right w:val="none" w:sz="0" w:space="0" w:color="auto"/>
          </w:divBdr>
        </w:div>
        <w:div w:id="393090768">
          <w:marLeft w:val="0"/>
          <w:marRight w:val="0"/>
          <w:marTop w:val="0"/>
          <w:marBottom w:val="0"/>
          <w:divBdr>
            <w:top w:val="none" w:sz="0" w:space="0" w:color="auto"/>
            <w:left w:val="none" w:sz="0" w:space="0" w:color="auto"/>
            <w:bottom w:val="none" w:sz="0" w:space="0" w:color="auto"/>
            <w:right w:val="none" w:sz="0" w:space="0" w:color="auto"/>
          </w:divBdr>
        </w:div>
        <w:div w:id="394469252">
          <w:marLeft w:val="0"/>
          <w:marRight w:val="0"/>
          <w:marTop w:val="0"/>
          <w:marBottom w:val="0"/>
          <w:divBdr>
            <w:top w:val="none" w:sz="0" w:space="0" w:color="auto"/>
            <w:left w:val="none" w:sz="0" w:space="0" w:color="auto"/>
            <w:bottom w:val="none" w:sz="0" w:space="0" w:color="auto"/>
            <w:right w:val="none" w:sz="0" w:space="0" w:color="auto"/>
          </w:divBdr>
        </w:div>
        <w:div w:id="394743056">
          <w:marLeft w:val="0"/>
          <w:marRight w:val="0"/>
          <w:marTop w:val="0"/>
          <w:marBottom w:val="0"/>
          <w:divBdr>
            <w:top w:val="none" w:sz="0" w:space="0" w:color="auto"/>
            <w:left w:val="none" w:sz="0" w:space="0" w:color="auto"/>
            <w:bottom w:val="none" w:sz="0" w:space="0" w:color="auto"/>
            <w:right w:val="none" w:sz="0" w:space="0" w:color="auto"/>
          </w:divBdr>
        </w:div>
        <w:div w:id="410083265">
          <w:marLeft w:val="0"/>
          <w:marRight w:val="0"/>
          <w:marTop w:val="0"/>
          <w:marBottom w:val="0"/>
          <w:divBdr>
            <w:top w:val="none" w:sz="0" w:space="0" w:color="auto"/>
            <w:left w:val="none" w:sz="0" w:space="0" w:color="auto"/>
            <w:bottom w:val="none" w:sz="0" w:space="0" w:color="auto"/>
            <w:right w:val="none" w:sz="0" w:space="0" w:color="auto"/>
          </w:divBdr>
        </w:div>
        <w:div w:id="413867840">
          <w:marLeft w:val="0"/>
          <w:marRight w:val="0"/>
          <w:marTop w:val="0"/>
          <w:marBottom w:val="0"/>
          <w:divBdr>
            <w:top w:val="none" w:sz="0" w:space="0" w:color="auto"/>
            <w:left w:val="none" w:sz="0" w:space="0" w:color="auto"/>
            <w:bottom w:val="none" w:sz="0" w:space="0" w:color="auto"/>
            <w:right w:val="none" w:sz="0" w:space="0" w:color="auto"/>
          </w:divBdr>
        </w:div>
        <w:div w:id="418872982">
          <w:marLeft w:val="0"/>
          <w:marRight w:val="0"/>
          <w:marTop w:val="0"/>
          <w:marBottom w:val="0"/>
          <w:divBdr>
            <w:top w:val="none" w:sz="0" w:space="0" w:color="auto"/>
            <w:left w:val="none" w:sz="0" w:space="0" w:color="auto"/>
            <w:bottom w:val="none" w:sz="0" w:space="0" w:color="auto"/>
            <w:right w:val="none" w:sz="0" w:space="0" w:color="auto"/>
          </w:divBdr>
        </w:div>
        <w:div w:id="425272702">
          <w:marLeft w:val="0"/>
          <w:marRight w:val="0"/>
          <w:marTop w:val="0"/>
          <w:marBottom w:val="0"/>
          <w:divBdr>
            <w:top w:val="none" w:sz="0" w:space="0" w:color="auto"/>
            <w:left w:val="none" w:sz="0" w:space="0" w:color="auto"/>
            <w:bottom w:val="none" w:sz="0" w:space="0" w:color="auto"/>
            <w:right w:val="none" w:sz="0" w:space="0" w:color="auto"/>
          </w:divBdr>
        </w:div>
        <w:div w:id="440540959">
          <w:marLeft w:val="0"/>
          <w:marRight w:val="0"/>
          <w:marTop w:val="0"/>
          <w:marBottom w:val="0"/>
          <w:divBdr>
            <w:top w:val="none" w:sz="0" w:space="0" w:color="auto"/>
            <w:left w:val="none" w:sz="0" w:space="0" w:color="auto"/>
            <w:bottom w:val="none" w:sz="0" w:space="0" w:color="auto"/>
            <w:right w:val="none" w:sz="0" w:space="0" w:color="auto"/>
          </w:divBdr>
        </w:div>
        <w:div w:id="445007616">
          <w:marLeft w:val="0"/>
          <w:marRight w:val="0"/>
          <w:marTop w:val="0"/>
          <w:marBottom w:val="0"/>
          <w:divBdr>
            <w:top w:val="none" w:sz="0" w:space="0" w:color="auto"/>
            <w:left w:val="none" w:sz="0" w:space="0" w:color="auto"/>
            <w:bottom w:val="none" w:sz="0" w:space="0" w:color="auto"/>
            <w:right w:val="none" w:sz="0" w:space="0" w:color="auto"/>
          </w:divBdr>
        </w:div>
        <w:div w:id="445084153">
          <w:marLeft w:val="0"/>
          <w:marRight w:val="0"/>
          <w:marTop w:val="0"/>
          <w:marBottom w:val="0"/>
          <w:divBdr>
            <w:top w:val="none" w:sz="0" w:space="0" w:color="auto"/>
            <w:left w:val="none" w:sz="0" w:space="0" w:color="auto"/>
            <w:bottom w:val="none" w:sz="0" w:space="0" w:color="auto"/>
            <w:right w:val="none" w:sz="0" w:space="0" w:color="auto"/>
          </w:divBdr>
        </w:div>
        <w:div w:id="477649653">
          <w:marLeft w:val="0"/>
          <w:marRight w:val="0"/>
          <w:marTop w:val="0"/>
          <w:marBottom w:val="0"/>
          <w:divBdr>
            <w:top w:val="none" w:sz="0" w:space="0" w:color="auto"/>
            <w:left w:val="none" w:sz="0" w:space="0" w:color="auto"/>
            <w:bottom w:val="none" w:sz="0" w:space="0" w:color="auto"/>
            <w:right w:val="none" w:sz="0" w:space="0" w:color="auto"/>
          </w:divBdr>
        </w:div>
        <w:div w:id="479736012">
          <w:marLeft w:val="0"/>
          <w:marRight w:val="0"/>
          <w:marTop w:val="0"/>
          <w:marBottom w:val="0"/>
          <w:divBdr>
            <w:top w:val="none" w:sz="0" w:space="0" w:color="auto"/>
            <w:left w:val="none" w:sz="0" w:space="0" w:color="auto"/>
            <w:bottom w:val="none" w:sz="0" w:space="0" w:color="auto"/>
            <w:right w:val="none" w:sz="0" w:space="0" w:color="auto"/>
          </w:divBdr>
        </w:div>
        <w:div w:id="483737409">
          <w:marLeft w:val="0"/>
          <w:marRight w:val="0"/>
          <w:marTop w:val="0"/>
          <w:marBottom w:val="0"/>
          <w:divBdr>
            <w:top w:val="none" w:sz="0" w:space="0" w:color="auto"/>
            <w:left w:val="none" w:sz="0" w:space="0" w:color="auto"/>
            <w:bottom w:val="none" w:sz="0" w:space="0" w:color="auto"/>
            <w:right w:val="none" w:sz="0" w:space="0" w:color="auto"/>
          </w:divBdr>
        </w:div>
        <w:div w:id="517472520">
          <w:marLeft w:val="0"/>
          <w:marRight w:val="0"/>
          <w:marTop w:val="0"/>
          <w:marBottom w:val="0"/>
          <w:divBdr>
            <w:top w:val="none" w:sz="0" w:space="0" w:color="auto"/>
            <w:left w:val="none" w:sz="0" w:space="0" w:color="auto"/>
            <w:bottom w:val="none" w:sz="0" w:space="0" w:color="auto"/>
            <w:right w:val="none" w:sz="0" w:space="0" w:color="auto"/>
          </w:divBdr>
        </w:div>
        <w:div w:id="529224088">
          <w:marLeft w:val="0"/>
          <w:marRight w:val="0"/>
          <w:marTop w:val="0"/>
          <w:marBottom w:val="0"/>
          <w:divBdr>
            <w:top w:val="none" w:sz="0" w:space="0" w:color="auto"/>
            <w:left w:val="none" w:sz="0" w:space="0" w:color="auto"/>
            <w:bottom w:val="none" w:sz="0" w:space="0" w:color="auto"/>
            <w:right w:val="none" w:sz="0" w:space="0" w:color="auto"/>
          </w:divBdr>
        </w:div>
        <w:div w:id="536506794">
          <w:marLeft w:val="0"/>
          <w:marRight w:val="0"/>
          <w:marTop w:val="0"/>
          <w:marBottom w:val="0"/>
          <w:divBdr>
            <w:top w:val="none" w:sz="0" w:space="0" w:color="auto"/>
            <w:left w:val="none" w:sz="0" w:space="0" w:color="auto"/>
            <w:bottom w:val="none" w:sz="0" w:space="0" w:color="auto"/>
            <w:right w:val="none" w:sz="0" w:space="0" w:color="auto"/>
          </w:divBdr>
        </w:div>
        <w:div w:id="538323879">
          <w:marLeft w:val="0"/>
          <w:marRight w:val="0"/>
          <w:marTop w:val="0"/>
          <w:marBottom w:val="0"/>
          <w:divBdr>
            <w:top w:val="none" w:sz="0" w:space="0" w:color="auto"/>
            <w:left w:val="none" w:sz="0" w:space="0" w:color="auto"/>
            <w:bottom w:val="none" w:sz="0" w:space="0" w:color="auto"/>
            <w:right w:val="none" w:sz="0" w:space="0" w:color="auto"/>
          </w:divBdr>
        </w:div>
        <w:div w:id="550920069">
          <w:marLeft w:val="0"/>
          <w:marRight w:val="0"/>
          <w:marTop w:val="0"/>
          <w:marBottom w:val="0"/>
          <w:divBdr>
            <w:top w:val="none" w:sz="0" w:space="0" w:color="auto"/>
            <w:left w:val="none" w:sz="0" w:space="0" w:color="auto"/>
            <w:bottom w:val="none" w:sz="0" w:space="0" w:color="auto"/>
            <w:right w:val="none" w:sz="0" w:space="0" w:color="auto"/>
          </w:divBdr>
        </w:div>
        <w:div w:id="551581758">
          <w:marLeft w:val="0"/>
          <w:marRight w:val="0"/>
          <w:marTop w:val="0"/>
          <w:marBottom w:val="0"/>
          <w:divBdr>
            <w:top w:val="none" w:sz="0" w:space="0" w:color="auto"/>
            <w:left w:val="none" w:sz="0" w:space="0" w:color="auto"/>
            <w:bottom w:val="none" w:sz="0" w:space="0" w:color="auto"/>
            <w:right w:val="none" w:sz="0" w:space="0" w:color="auto"/>
          </w:divBdr>
        </w:div>
        <w:div w:id="557667576">
          <w:marLeft w:val="0"/>
          <w:marRight w:val="0"/>
          <w:marTop w:val="0"/>
          <w:marBottom w:val="0"/>
          <w:divBdr>
            <w:top w:val="none" w:sz="0" w:space="0" w:color="auto"/>
            <w:left w:val="none" w:sz="0" w:space="0" w:color="auto"/>
            <w:bottom w:val="none" w:sz="0" w:space="0" w:color="auto"/>
            <w:right w:val="none" w:sz="0" w:space="0" w:color="auto"/>
          </w:divBdr>
        </w:div>
        <w:div w:id="559556463">
          <w:marLeft w:val="0"/>
          <w:marRight w:val="0"/>
          <w:marTop w:val="0"/>
          <w:marBottom w:val="0"/>
          <w:divBdr>
            <w:top w:val="none" w:sz="0" w:space="0" w:color="auto"/>
            <w:left w:val="none" w:sz="0" w:space="0" w:color="auto"/>
            <w:bottom w:val="none" w:sz="0" w:space="0" w:color="auto"/>
            <w:right w:val="none" w:sz="0" w:space="0" w:color="auto"/>
          </w:divBdr>
        </w:div>
        <w:div w:id="572814166">
          <w:marLeft w:val="0"/>
          <w:marRight w:val="0"/>
          <w:marTop w:val="0"/>
          <w:marBottom w:val="0"/>
          <w:divBdr>
            <w:top w:val="none" w:sz="0" w:space="0" w:color="auto"/>
            <w:left w:val="none" w:sz="0" w:space="0" w:color="auto"/>
            <w:bottom w:val="none" w:sz="0" w:space="0" w:color="auto"/>
            <w:right w:val="none" w:sz="0" w:space="0" w:color="auto"/>
          </w:divBdr>
        </w:div>
        <w:div w:id="573011371">
          <w:marLeft w:val="0"/>
          <w:marRight w:val="0"/>
          <w:marTop w:val="0"/>
          <w:marBottom w:val="0"/>
          <w:divBdr>
            <w:top w:val="none" w:sz="0" w:space="0" w:color="auto"/>
            <w:left w:val="none" w:sz="0" w:space="0" w:color="auto"/>
            <w:bottom w:val="none" w:sz="0" w:space="0" w:color="auto"/>
            <w:right w:val="none" w:sz="0" w:space="0" w:color="auto"/>
          </w:divBdr>
        </w:div>
        <w:div w:id="574363679">
          <w:marLeft w:val="0"/>
          <w:marRight w:val="0"/>
          <w:marTop w:val="0"/>
          <w:marBottom w:val="0"/>
          <w:divBdr>
            <w:top w:val="none" w:sz="0" w:space="0" w:color="auto"/>
            <w:left w:val="none" w:sz="0" w:space="0" w:color="auto"/>
            <w:bottom w:val="none" w:sz="0" w:space="0" w:color="auto"/>
            <w:right w:val="none" w:sz="0" w:space="0" w:color="auto"/>
          </w:divBdr>
        </w:div>
        <w:div w:id="602151708">
          <w:marLeft w:val="0"/>
          <w:marRight w:val="0"/>
          <w:marTop w:val="0"/>
          <w:marBottom w:val="0"/>
          <w:divBdr>
            <w:top w:val="none" w:sz="0" w:space="0" w:color="auto"/>
            <w:left w:val="none" w:sz="0" w:space="0" w:color="auto"/>
            <w:bottom w:val="none" w:sz="0" w:space="0" w:color="auto"/>
            <w:right w:val="none" w:sz="0" w:space="0" w:color="auto"/>
          </w:divBdr>
        </w:div>
        <w:div w:id="635335161">
          <w:marLeft w:val="0"/>
          <w:marRight w:val="0"/>
          <w:marTop w:val="0"/>
          <w:marBottom w:val="0"/>
          <w:divBdr>
            <w:top w:val="none" w:sz="0" w:space="0" w:color="auto"/>
            <w:left w:val="none" w:sz="0" w:space="0" w:color="auto"/>
            <w:bottom w:val="none" w:sz="0" w:space="0" w:color="auto"/>
            <w:right w:val="none" w:sz="0" w:space="0" w:color="auto"/>
          </w:divBdr>
        </w:div>
        <w:div w:id="654528727">
          <w:marLeft w:val="0"/>
          <w:marRight w:val="0"/>
          <w:marTop w:val="0"/>
          <w:marBottom w:val="0"/>
          <w:divBdr>
            <w:top w:val="none" w:sz="0" w:space="0" w:color="auto"/>
            <w:left w:val="none" w:sz="0" w:space="0" w:color="auto"/>
            <w:bottom w:val="none" w:sz="0" w:space="0" w:color="auto"/>
            <w:right w:val="none" w:sz="0" w:space="0" w:color="auto"/>
          </w:divBdr>
        </w:div>
        <w:div w:id="656614663">
          <w:marLeft w:val="0"/>
          <w:marRight w:val="0"/>
          <w:marTop w:val="0"/>
          <w:marBottom w:val="0"/>
          <w:divBdr>
            <w:top w:val="none" w:sz="0" w:space="0" w:color="auto"/>
            <w:left w:val="none" w:sz="0" w:space="0" w:color="auto"/>
            <w:bottom w:val="none" w:sz="0" w:space="0" w:color="auto"/>
            <w:right w:val="none" w:sz="0" w:space="0" w:color="auto"/>
          </w:divBdr>
        </w:div>
        <w:div w:id="682054006">
          <w:marLeft w:val="0"/>
          <w:marRight w:val="0"/>
          <w:marTop w:val="0"/>
          <w:marBottom w:val="0"/>
          <w:divBdr>
            <w:top w:val="none" w:sz="0" w:space="0" w:color="auto"/>
            <w:left w:val="none" w:sz="0" w:space="0" w:color="auto"/>
            <w:bottom w:val="none" w:sz="0" w:space="0" w:color="auto"/>
            <w:right w:val="none" w:sz="0" w:space="0" w:color="auto"/>
          </w:divBdr>
        </w:div>
        <w:div w:id="683214934">
          <w:marLeft w:val="0"/>
          <w:marRight w:val="0"/>
          <w:marTop w:val="0"/>
          <w:marBottom w:val="0"/>
          <w:divBdr>
            <w:top w:val="none" w:sz="0" w:space="0" w:color="auto"/>
            <w:left w:val="none" w:sz="0" w:space="0" w:color="auto"/>
            <w:bottom w:val="none" w:sz="0" w:space="0" w:color="auto"/>
            <w:right w:val="none" w:sz="0" w:space="0" w:color="auto"/>
          </w:divBdr>
        </w:div>
        <w:div w:id="709918337">
          <w:marLeft w:val="0"/>
          <w:marRight w:val="0"/>
          <w:marTop w:val="0"/>
          <w:marBottom w:val="0"/>
          <w:divBdr>
            <w:top w:val="none" w:sz="0" w:space="0" w:color="auto"/>
            <w:left w:val="none" w:sz="0" w:space="0" w:color="auto"/>
            <w:bottom w:val="none" w:sz="0" w:space="0" w:color="auto"/>
            <w:right w:val="none" w:sz="0" w:space="0" w:color="auto"/>
          </w:divBdr>
        </w:div>
        <w:div w:id="714037413">
          <w:marLeft w:val="0"/>
          <w:marRight w:val="0"/>
          <w:marTop w:val="0"/>
          <w:marBottom w:val="0"/>
          <w:divBdr>
            <w:top w:val="none" w:sz="0" w:space="0" w:color="auto"/>
            <w:left w:val="none" w:sz="0" w:space="0" w:color="auto"/>
            <w:bottom w:val="none" w:sz="0" w:space="0" w:color="auto"/>
            <w:right w:val="none" w:sz="0" w:space="0" w:color="auto"/>
          </w:divBdr>
        </w:div>
        <w:div w:id="725568654">
          <w:marLeft w:val="0"/>
          <w:marRight w:val="0"/>
          <w:marTop w:val="0"/>
          <w:marBottom w:val="0"/>
          <w:divBdr>
            <w:top w:val="none" w:sz="0" w:space="0" w:color="auto"/>
            <w:left w:val="none" w:sz="0" w:space="0" w:color="auto"/>
            <w:bottom w:val="none" w:sz="0" w:space="0" w:color="auto"/>
            <w:right w:val="none" w:sz="0" w:space="0" w:color="auto"/>
          </w:divBdr>
        </w:div>
        <w:div w:id="728724575">
          <w:marLeft w:val="0"/>
          <w:marRight w:val="0"/>
          <w:marTop w:val="0"/>
          <w:marBottom w:val="0"/>
          <w:divBdr>
            <w:top w:val="none" w:sz="0" w:space="0" w:color="auto"/>
            <w:left w:val="none" w:sz="0" w:space="0" w:color="auto"/>
            <w:bottom w:val="none" w:sz="0" w:space="0" w:color="auto"/>
            <w:right w:val="none" w:sz="0" w:space="0" w:color="auto"/>
          </w:divBdr>
        </w:div>
        <w:div w:id="729691021">
          <w:marLeft w:val="0"/>
          <w:marRight w:val="0"/>
          <w:marTop w:val="0"/>
          <w:marBottom w:val="0"/>
          <w:divBdr>
            <w:top w:val="none" w:sz="0" w:space="0" w:color="auto"/>
            <w:left w:val="none" w:sz="0" w:space="0" w:color="auto"/>
            <w:bottom w:val="none" w:sz="0" w:space="0" w:color="auto"/>
            <w:right w:val="none" w:sz="0" w:space="0" w:color="auto"/>
          </w:divBdr>
        </w:div>
        <w:div w:id="733309467">
          <w:marLeft w:val="0"/>
          <w:marRight w:val="0"/>
          <w:marTop w:val="0"/>
          <w:marBottom w:val="0"/>
          <w:divBdr>
            <w:top w:val="none" w:sz="0" w:space="0" w:color="auto"/>
            <w:left w:val="none" w:sz="0" w:space="0" w:color="auto"/>
            <w:bottom w:val="none" w:sz="0" w:space="0" w:color="auto"/>
            <w:right w:val="none" w:sz="0" w:space="0" w:color="auto"/>
          </w:divBdr>
        </w:div>
        <w:div w:id="733360654">
          <w:marLeft w:val="0"/>
          <w:marRight w:val="0"/>
          <w:marTop w:val="0"/>
          <w:marBottom w:val="0"/>
          <w:divBdr>
            <w:top w:val="none" w:sz="0" w:space="0" w:color="auto"/>
            <w:left w:val="none" w:sz="0" w:space="0" w:color="auto"/>
            <w:bottom w:val="none" w:sz="0" w:space="0" w:color="auto"/>
            <w:right w:val="none" w:sz="0" w:space="0" w:color="auto"/>
          </w:divBdr>
        </w:div>
        <w:div w:id="743331455">
          <w:marLeft w:val="0"/>
          <w:marRight w:val="0"/>
          <w:marTop w:val="0"/>
          <w:marBottom w:val="0"/>
          <w:divBdr>
            <w:top w:val="none" w:sz="0" w:space="0" w:color="auto"/>
            <w:left w:val="none" w:sz="0" w:space="0" w:color="auto"/>
            <w:bottom w:val="none" w:sz="0" w:space="0" w:color="auto"/>
            <w:right w:val="none" w:sz="0" w:space="0" w:color="auto"/>
          </w:divBdr>
        </w:div>
        <w:div w:id="744185091">
          <w:marLeft w:val="0"/>
          <w:marRight w:val="0"/>
          <w:marTop w:val="0"/>
          <w:marBottom w:val="0"/>
          <w:divBdr>
            <w:top w:val="none" w:sz="0" w:space="0" w:color="auto"/>
            <w:left w:val="none" w:sz="0" w:space="0" w:color="auto"/>
            <w:bottom w:val="none" w:sz="0" w:space="0" w:color="auto"/>
            <w:right w:val="none" w:sz="0" w:space="0" w:color="auto"/>
          </w:divBdr>
        </w:div>
        <w:div w:id="746077746">
          <w:marLeft w:val="0"/>
          <w:marRight w:val="0"/>
          <w:marTop w:val="0"/>
          <w:marBottom w:val="0"/>
          <w:divBdr>
            <w:top w:val="none" w:sz="0" w:space="0" w:color="auto"/>
            <w:left w:val="none" w:sz="0" w:space="0" w:color="auto"/>
            <w:bottom w:val="none" w:sz="0" w:space="0" w:color="auto"/>
            <w:right w:val="none" w:sz="0" w:space="0" w:color="auto"/>
          </w:divBdr>
        </w:div>
        <w:div w:id="755369233">
          <w:marLeft w:val="0"/>
          <w:marRight w:val="0"/>
          <w:marTop w:val="0"/>
          <w:marBottom w:val="0"/>
          <w:divBdr>
            <w:top w:val="none" w:sz="0" w:space="0" w:color="auto"/>
            <w:left w:val="none" w:sz="0" w:space="0" w:color="auto"/>
            <w:bottom w:val="none" w:sz="0" w:space="0" w:color="auto"/>
            <w:right w:val="none" w:sz="0" w:space="0" w:color="auto"/>
          </w:divBdr>
        </w:div>
        <w:div w:id="766660348">
          <w:marLeft w:val="0"/>
          <w:marRight w:val="0"/>
          <w:marTop w:val="0"/>
          <w:marBottom w:val="0"/>
          <w:divBdr>
            <w:top w:val="none" w:sz="0" w:space="0" w:color="auto"/>
            <w:left w:val="none" w:sz="0" w:space="0" w:color="auto"/>
            <w:bottom w:val="none" w:sz="0" w:space="0" w:color="auto"/>
            <w:right w:val="none" w:sz="0" w:space="0" w:color="auto"/>
          </w:divBdr>
        </w:div>
        <w:div w:id="768819862">
          <w:marLeft w:val="0"/>
          <w:marRight w:val="0"/>
          <w:marTop w:val="0"/>
          <w:marBottom w:val="0"/>
          <w:divBdr>
            <w:top w:val="none" w:sz="0" w:space="0" w:color="auto"/>
            <w:left w:val="none" w:sz="0" w:space="0" w:color="auto"/>
            <w:bottom w:val="none" w:sz="0" w:space="0" w:color="auto"/>
            <w:right w:val="none" w:sz="0" w:space="0" w:color="auto"/>
          </w:divBdr>
        </w:div>
        <w:div w:id="784154580">
          <w:marLeft w:val="0"/>
          <w:marRight w:val="0"/>
          <w:marTop w:val="0"/>
          <w:marBottom w:val="0"/>
          <w:divBdr>
            <w:top w:val="none" w:sz="0" w:space="0" w:color="auto"/>
            <w:left w:val="none" w:sz="0" w:space="0" w:color="auto"/>
            <w:bottom w:val="none" w:sz="0" w:space="0" w:color="auto"/>
            <w:right w:val="none" w:sz="0" w:space="0" w:color="auto"/>
          </w:divBdr>
        </w:div>
        <w:div w:id="787773683">
          <w:marLeft w:val="0"/>
          <w:marRight w:val="0"/>
          <w:marTop w:val="0"/>
          <w:marBottom w:val="0"/>
          <w:divBdr>
            <w:top w:val="none" w:sz="0" w:space="0" w:color="auto"/>
            <w:left w:val="none" w:sz="0" w:space="0" w:color="auto"/>
            <w:bottom w:val="none" w:sz="0" w:space="0" w:color="auto"/>
            <w:right w:val="none" w:sz="0" w:space="0" w:color="auto"/>
          </w:divBdr>
        </w:div>
        <w:div w:id="802188212">
          <w:marLeft w:val="0"/>
          <w:marRight w:val="0"/>
          <w:marTop w:val="0"/>
          <w:marBottom w:val="0"/>
          <w:divBdr>
            <w:top w:val="none" w:sz="0" w:space="0" w:color="auto"/>
            <w:left w:val="none" w:sz="0" w:space="0" w:color="auto"/>
            <w:bottom w:val="none" w:sz="0" w:space="0" w:color="auto"/>
            <w:right w:val="none" w:sz="0" w:space="0" w:color="auto"/>
          </w:divBdr>
        </w:div>
        <w:div w:id="804930584">
          <w:marLeft w:val="0"/>
          <w:marRight w:val="0"/>
          <w:marTop w:val="0"/>
          <w:marBottom w:val="0"/>
          <w:divBdr>
            <w:top w:val="none" w:sz="0" w:space="0" w:color="auto"/>
            <w:left w:val="none" w:sz="0" w:space="0" w:color="auto"/>
            <w:bottom w:val="none" w:sz="0" w:space="0" w:color="auto"/>
            <w:right w:val="none" w:sz="0" w:space="0" w:color="auto"/>
          </w:divBdr>
        </w:div>
        <w:div w:id="808862954">
          <w:marLeft w:val="0"/>
          <w:marRight w:val="0"/>
          <w:marTop w:val="0"/>
          <w:marBottom w:val="0"/>
          <w:divBdr>
            <w:top w:val="none" w:sz="0" w:space="0" w:color="auto"/>
            <w:left w:val="none" w:sz="0" w:space="0" w:color="auto"/>
            <w:bottom w:val="none" w:sz="0" w:space="0" w:color="auto"/>
            <w:right w:val="none" w:sz="0" w:space="0" w:color="auto"/>
          </w:divBdr>
        </w:div>
        <w:div w:id="816846882">
          <w:marLeft w:val="0"/>
          <w:marRight w:val="0"/>
          <w:marTop w:val="0"/>
          <w:marBottom w:val="0"/>
          <w:divBdr>
            <w:top w:val="none" w:sz="0" w:space="0" w:color="auto"/>
            <w:left w:val="none" w:sz="0" w:space="0" w:color="auto"/>
            <w:bottom w:val="none" w:sz="0" w:space="0" w:color="auto"/>
            <w:right w:val="none" w:sz="0" w:space="0" w:color="auto"/>
          </w:divBdr>
        </w:div>
        <w:div w:id="831406210">
          <w:marLeft w:val="0"/>
          <w:marRight w:val="0"/>
          <w:marTop w:val="0"/>
          <w:marBottom w:val="0"/>
          <w:divBdr>
            <w:top w:val="none" w:sz="0" w:space="0" w:color="auto"/>
            <w:left w:val="none" w:sz="0" w:space="0" w:color="auto"/>
            <w:bottom w:val="none" w:sz="0" w:space="0" w:color="auto"/>
            <w:right w:val="none" w:sz="0" w:space="0" w:color="auto"/>
          </w:divBdr>
        </w:div>
        <w:div w:id="848102836">
          <w:marLeft w:val="0"/>
          <w:marRight w:val="0"/>
          <w:marTop w:val="0"/>
          <w:marBottom w:val="0"/>
          <w:divBdr>
            <w:top w:val="none" w:sz="0" w:space="0" w:color="auto"/>
            <w:left w:val="none" w:sz="0" w:space="0" w:color="auto"/>
            <w:bottom w:val="none" w:sz="0" w:space="0" w:color="auto"/>
            <w:right w:val="none" w:sz="0" w:space="0" w:color="auto"/>
          </w:divBdr>
        </w:div>
        <w:div w:id="860624626">
          <w:marLeft w:val="0"/>
          <w:marRight w:val="0"/>
          <w:marTop w:val="0"/>
          <w:marBottom w:val="0"/>
          <w:divBdr>
            <w:top w:val="none" w:sz="0" w:space="0" w:color="auto"/>
            <w:left w:val="none" w:sz="0" w:space="0" w:color="auto"/>
            <w:bottom w:val="none" w:sz="0" w:space="0" w:color="auto"/>
            <w:right w:val="none" w:sz="0" w:space="0" w:color="auto"/>
          </w:divBdr>
        </w:div>
        <w:div w:id="877858009">
          <w:marLeft w:val="0"/>
          <w:marRight w:val="0"/>
          <w:marTop w:val="0"/>
          <w:marBottom w:val="0"/>
          <w:divBdr>
            <w:top w:val="none" w:sz="0" w:space="0" w:color="auto"/>
            <w:left w:val="none" w:sz="0" w:space="0" w:color="auto"/>
            <w:bottom w:val="none" w:sz="0" w:space="0" w:color="auto"/>
            <w:right w:val="none" w:sz="0" w:space="0" w:color="auto"/>
          </w:divBdr>
        </w:div>
        <w:div w:id="908807062">
          <w:marLeft w:val="0"/>
          <w:marRight w:val="0"/>
          <w:marTop w:val="0"/>
          <w:marBottom w:val="0"/>
          <w:divBdr>
            <w:top w:val="none" w:sz="0" w:space="0" w:color="auto"/>
            <w:left w:val="none" w:sz="0" w:space="0" w:color="auto"/>
            <w:bottom w:val="none" w:sz="0" w:space="0" w:color="auto"/>
            <w:right w:val="none" w:sz="0" w:space="0" w:color="auto"/>
          </w:divBdr>
        </w:div>
        <w:div w:id="923416009">
          <w:marLeft w:val="0"/>
          <w:marRight w:val="0"/>
          <w:marTop w:val="0"/>
          <w:marBottom w:val="0"/>
          <w:divBdr>
            <w:top w:val="none" w:sz="0" w:space="0" w:color="auto"/>
            <w:left w:val="none" w:sz="0" w:space="0" w:color="auto"/>
            <w:bottom w:val="none" w:sz="0" w:space="0" w:color="auto"/>
            <w:right w:val="none" w:sz="0" w:space="0" w:color="auto"/>
          </w:divBdr>
        </w:div>
        <w:div w:id="928126237">
          <w:marLeft w:val="0"/>
          <w:marRight w:val="0"/>
          <w:marTop w:val="0"/>
          <w:marBottom w:val="0"/>
          <w:divBdr>
            <w:top w:val="none" w:sz="0" w:space="0" w:color="auto"/>
            <w:left w:val="none" w:sz="0" w:space="0" w:color="auto"/>
            <w:bottom w:val="none" w:sz="0" w:space="0" w:color="auto"/>
            <w:right w:val="none" w:sz="0" w:space="0" w:color="auto"/>
          </w:divBdr>
        </w:div>
        <w:div w:id="930159504">
          <w:marLeft w:val="0"/>
          <w:marRight w:val="0"/>
          <w:marTop w:val="0"/>
          <w:marBottom w:val="0"/>
          <w:divBdr>
            <w:top w:val="none" w:sz="0" w:space="0" w:color="auto"/>
            <w:left w:val="none" w:sz="0" w:space="0" w:color="auto"/>
            <w:bottom w:val="none" w:sz="0" w:space="0" w:color="auto"/>
            <w:right w:val="none" w:sz="0" w:space="0" w:color="auto"/>
          </w:divBdr>
        </w:div>
        <w:div w:id="932665195">
          <w:marLeft w:val="0"/>
          <w:marRight w:val="0"/>
          <w:marTop w:val="0"/>
          <w:marBottom w:val="0"/>
          <w:divBdr>
            <w:top w:val="none" w:sz="0" w:space="0" w:color="auto"/>
            <w:left w:val="none" w:sz="0" w:space="0" w:color="auto"/>
            <w:bottom w:val="none" w:sz="0" w:space="0" w:color="auto"/>
            <w:right w:val="none" w:sz="0" w:space="0" w:color="auto"/>
          </w:divBdr>
        </w:div>
        <w:div w:id="942034773">
          <w:marLeft w:val="0"/>
          <w:marRight w:val="0"/>
          <w:marTop w:val="0"/>
          <w:marBottom w:val="0"/>
          <w:divBdr>
            <w:top w:val="none" w:sz="0" w:space="0" w:color="auto"/>
            <w:left w:val="none" w:sz="0" w:space="0" w:color="auto"/>
            <w:bottom w:val="none" w:sz="0" w:space="0" w:color="auto"/>
            <w:right w:val="none" w:sz="0" w:space="0" w:color="auto"/>
          </w:divBdr>
        </w:div>
        <w:div w:id="945503601">
          <w:marLeft w:val="0"/>
          <w:marRight w:val="0"/>
          <w:marTop w:val="0"/>
          <w:marBottom w:val="0"/>
          <w:divBdr>
            <w:top w:val="none" w:sz="0" w:space="0" w:color="auto"/>
            <w:left w:val="none" w:sz="0" w:space="0" w:color="auto"/>
            <w:bottom w:val="none" w:sz="0" w:space="0" w:color="auto"/>
            <w:right w:val="none" w:sz="0" w:space="0" w:color="auto"/>
          </w:divBdr>
        </w:div>
        <w:div w:id="950479254">
          <w:marLeft w:val="0"/>
          <w:marRight w:val="0"/>
          <w:marTop w:val="0"/>
          <w:marBottom w:val="0"/>
          <w:divBdr>
            <w:top w:val="none" w:sz="0" w:space="0" w:color="auto"/>
            <w:left w:val="none" w:sz="0" w:space="0" w:color="auto"/>
            <w:bottom w:val="none" w:sz="0" w:space="0" w:color="auto"/>
            <w:right w:val="none" w:sz="0" w:space="0" w:color="auto"/>
          </w:divBdr>
        </w:div>
        <w:div w:id="956453212">
          <w:marLeft w:val="0"/>
          <w:marRight w:val="0"/>
          <w:marTop w:val="0"/>
          <w:marBottom w:val="0"/>
          <w:divBdr>
            <w:top w:val="none" w:sz="0" w:space="0" w:color="auto"/>
            <w:left w:val="none" w:sz="0" w:space="0" w:color="auto"/>
            <w:bottom w:val="none" w:sz="0" w:space="0" w:color="auto"/>
            <w:right w:val="none" w:sz="0" w:space="0" w:color="auto"/>
          </w:divBdr>
        </w:div>
        <w:div w:id="957954634">
          <w:marLeft w:val="0"/>
          <w:marRight w:val="0"/>
          <w:marTop w:val="0"/>
          <w:marBottom w:val="0"/>
          <w:divBdr>
            <w:top w:val="none" w:sz="0" w:space="0" w:color="auto"/>
            <w:left w:val="none" w:sz="0" w:space="0" w:color="auto"/>
            <w:bottom w:val="none" w:sz="0" w:space="0" w:color="auto"/>
            <w:right w:val="none" w:sz="0" w:space="0" w:color="auto"/>
          </w:divBdr>
        </w:div>
        <w:div w:id="968629530">
          <w:marLeft w:val="0"/>
          <w:marRight w:val="0"/>
          <w:marTop w:val="0"/>
          <w:marBottom w:val="0"/>
          <w:divBdr>
            <w:top w:val="none" w:sz="0" w:space="0" w:color="auto"/>
            <w:left w:val="none" w:sz="0" w:space="0" w:color="auto"/>
            <w:bottom w:val="none" w:sz="0" w:space="0" w:color="auto"/>
            <w:right w:val="none" w:sz="0" w:space="0" w:color="auto"/>
          </w:divBdr>
        </w:div>
        <w:div w:id="973097990">
          <w:marLeft w:val="0"/>
          <w:marRight w:val="0"/>
          <w:marTop w:val="0"/>
          <w:marBottom w:val="0"/>
          <w:divBdr>
            <w:top w:val="none" w:sz="0" w:space="0" w:color="auto"/>
            <w:left w:val="none" w:sz="0" w:space="0" w:color="auto"/>
            <w:bottom w:val="none" w:sz="0" w:space="0" w:color="auto"/>
            <w:right w:val="none" w:sz="0" w:space="0" w:color="auto"/>
          </w:divBdr>
        </w:div>
        <w:div w:id="982737376">
          <w:marLeft w:val="0"/>
          <w:marRight w:val="0"/>
          <w:marTop w:val="0"/>
          <w:marBottom w:val="0"/>
          <w:divBdr>
            <w:top w:val="none" w:sz="0" w:space="0" w:color="auto"/>
            <w:left w:val="none" w:sz="0" w:space="0" w:color="auto"/>
            <w:bottom w:val="none" w:sz="0" w:space="0" w:color="auto"/>
            <w:right w:val="none" w:sz="0" w:space="0" w:color="auto"/>
          </w:divBdr>
        </w:div>
        <w:div w:id="991325040">
          <w:marLeft w:val="0"/>
          <w:marRight w:val="0"/>
          <w:marTop w:val="0"/>
          <w:marBottom w:val="0"/>
          <w:divBdr>
            <w:top w:val="none" w:sz="0" w:space="0" w:color="auto"/>
            <w:left w:val="none" w:sz="0" w:space="0" w:color="auto"/>
            <w:bottom w:val="none" w:sz="0" w:space="0" w:color="auto"/>
            <w:right w:val="none" w:sz="0" w:space="0" w:color="auto"/>
          </w:divBdr>
        </w:div>
        <w:div w:id="994996025">
          <w:marLeft w:val="0"/>
          <w:marRight w:val="0"/>
          <w:marTop w:val="0"/>
          <w:marBottom w:val="0"/>
          <w:divBdr>
            <w:top w:val="none" w:sz="0" w:space="0" w:color="auto"/>
            <w:left w:val="none" w:sz="0" w:space="0" w:color="auto"/>
            <w:bottom w:val="none" w:sz="0" w:space="0" w:color="auto"/>
            <w:right w:val="none" w:sz="0" w:space="0" w:color="auto"/>
          </w:divBdr>
        </w:div>
        <w:div w:id="1007975476">
          <w:marLeft w:val="0"/>
          <w:marRight w:val="0"/>
          <w:marTop w:val="0"/>
          <w:marBottom w:val="0"/>
          <w:divBdr>
            <w:top w:val="none" w:sz="0" w:space="0" w:color="auto"/>
            <w:left w:val="none" w:sz="0" w:space="0" w:color="auto"/>
            <w:bottom w:val="none" w:sz="0" w:space="0" w:color="auto"/>
            <w:right w:val="none" w:sz="0" w:space="0" w:color="auto"/>
          </w:divBdr>
        </w:div>
        <w:div w:id="1008603039">
          <w:marLeft w:val="0"/>
          <w:marRight w:val="0"/>
          <w:marTop w:val="0"/>
          <w:marBottom w:val="0"/>
          <w:divBdr>
            <w:top w:val="none" w:sz="0" w:space="0" w:color="auto"/>
            <w:left w:val="none" w:sz="0" w:space="0" w:color="auto"/>
            <w:bottom w:val="none" w:sz="0" w:space="0" w:color="auto"/>
            <w:right w:val="none" w:sz="0" w:space="0" w:color="auto"/>
          </w:divBdr>
        </w:div>
        <w:div w:id="1026635615">
          <w:marLeft w:val="0"/>
          <w:marRight w:val="0"/>
          <w:marTop w:val="0"/>
          <w:marBottom w:val="0"/>
          <w:divBdr>
            <w:top w:val="none" w:sz="0" w:space="0" w:color="auto"/>
            <w:left w:val="none" w:sz="0" w:space="0" w:color="auto"/>
            <w:bottom w:val="none" w:sz="0" w:space="0" w:color="auto"/>
            <w:right w:val="none" w:sz="0" w:space="0" w:color="auto"/>
          </w:divBdr>
        </w:div>
        <w:div w:id="1031227290">
          <w:marLeft w:val="0"/>
          <w:marRight w:val="0"/>
          <w:marTop w:val="0"/>
          <w:marBottom w:val="0"/>
          <w:divBdr>
            <w:top w:val="none" w:sz="0" w:space="0" w:color="auto"/>
            <w:left w:val="none" w:sz="0" w:space="0" w:color="auto"/>
            <w:bottom w:val="none" w:sz="0" w:space="0" w:color="auto"/>
            <w:right w:val="none" w:sz="0" w:space="0" w:color="auto"/>
          </w:divBdr>
        </w:div>
        <w:div w:id="1053038156">
          <w:marLeft w:val="0"/>
          <w:marRight w:val="0"/>
          <w:marTop w:val="0"/>
          <w:marBottom w:val="0"/>
          <w:divBdr>
            <w:top w:val="none" w:sz="0" w:space="0" w:color="auto"/>
            <w:left w:val="none" w:sz="0" w:space="0" w:color="auto"/>
            <w:bottom w:val="none" w:sz="0" w:space="0" w:color="auto"/>
            <w:right w:val="none" w:sz="0" w:space="0" w:color="auto"/>
          </w:divBdr>
        </w:div>
        <w:div w:id="1053889150">
          <w:marLeft w:val="0"/>
          <w:marRight w:val="0"/>
          <w:marTop w:val="0"/>
          <w:marBottom w:val="0"/>
          <w:divBdr>
            <w:top w:val="none" w:sz="0" w:space="0" w:color="auto"/>
            <w:left w:val="none" w:sz="0" w:space="0" w:color="auto"/>
            <w:bottom w:val="none" w:sz="0" w:space="0" w:color="auto"/>
            <w:right w:val="none" w:sz="0" w:space="0" w:color="auto"/>
          </w:divBdr>
        </w:div>
        <w:div w:id="1068725445">
          <w:marLeft w:val="0"/>
          <w:marRight w:val="0"/>
          <w:marTop w:val="0"/>
          <w:marBottom w:val="0"/>
          <w:divBdr>
            <w:top w:val="none" w:sz="0" w:space="0" w:color="auto"/>
            <w:left w:val="none" w:sz="0" w:space="0" w:color="auto"/>
            <w:bottom w:val="none" w:sz="0" w:space="0" w:color="auto"/>
            <w:right w:val="none" w:sz="0" w:space="0" w:color="auto"/>
          </w:divBdr>
        </w:div>
        <w:div w:id="1099059372">
          <w:marLeft w:val="0"/>
          <w:marRight w:val="0"/>
          <w:marTop w:val="0"/>
          <w:marBottom w:val="0"/>
          <w:divBdr>
            <w:top w:val="none" w:sz="0" w:space="0" w:color="auto"/>
            <w:left w:val="none" w:sz="0" w:space="0" w:color="auto"/>
            <w:bottom w:val="none" w:sz="0" w:space="0" w:color="auto"/>
            <w:right w:val="none" w:sz="0" w:space="0" w:color="auto"/>
          </w:divBdr>
        </w:div>
        <w:div w:id="1100415120">
          <w:marLeft w:val="0"/>
          <w:marRight w:val="0"/>
          <w:marTop w:val="0"/>
          <w:marBottom w:val="0"/>
          <w:divBdr>
            <w:top w:val="none" w:sz="0" w:space="0" w:color="auto"/>
            <w:left w:val="none" w:sz="0" w:space="0" w:color="auto"/>
            <w:bottom w:val="none" w:sz="0" w:space="0" w:color="auto"/>
            <w:right w:val="none" w:sz="0" w:space="0" w:color="auto"/>
          </w:divBdr>
        </w:div>
        <w:div w:id="1102146993">
          <w:marLeft w:val="0"/>
          <w:marRight w:val="0"/>
          <w:marTop w:val="0"/>
          <w:marBottom w:val="0"/>
          <w:divBdr>
            <w:top w:val="none" w:sz="0" w:space="0" w:color="auto"/>
            <w:left w:val="none" w:sz="0" w:space="0" w:color="auto"/>
            <w:bottom w:val="none" w:sz="0" w:space="0" w:color="auto"/>
            <w:right w:val="none" w:sz="0" w:space="0" w:color="auto"/>
          </w:divBdr>
        </w:div>
        <w:div w:id="1114134733">
          <w:marLeft w:val="0"/>
          <w:marRight w:val="0"/>
          <w:marTop w:val="0"/>
          <w:marBottom w:val="0"/>
          <w:divBdr>
            <w:top w:val="none" w:sz="0" w:space="0" w:color="auto"/>
            <w:left w:val="none" w:sz="0" w:space="0" w:color="auto"/>
            <w:bottom w:val="none" w:sz="0" w:space="0" w:color="auto"/>
            <w:right w:val="none" w:sz="0" w:space="0" w:color="auto"/>
          </w:divBdr>
        </w:div>
        <w:div w:id="1119646391">
          <w:marLeft w:val="0"/>
          <w:marRight w:val="0"/>
          <w:marTop w:val="0"/>
          <w:marBottom w:val="0"/>
          <w:divBdr>
            <w:top w:val="none" w:sz="0" w:space="0" w:color="auto"/>
            <w:left w:val="none" w:sz="0" w:space="0" w:color="auto"/>
            <w:bottom w:val="none" w:sz="0" w:space="0" w:color="auto"/>
            <w:right w:val="none" w:sz="0" w:space="0" w:color="auto"/>
          </w:divBdr>
        </w:div>
        <w:div w:id="1130633937">
          <w:marLeft w:val="0"/>
          <w:marRight w:val="0"/>
          <w:marTop w:val="0"/>
          <w:marBottom w:val="0"/>
          <w:divBdr>
            <w:top w:val="none" w:sz="0" w:space="0" w:color="auto"/>
            <w:left w:val="none" w:sz="0" w:space="0" w:color="auto"/>
            <w:bottom w:val="none" w:sz="0" w:space="0" w:color="auto"/>
            <w:right w:val="none" w:sz="0" w:space="0" w:color="auto"/>
          </w:divBdr>
        </w:div>
        <w:div w:id="1132944294">
          <w:marLeft w:val="0"/>
          <w:marRight w:val="0"/>
          <w:marTop w:val="0"/>
          <w:marBottom w:val="0"/>
          <w:divBdr>
            <w:top w:val="none" w:sz="0" w:space="0" w:color="auto"/>
            <w:left w:val="none" w:sz="0" w:space="0" w:color="auto"/>
            <w:bottom w:val="none" w:sz="0" w:space="0" w:color="auto"/>
            <w:right w:val="none" w:sz="0" w:space="0" w:color="auto"/>
          </w:divBdr>
        </w:div>
        <w:div w:id="1139221662">
          <w:marLeft w:val="0"/>
          <w:marRight w:val="0"/>
          <w:marTop w:val="0"/>
          <w:marBottom w:val="0"/>
          <w:divBdr>
            <w:top w:val="none" w:sz="0" w:space="0" w:color="auto"/>
            <w:left w:val="none" w:sz="0" w:space="0" w:color="auto"/>
            <w:bottom w:val="none" w:sz="0" w:space="0" w:color="auto"/>
            <w:right w:val="none" w:sz="0" w:space="0" w:color="auto"/>
          </w:divBdr>
        </w:div>
        <w:div w:id="1145968237">
          <w:marLeft w:val="0"/>
          <w:marRight w:val="0"/>
          <w:marTop w:val="0"/>
          <w:marBottom w:val="0"/>
          <w:divBdr>
            <w:top w:val="none" w:sz="0" w:space="0" w:color="auto"/>
            <w:left w:val="none" w:sz="0" w:space="0" w:color="auto"/>
            <w:bottom w:val="none" w:sz="0" w:space="0" w:color="auto"/>
            <w:right w:val="none" w:sz="0" w:space="0" w:color="auto"/>
          </w:divBdr>
        </w:div>
        <w:div w:id="1148747045">
          <w:marLeft w:val="0"/>
          <w:marRight w:val="0"/>
          <w:marTop w:val="0"/>
          <w:marBottom w:val="0"/>
          <w:divBdr>
            <w:top w:val="none" w:sz="0" w:space="0" w:color="auto"/>
            <w:left w:val="none" w:sz="0" w:space="0" w:color="auto"/>
            <w:bottom w:val="none" w:sz="0" w:space="0" w:color="auto"/>
            <w:right w:val="none" w:sz="0" w:space="0" w:color="auto"/>
          </w:divBdr>
        </w:div>
        <w:div w:id="1165167995">
          <w:marLeft w:val="0"/>
          <w:marRight w:val="0"/>
          <w:marTop w:val="0"/>
          <w:marBottom w:val="0"/>
          <w:divBdr>
            <w:top w:val="none" w:sz="0" w:space="0" w:color="auto"/>
            <w:left w:val="none" w:sz="0" w:space="0" w:color="auto"/>
            <w:bottom w:val="none" w:sz="0" w:space="0" w:color="auto"/>
            <w:right w:val="none" w:sz="0" w:space="0" w:color="auto"/>
          </w:divBdr>
        </w:div>
        <w:div w:id="1165823870">
          <w:marLeft w:val="0"/>
          <w:marRight w:val="0"/>
          <w:marTop w:val="0"/>
          <w:marBottom w:val="0"/>
          <w:divBdr>
            <w:top w:val="none" w:sz="0" w:space="0" w:color="auto"/>
            <w:left w:val="none" w:sz="0" w:space="0" w:color="auto"/>
            <w:bottom w:val="none" w:sz="0" w:space="0" w:color="auto"/>
            <w:right w:val="none" w:sz="0" w:space="0" w:color="auto"/>
          </w:divBdr>
        </w:div>
        <w:div w:id="1172599880">
          <w:marLeft w:val="0"/>
          <w:marRight w:val="0"/>
          <w:marTop w:val="0"/>
          <w:marBottom w:val="0"/>
          <w:divBdr>
            <w:top w:val="none" w:sz="0" w:space="0" w:color="auto"/>
            <w:left w:val="none" w:sz="0" w:space="0" w:color="auto"/>
            <w:bottom w:val="none" w:sz="0" w:space="0" w:color="auto"/>
            <w:right w:val="none" w:sz="0" w:space="0" w:color="auto"/>
          </w:divBdr>
        </w:div>
        <w:div w:id="1178927716">
          <w:marLeft w:val="0"/>
          <w:marRight w:val="0"/>
          <w:marTop w:val="0"/>
          <w:marBottom w:val="0"/>
          <w:divBdr>
            <w:top w:val="none" w:sz="0" w:space="0" w:color="auto"/>
            <w:left w:val="none" w:sz="0" w:space="0" w:color="auto"/>
            <w:bottom w:val="none" w:sz="0" w:space="0" w:color="auto"/>
            <w:right w:val="none" w:sz="0" w:space="0" w:color="auto"/>
          </w:divBdr>
        </w:div>
        <w:div w:id="1202282064">
          <w:marLeft w:val="0"/>
          <w:marRight w:val="0"/>
          <w:marTop w:val="0"/>
          <w:marBottom w:val="0"/>
          <w:divBdr>
            <w:top w:val="none" w:sz="0" w:space="0" w:color="auto"/>
            <w:left w:val="none" w:sz="0" w:space="0" w:color="auto"/>
            <w:bottom w:val="none" w:sz="0" w:space="0" w:color="auto"/>
            <w:right w:val="none" w:sz="0" w:space="0" w:color="auto"/>
          </w:divBdr>
        </w:div>
        <w:div w:id="1217474078">
          <w:marLeft w:val="0"/>
          <w:marRight w:val="0"/>
          <w:marTop w:val="0"/>
          <w:marBottom w:val="0"/>
          <w:divBdr>
            <w:top w:val="none" w:sz="0" w:space="0" w:color="auto"/>
            <w:left w:val="none" w:sz="0" w:space="0" w:color="auto"/>
            <w:bottom w:val="none" w:sz="0" w:space="0" w:color="auto"/>
            <w:right w:val="none" w:sz="0" w:space="0" w:color="auto"/>
          </w:divBdr>
        </w:div>
        <w:div w:id="1229806838">
          <w:marLeft w:val="0"/>
          <w:marRight w:val="0"/>
          <w:marTop w:val="0"/>
          <w:marBottom w:val="0"/>
          <w:divBdr>
            <w:top w:val="none" w:sz="0" w:space="0" w:color="auto"/>
            <w:left w:val="none" w:sz="0" w:space="0" w:color="auto"/>
            <w:bottom w:val="none" w:sz="0" w:space="0" w:color="auto"/>
            <w:right w:val="none" w:sz="0" w:space="0" w:color="auto"/>
          </w:divBdr>
        </w:div>
        <w:div w:id="1234897445">
          <w:marLeft w:val="0"/>
          <w:marRight w:val="0"/>
          <w:marTop w:val="0"/>
          <w:marBottom w:val="0"/>
          <w:divBdr>
            <w:top w:val="none" w:sz="0" w:space="0" w:color="auto"/>
            <w:left w:val="none" w:sz="0" w:space="0" w:color="auto"/>
            <w:bottom w:val="none" w:sz="0" w:space="0" w:color="auto"/>
            <w:right w:val="none" w:sz="0" w:space="0" w:color="auto"/>
          </w:divBdr>
        </w:div>
        <w:div w:id="1234969267">
          <w:marLeft w:val="0"/>
          <w:marRight w:val="0"/>
          <w:marTop w:val="0"/>
          <w:marBottom w:val="0"/>
          <w:divBdr>
            <w:top w:val="none" w:sz="0" w:space="0" w:color="auto"/>
            <w:left w:val="none" w:sz="0" w:space="0" w:color="auto"/>
            <w:bottom w:val="none" w:sz="0" w:space="0" w:color="auto"/>
            <w:right w:val="none" w:sz="0" w:space="0" w:color="auto"/>
          </w:divBdr>
        </w:div>
        <w:div w:id="1242179148">
          <w:marLeft w:val="0"/>
          <w:marRight w:val="0"/>
          <w:marTop w:val="0"/>
          <w:marBottom w:val="0"/>
          <w:divBdr>
            <w:top w:val="none" w:sz="0" w:space="0" w:color="auto"/>
            <w:left w:val="none" w:sz="0" w:space="0" w:color="auto"/>
            <w:bottom w:val="none" w:sz="0" w:space="0" w:color="auto"/>
            <w:right w:val="none" w:sz="0" w:space="0" w:color="auto"/>
          </w:divBdr>
        </w:div>
        <w:div w:id="1254777862">
          <w:marLeft w:val="0"/>
          <w:marRight w:val="0"/>
          <w:marTop w:val="0"/>
          <w:marBottom w:val="0"/>
          <w:divBdr>
            <w:top w:val="none" w:sz="0" w:space="0" w:color="auto"/>
            <w:left w:val="none" w:sz="0" w:space="0" w:color="auto"/>
            <w:bottom w:val="none" w:sz="0" w:space="0" w:color="auto"/>
            <w:right w:val="none" w:sz="0" w:space="0" w:color="auto"/>
          </w:divBdr>
        </w:div>
        <w:div w:id="1258558588">
          <w:marLeft w:val="0"/>
          <w:marRight w:val="0"/>
          <w:marTop w:val="0"/>
          <w:marBottom w:val="0"/>
          <w:divBdr>
            <w:top w:val="none" w:sz="0" w:space="0" w:color="auto"/>
            <w:left w:val="none" w:sz="0" w:space="0" w:color="auto"/>
            <w:bottom w:val="none" w:sz="0" w:space="0" w:color="auto"/>
            <w:right w:val="none" w:sz="0" w:space="0" w:color="auto"/>
          </w:divBdr>
        </w:div>
        <w:div w:id="1262952512">
          <w:marLeft w:val="0"/>
          <w:marRight w:val="0"/>
          <w:marTop w:val="0"/>
          <w:marBottom w:val="0"/>
          <w:divBdr>
            <w:top w:val="none" w:sz="0" w:space="0" w:color="auto"/>
            <w:left w:val="none" w:sz="0" w:space="0" w:color="auto"/>
            <w:bottom w:val="none" w:sz="0" w:space="0" w:color="auto"/>
            <w:right w:val="none" w:sz="0" w:space="0" w:color="auto"/>
          </w:divBdr>
        </w:div>
        <w:div w:id="1267929166">
          <w:marLeft w:val="0"/>
          <w:marRight w:val="0"/>
          <w:marTop w:val="0"/>
          <w:marBottom w:val="0"/>
          <w:divBdr>
            <w:top w:val="none" w:sz="0" w:space="0" w:color="auto"/>
            <w:left w:val="none" w:sz="0" w:space="0" w:color="auto"/>
            <w:bottom w:val="none" w:sz="0" w:space="0" w:color="auto"/>
            <w:right w:val="none" w:sz="0" w:space="0" w:color="auto"/>
          </w:divBdr>
        </w:div>
        <w:div w:id="1267957246">
          <w:marLeft w:val="0"/>
          <w:marRight w:val="0"/>
          <w:marTop w:val="0"/>
          <w:marBottom w:val="0"/>
          <w:divBdr>
            <w:top w:val="none" w:sz="0" w:space="0" w:color="auto"/>
            <w:left w:val="none" w:sz="0" w:space="0" w:color="auto"/>
            <w:bottom w:val="none" w:sz="0" w:space="0" w:color="auto"/>
            <w:right w:val="none" w:sz="0" w:space="0" w:color="auto"/>
          </w:divBdr>
        </w:div>
        <w:div w:id="1270315087">
          <w:marLeft w:val="0"/>
          <w:marRight w:val="0"/>
          <w:marTop w:val="0"/>
          <w:marBottom w:val="0"/>
          <w:divBdr>
            <w:top w:val="none" w:sz="0" w:space="0" w:color="auto"/>
            <w:left w:val="none" w:sz="0" w:space="0" w:color="auto"/>
            <w:bottom w:val="none" w:sz="0" w:space="0" w:color="auto"/>
            <w:right w:val="none" w:sz="0" w:space="0" w:color="auto"/>
          </w:divBdr>
        </w:div>
        <w:div w:id="1273777873">
          <w:marLeft w:val="0"/>
          <w:marRight w:val="0"/>
          <w:marTop w:val="0"/>
          <w:marBottom w:val="0"/>
          <w:divBdr>
            <w:top w:val="none" w:sz="0" w:space="0" w:color="auto"/>
            <w:left w:val="none" w:sz="0" w:space="0" w:color="auto"/>
            <w:bottom w:val="none" w:sz="0" w:space="0" w:color="auto"/>
            <w:right w:val="none" w:sz="0" w:space="0" w:color="auto"/>
          </w:divBdr>
        </w:div>
        <w:div w:id="1274052303">
          <w:marLeft w:val="0"/>
          <w:marRight w:val="0"/>
          <w:marTop w:val="0"/>
          <w:marBottom w:val="0"/>
          <w:divBdr>
            <w:top w:val="none" w:sz="0" w:space="0" w:color="auto"/>
            <w:left w:val="none" w:sz="0" w:space="0" w:color="auto"/>
            <w:bottom w:val="none" w:sz="0" w:space="0" w:color="auto"/>
            <w:right w:val="none" w:sz="0" w:space="0" w:color="auto"/>
          </w:divBdr>
        </w:div>
        <w:div w:id="1274510411">
          <w:marLeft w:val="0"/>
          <w:marRight w:val="0"/>
          <w:marTop w:val="0"/>
          <w:marBottom w:val="0"/>
          <w:divBdr>
            <w:top w:val="none" w:sz="0" w:space="0" w:color="auto"/>
            <w:left w:val="none" w:sz="0" w:space="0" w:color="auto"/>
            <w:bottom w:val="none" w:sz="0" w:space="0" w:color="auto"/>
            <w:right w:val="none" w:sz="0" w:space="0" w:color="auto"/>
          </w:divBdr>
        </w:div>
        <w:div w:id="1276673193">
          <w:marLeft w:val="0"/>
          <w:marRight w:val="0"/>
          <w:marTop w:val="0"/>
          <w:marBottom w:val="0"/>
          <w:divBdr>
            <w:top w:val="none" w:sz="0" w:space="0" w:color="auto"/>
            <w:left w:val="none" w:sz="0" w:space="0" w:color="auto"/>
            <w:bottom w:val="none" w:sz="0" w:space="0" w:color="auto"/>
            <w:right w:val="none" w:sz="0" w:space="0" w:color="auto"/>
          </w:divBdr>
        </w:div>
        <w:div w:id="1281108193">
          <w:marLeft w:val="0"/>
          <w:marRight w:val="0"/>
          <w:marTop w:val="0"/>
          <w:marBottom w:val="0"/>
          <w:divBdr>
            <w:top w:val="none" w:sz="0" w:space="0" w:color="auto"/>
            <w:left w:val="none" w:sz="0" w:space="0" w:color="auto"/>
            <w:bottom w:val="none" w:sz="0" w:space="0" w:color="auto"/>
            <w:right w:val="none" w:sz="0" w:space="0" w:color="auto"/>
          </w:divBdr>
        </w:div>
        <w:div w:id="1281180859">
          <w:marLeft w:val="0"/>
          <w:marRight w:val="0"/>
          <w:marTop w:val="0"/>
          <w:marBottom w:val="0"/>
          <w:divBdr>
            <w:top w:val="none" w:sz="0" w:space="0" w:color="auto"/>
            <w:left w:val="none" w:sz="0" w:space="0" w:color="auto"/>
            <w:bottom w:val="none" w:sz="0" w:space="0" w:color="auto"/>
            <w:right w:val="none" w:sz="0" w:space="0" w:color="auto"/>
          </w:divBdr>
        </w:div>
        <w:div w:id="1309626759">
          <w:marLeft w:val="0"/>
          <w:marRight w:val="0"/>
          <w:marTop w:val="0"/>
          <w:marBottom w:val="0"/>
          <w:divBdr>
            <w:top w:val="none" w:sz="0" w:space="0" w:color="auto"/>
            <w:left w:val="none" w:sz="0" w:space="0" w:color="auto"/>
            <w:bottom w:val="none" w:sz="0" w:space="0" w:color="auto"/>
            <w:right w:val="none" w:sz="0" w:space="0" w:color="auto"/>
          </w:divBdr>
        </w:div>
        <w:div w:id="1315525936">
          <w:marLeft w:val="0"/>
          <w:marRight w:val="0"/>
          <w:marTop w:val="0"/>
          <w:marBottom w:val="0"/>
          <w:divBdr>
            <w:top w:val="none" w:sz="0" w:space="0" w:color="auto"/>
            <w:left w:val="none" w:sz="0" w:space="0" w:color="auto"/>
            <w:bottom w:val="none" w:sz="0" w:space="0" w:color="auto"/>
            <w:right w:val="none" w:sz="0" w:space="0" w:color="auto"/>
          </w:divBdr>
        </w:div>
        <w:div w:id="1318461720">
          <w:marLeft w:val="0"/>
          <w:marRight w:val="0"/>
          <w:marTop w:val="0"/>
          <w:marBottom w:val="0"/>
          <w:divBdr>
            <w:top w:val="none" w:sz="0" w:space="0" w:color="auto"/>
            <w:left w:val="none" w:sz="0" w:space="0" w:color="auto"/>
            <w:bottom w:val="none" w:sz="0" w:space="0" w:color="auto"/>
            <w:right w:val="none" w:sz="0" w:space="0" w:color="auto"/>
          </w:divBdr>
        </w:div>
        <w:div w:id="1321038033">
          <w:marLeft w:val="0"/>
          <w:marRight w:val="0"/>
          <w:marTop w:val="0"/>
          <w:marBottom w:val="0"/>
          <w:divBdr>
            <w:top w:val="none" w:sz="0" w:space="0" w:color="auto"/>
            <w:left w:val="none" w:sz="0" w:space="0" w:color="auto"/>
            <w:bottom w:val="none" w:sz="0" w:space="0" w:color="auto"/>
            <w:right w:val="none" w:sz="0" w:space="0" w:color="auto"/>
          </w:divBdr>
        </w:div>
        <w:div w:id="1330600859">
          <w:marLeft w:val="0"/>
          <w:marRight w:val="0"/>
          <w:marTop w:val="0"/>
          <w:marBottom w:val="0"/>
          <w:divBdr>
            <w:top w:val="none" w:sz="0" w:space="0" w:color="auto"/>
            <w:left w:val="none" w:sz="0" w:space="0" w:color="auto"/>
            <w:bottom w:val="none" w:sz="0" w:space="0" w:color="auto"/>
            <w:right w:val="none" w:sz="0" w:space="0" w:color="auto"/>
          </w:divBdr>
        </w:div>
        <w:div w:id="1343585442">
          <w:marLeft w:val="0"/>
          <w:marRight w:val="0"/>
          <w:marTop w:val="0"/>
          <w:marBottom w:val="0"/>
          <w:divBdr>
            <w:top w:val="none" w:sz="0" w:space="0" w:color="auto"/>
            <w:left w:val="none" w:sz="0" w:space="0" w:color="auto"/>
            <w:bottom w:val="none" w:sz="0" w:space="0" w:color="auto"/>
            <w:right w:val="none" w:sz="0" w:space="0" w:color="auto"/>
          </w:divBdr>
        </w:div>
        <w:div w:id="1362168453">
          <w:marLeft w:val="0"/>
          <w:marRight w:val="0"/>
          <w:marTop w:val="0"/>
          <w:marBottom w:val="0"/>
          <w:divBdr>
            <w:top w:val="none" w:sz="0" w:space="0" w:color="auto"/>
            <w:left w:val="none" w:sz="0" w:space="0" w:color="auto"/>
            <w:bottom w:val="none" w:sz="0" w:space="0" w:color="auto"/>
            <w:right w:val="none" w:sz="0" w:space="0" w:color="auto"/>
          </w:divBdr>
        </w:div>
        <w:div w:id="1368068668">
          <w:marLeft w:val="0"/>
          <w:marRight w:val="0"/>
          <w:marTop w:val="0"/>
          <w:marBottom w:val="0"/>
          <w:divBdr>
            <w:top w:val="none" w:sz="0" w:space="0" w:color="auto"/>
            <w:left w:val="none" w:sz="0" w:space="0" w:color="auto"/>
            <w:bottom w:val="none" w:sz="0" w:space="0" w:color="auto"/>
            <w:right w:val="none" w:sz="0" w:space="0" w:color="auto"/>
          </w:divBdr>
        </w:div>
        <w:div w:id="1376928830">
          <w:marLeft w:val="0"/>
          <w:marRight w:val="0"/>
          <w:marTop w:val="0"/>
          <w:marBottom w:val="0"/>
          <w:divBdr>
            <w:top w:val="none" w:sz="0" w:space="0" w:color="auto"/>
            <w:left w:val="none" w:sz="0" w:space="0" w:color="auto"/>
            <w:bottom w:val="none" w:sz="0" w:space="0" w:color="auto"/>
            <w:right w:val="none" w:sz="0" w:space="0" w:color="auto"/>
          </w:divBdr>
        </w:div>
        <w:div w:id="1383406094">
          <w:marLeft w:val="0"/>
          <w:marRight w:val="0"/>
          <w:marTop w:val="0"/>
          <w:marBottom w:val="0"/>
          <w:divBdr>
            <w:top w:val="none" w:sz="0" w:space="0" w:color="auto"/>
            <w:left w:val="none" w:sz="0" w:space="0" w:color="auto"/>
            <w:bottom w:val="none" w:sz="0" w:space="0" w:color="auto"/>
            <w:right w:val="none" w:sz="0" w:space="0" w:color="auto"/>
          </w:divBdr>
        </w:div>
        <w:div w:id="1390114008">
          <w:marLeft w:val="0"/>
          <w:marRight w:val="0"/>
          <w:marTop w:val="0"/>
          <w:marBottom w:val="0"/>
          <w:divBdr>
            <w:top w:val="none" w:sz="0" w:space="0" w:color="auto"/>
            <w:left w:val="none" w:sz="0" w:space="0" w:color="auto"/>
            <w:bottom w:val="none" w:sz="0" w:space="0" w:color="auto"/>
            <w:right w:val="none" w:sz="0" w:space="0" w:color="auto"/>
          </w:divBdr>
        </w:div>
        <w:div w:id="1391802691">
          <w:marLeft w:val="0"/>
          <w:marRight w:val="0"/>
          <w:marTop w:val="0"/>
          <w:marBottom w:val="0"/>
          <w:divBdr>
            <w:top w:val="none" w:sz="0" w:space="0" w:color="auto"/>
            <w:left w:val="none" w:sz="0" w:space="0" w:color="auto"/>
            <w:bottom w:val="none" w:sz="0" w:space="0" w:color="auto"/>
            <w:right w:val="none" w:sz="0" w:space="0" w:color="auto"/>
          </w:divBdr>
        </w:div>
        <w:div w:id="1404454027">
          <w:marLeft w:val="0"/>
          <w:marRight w:val="0"/>
          <w:marTop w:val="0"/>
          <w:marBottom w:val="0"/>
          <w:divBdr>
            <w:top w:val="none" w:sz="0" w:space="0" w:color="auto"/>
            <w:left w:val="none" w:sz="0" w:space="0" w:color="auto"/>
            <w:bottom w:val="none" w:sz="0" w:space="0" w:color="auto"/>
            <w:right w:val="none" w:sz="0" w:space="0" w:color="auto"/>
          </w:divBdr>
        </w:div>
        <w:div w:id="1411274414">
          <w:marLeft w:val="0"/>
          <w:marRight w:val="0"/>
          <w:marTop w:val="0"/>
          <w:marBottom w:val="0"/>
          <w:divBdr>
            <w:top w:val="none" w:sz="0" w:space="0" w:color="auto"/>
            <w:left w:val="none" w:sz="0" w:space="0" w:color="auto"/>
            <w:bottom w:val="none" w:sz="0" w:space="0" w:color="auto"/>
            <w:right w:val="none" w:sz="0" w:space="0" w:color="auto"/>
          </w:divBdr>
        </w:div>
        <w:div w:id="1413703651">
          <w:marLeft w:val="0"/>
          <w:marRight w:val="0"/>
          <w:marTop w:val="0"/>
          <w:marBottom w:val="0"/>
          <w:divBdr>
            <w:top w:val="none" w:sz="0" w:space="0" w:color="auto"/>
            <w:left w:val="none" w:sz="0" w:space="0" w:color="auto"/>
            <w:bottom w:val="none" w:sz="0" w:space="0" w:color="auto"/>
            <w:right w:val="none" w:sz="0" w:space="0" w:color="auto"/>
          </w:divBdr>
        </w:div>
        <w:div w:id="1415007552">
          <w:marLeft w:val="0"/>
          <w:marRight w:val="0"/>
          <w:marTop w:val="0"/>
          <w:marBottom w:val="0"/>
          <w:divBdr>
            <w:top w:val="none" w:sz="0" w:space="0" w:color="auto"/>
            <w:left w:val="none" w:sz="0" w:space="0" w:color="auto"/>
            <w:bottom w:val="none" w:sz="0" w:space="0" w:color="auto"/>
            <w:right w:val="none" w:sz="0" w:space="0" w:color="auto"/>
          </w:divBdr>
        </w:div>
        <w:div w:id="1425883544">
          <w:marLeft w:val="0"/>
          <w:marRight w:val="0"/>
          <w:marTop w:val="0"/>
          <w:marBottom w:val="0"/>
          <w:divBdr>
            <w:top w:val="none" w:sz="0" w:space="0" w:color="auto"/>
            <w:left w:val="none" w:sz="0" w:space="0" w:color="auto"/>
            <w:bottom w:val="none" w:sz="0" w:space="0" w:color="auto"/>
            <w:right w:val="none" w:sz="0" w:space="0" w:color="auto"/>
          </w:divBdr>
        </w:div>
        <w:div w:id="1427269159">
          <w:marLeft w:val="0"/>
          <w:marRight w:val="0"/>
          <w:marTop w:val="0"/>
          <w:marBottom w:val="0"/>
          <w:divBdr>
            <w:top w:val="none" w:sz="0" w:space="0" w:color="auto"/>
            <w:left w:val="none" w:sz="0" w:space="0" w:color="auto"/>
            <w:bottom w:val="none" w:sz="0" w:space="0" w:color="auto"/>
            <w:right w:val="none" w:sz="0" w:space="0" w:color="auto"/>
          </w:divBdr>
        </w:div>
        <w:div w:id="1429228354">
          <w:marLeft w:val="0"/>
          <w:marRight w:val="0"/>
          <w:marTop w:val="0"/>
          <w:marBottom w:val="0"/>
          <w:divBdr>
            <w:top w:val="none" w:sz="0" w:space="0" w:color="auto"/>
            <w:left w:val="none" w:sz="0" w:space="0" w:color="auto"/>
            <w:bottom w:val="none" w:sz="0" w:space="0" w:color="auto"/>
            <w:right w:val="none" w:sz="0" w:space="0" w:color="auto"/>
          </w:divBdr>
        </w:div>
        <w:div w:id="1429421478">
          <w:marLeft w:val="0"/>
          <w:marRight w:val="0"/>
          <w:marTop w:val="0"/>
          <w:marBottom w:val="0"/>
          <w:divBdr>
            <w:top w:val="none" w:sz="0" w:space="0" w:color="auto"/>
            <w:left w:val="none" w:sz="0" w:space="0" w:color="auto"/>
            <w:bottom w:val="none" w:sz="0" w:space="0" w:color="auto"/>
            <w:right w:val="none" w:sz="0" w:space="0" w:color="auto"/>
          </w:divBdr>
        </w:div>
        <w:div w:id="1436825015">
          <w:marLeft w:val="0"/>
          <w:marRight w:val="0"/>
          <w:marTop w:val="0"/>
          <w:marBottom w:val="0"/>
          <w:divBdr>
            <w:top w:val="none" w:sz="0" w:space="0" w:color="auto"/>
            <w:left w:val="none" w:sz="0" w:space="0" w:color="auto"/>
            <w:bottom w:val="none" w:sz="0" w:space="0" w:color="auto"/>
            <w:right w:val="none" w:sz="0" w:space="0" w:color="auto"/>
          </w:divBdr>
        </w:div>
        <w:div w:id="1444112960">
          <w:marLeft w:val="0"/>
          <w:marRight w:val="0"/>
          <w:marTop w:val="0"/>
          <w:marBottom w:val="0"/>
          <w:divBdr>
            <w:top w:val="none" w:sz="0" w:space="0" w:color="auto"/>
            <w:left w:val="none" w:sz="0" w:space="0" w:color="auto"/>
            <w:bottom w:val="none" w:sz="0" w:space="0" w:color="auto"/>
            <w:right w:val="none" w:sz="0" w:space="0" w:color="auto"/>
          </w:divBdr>
        </w:div>
        <w:div w:id="1455323047">
          <w:marLeft w:val="0"/>
          <w:marRight w:val="0"/>
          <w:marTop w:val="0"/>
          <w:marBottom w:val="0"/>
          <w:divBdr>
            <w:top w:val="none" w:sz="0" w:space="0" w:color="auto"/>
            <w:left w:val="none" w:sz="0" w:space="0" w:color="auto"/>
            <w:bottom w:val="none" w:sz="0" w:space="0" w:color="auto"/>
            <w:right w:val="none" w:sz="0" w:space="0" w:color="auto"/>
          </w:divBdr>
        </w:div>
        <w:div w:id="1455834323">
          <w:marLeft w:val="0"/>
          <w:marRight w:val="0"/>
          <w:marTop w:val="0"/>
          <w:marBottom w:val="0"/>
          <w:divBdr>
            <w:top w:val="none" w:sz="0" w:space="0" w:color="auto"/>
            <w:left w:val="none" w:sz="0" w:space="0" w:color="auto"/>
            <w:bottom w:val="none" w:sz="0" w:space="0" w:color="auto"/>
            <w:right w:val="none" w:sz="0" w:space="0" w:color="auto"/>
          </w:divBdr>
        </w:div>
        <w:div w:id="1461269228">
          <w:marLeft w:val="0"/>
          <w:marRight w:val="0"/>
          <w:marTop w:val="0"/>
          <w:marBottom w:val="0"/>
          <w:divBdr>
            <w:top w:val="none" w:sz="0" w:space="0" w:color="auto"/>
            <w:left w:val="none" w:sz="0" w:space="0" w:color="auto"/>
            <w:bottom w:val="none" w:sz="0" w:space="0" w:color="auto"/>
            <w:right w:val="none" w:sz="0" w:space="0" w:color="auto"/>
          </w:divBdr>
        </w:div>
        <w:div w:id="1470129389">
          <w:marLeft w:val="0"/>
          <w:marRight w:val="0"/>
          <w:marTop w:val="0"/>
          <w:marBottom w:val="0"/>
          <w:divBdr>
            <w:top w:val="none" w:sz="0" w:space="0" w:color="auto"/>
            <w:left w:val="none" w:sz="0" w:space="0" w:color="auto"/>
            <w:bottom w:val="none" w:sz="0" w:space="0" w:color="auto"/>
            <w:right w:val="none" w:sz="0" w:space="0" w:color="auto"/>
          </w:divBdr>
        </w:div>
        <w:div w:id="1472484727">
          <w:marLeft w:val="0"/>
          <w:marRight w:val="0"/>
          <w:marTop w:val="0"/>
          <w:marBottom w:val="0"/>
          <w:divBdr>
            <w:top w:val="none" w:sz="0" w:space="0" w:color="auto"/>
            <w:left w:val="none" w:sz="0" w:space="0" w:color="auto"/>
            <w:bottom w:val="none" w:sz="0" w:space="0" w:color="auto"/>
            <w:right w:val="none" w:sz="0" w:space="0" w:color="auto"/>
          </w:divBdr>
        </w:div>
        <w:div w:id="1477601507">
          <w:marLeft w:val="0"/>
          <w:marRight w:val="0"/>
          <w:marTop w:val="0"/>
          <w:marBottom w:val="0"/>
          <w:divBdr>
            <w:top w:val="none" w:sz="0" w:space="0" w:color="auto"/>
            <w:left w:val="none" w:sz="0" w:space="0" w:color="auto"/>
            <w:bottom w:val="none" w:sz="0" w:space="0" w:color="auto"/>
            <w:right w:val="none" w:sz="0" w:space="0" w:color="auto"/>
          </w:divBdr>
        </w:div>
        <w:div w:id="1477651468">
          <w:marLeft w:val="0"/>
          <w:marRight w:val="0"/>
          <w:marTop w:val="0"/>
          <w:marBottom w:val="0"/>
          <w:divBdr>
            <w:top w:val="none" w:sz="0" w:space="0" w:color="auto"/>
            <w:left w:val="none" w:sz="0" w:space="0" w:color="auto"/>
            <w:bottom w:val="none" w:sz="0" w:space="0" w:color="auto"/>
            <w:right w:val="none" w:sz="0" w:space="0" w:color="auto"/>
          </w:divBdr>
        </w:div>
        <w:div w:id="1481000672">
          <w:marLeft w:val="0"/>
          <w:marRight w:val="0"/>
          <w:marTop w:val="0"/>
          <w:marBottom w:val="0"/>
          <w:divBdr>
            <w:top w:val="none" w:sz="0" w:space="0" w:color="auto"/>
            <w:left w:val="none" w:sz="0" w:space="0" w:color="auto"/>
            <w:bottom w:val="none" w:sz="0" w:space="0" w:color="auto"/>
            <w:right w:val="none" w:sz="0" w:space="0" w:color="auto"/>
          </w:divBdr>
        </w:div>
        <w:div w:id="1486513989">
          <w:marLeft w:val="0"/>
          <w:marRight w:val="0"/>
          <w:marTop w:val="0"/>
          <w:marBottom w:val="0"/>
          <w:divBdr>
            <w:top w:val="none" w:sz="0" w:space="0" w:color="auto"/>
            <w:left w:val="none" w:sz="0" w:space="0" w:color="auto"/>
            <w:bottom w:val="none" w:sz="0" w:space="0" w:color="auto"/>
            <w:right w:val="none" w:sz="0" w:space="0" w:color="auto"/>
          </w:divBdr>
        </w:div>
        <w:div w:id="1487089087">
          <w:marLeft w:val="0"/>
          <w:marRight w:val="0"/>
          <w:marTop w:val="0"/>
          <w:marBottom w:val="0"/>
          <w:divBdr>
            <w:top w:val="none" w:sz="0" w:space="0" w:color="auto"/>
            <w:left w:val="none" w:sz="0" w:space="0" w:color="auto"/>
            <w:bottom w:val="none" w:sz="0" w:space="0" w:color="auto"/>
            <w:right w:val="none" w:sz="0" w:space="0" w:color="auto"/>
          </w:divBdr>
        </w:div>
        <w:div w:id="1487476336">
          <w:marLeft w:val="0"/>
          <w:marRight w:val="0"/>
          <w:marTop w:val="0"/>
          <w:marBottom w:val="0"/>
          <w:divBdr>
            <w:top w:val="none" w:sz="0" w:space="0" w:color="auto"/>
            <w:left w:val="none" w:sz="0" w:space="0" w:color="auto"/>
            <w:bottom w:val="none" w:sz="0" w:space="0" w:color="auto"/>
            <w:right w:val="none" w:sz="0" w:space="0" w:color="auto"/>
          </w:divBdr>
        </w:div>
        <w:div w:id="1492021411">
          <w:marLeft w:val="0"/>
          <w:marRight w:val="0"/>
          <w:marTop w:val="0"/>
          <w:marBottom w:val="0"/>
          <w:divBdr>
            <w:top w:val="none" w:sz="0" w:space="0" w:color="auto"/>
            <w:left w:val="none" w:sz="0" w:space="0" w:color="auto"/>
            <w:bottom w:val="none" w:sz="0" w:space="0" w:color="auto"/>
            <w:right w:val="none" w:sz="0" w:space="0" w:color="auto"/>
          </w:divBdr>
        </w:div>
        <w:div w:id="1493834559">
          <w:marLeft w:val="0"/>
          <w:marRight w:val="0"/>
          <w:marTop w:val="0"/>
          <w:marBottom w:val="0"/>
          <w:divBdr>
            <w:top w:val="none" w:sz="0" w:space="0" w:color="auto"/>
            <w:left w:val="none" w:sz="0" w:space="0" w:color="auto"/>
            <w:bottom w:val="none" w:sz="0" w:space="0" w:color="auto"/>
            <w:right w:val="none" w:sz="0" w:space="0" w:color="auto"/>
          </w:divBdr>
        </w:div>
        <w:div w:id="1495996544">
          <w:marLeft w:val="0"/>
          <w:marRight w:val="0"/>
          <w:marTop w:val="0"/>
          <w:marBottom w:val="0"/>
          <w:divBdr>
            <w:top w:val="none" w:sz="0" w:space="0" w:color="auto"/>
            <w:left w:val="none" w:sz="0" w:space="0" w:color="auto"/>
            <w:bottom w:val="none" w:sz="0" w:space="0" w:color="auto"/>
            <w:right w:val="none" w:sz="0" w:space="0" w:color="auto"/>
          </w:divBdr>
        </w:div>
        <w:div w:id="1506894631">
          <w:marLeft w:val="0"/>
          <w:marRight w:val="0"/>
          <w:marTop w:val="0"/>
          <w:marBottom w:val="0"/>
          <w:divBdr>
            <w:top w:val="none" w:sz="0" w:space="0" w:color="auto"/>
            <w:left w:val="none" w:sz="0" w:space="0" w:color="auto"/>
            <w:bottom w:val="none" w:sz="0" w:space="0" w:color="auto"/>
            <w:right w:val="none" w:sz="0" w:space="0" w:color="auto"/>
          </w:divBdr>
        </w:div>
        <w:div w:id="1528103830">
          <w:marLeft w:val="0"/>
          <w:marRight w:val="0"/>
          <w:marTop w:val="0"/>
          <w:marBottom w:val="0"/>
          <w:divBdr>
            <w:top w:val="none" w:sz="0" w:space="0" w:color="auto"/>
            <w:left w:val="none" w:sz="0" w:space="0" w:color="auto"/>
            <w:bottom w:val="none" w:sz="0" w:space="0" w:color="auto"/>
            <w:right w:val="none" w:sz="0" w:space="0" w:color="auto"/>
          </w:divBdr>
        </w:div>
        <w:div w:id="1528716169">
          <w:marLeft w:val="0"/>
          <w:marRight w:val="0"/>
          <w:marTop w:val="0"/>
          <w:marBottom w:val="0"/>
          <w:divBdr>
            <w:top w:val="none" w:sz="0" w:space="0" w:color="auto"/>
            <w:left w:val="none" w:sz="0" w:space="0" w:color="auto"/>
            <w:bottom w:val="none" w:sz="0" w:space="0" w:color="auto"/>
            <w:right w:val="none" w:sz="0" w:space="0" w:color="auto"/>
          </w:divBdr>
        </w:div>
        <w:div w:id="1534882833">
          <w:marLeft w:val="0"/>
          <w:marRight w:val="0"/>
          <w:marTop w:val="0"/>
          <w:marBottom w:val="0"/>
          <w:divBdr>
            <w:top w:val="none" w:sz="0" w:space="0" w:color="auto"/>
            <w:left w:val="none" w:sz="0" w:space="0" w:color="auto"/>
            <w:bottom w:val="none" w:sz="0" w:space="0" w:color="auto"/>
            <w:right w:val="none" w:sz="0" w:space="0" w:color="auto"/>
          </w:divBdr>
        </w:div>
        <w:div w:id="1535846509">
          <w:marLeft w:val="0"/>
          <w:marRight w:val="0"/>
          <w:marTop w:val="0"/>
          <w:marBottom w:val="0"/>
          <w:divBdr>
            <w:top w:val="none" w:sz="0" w:space="0" w:color="auto"/>
            <w:left w:val="none" w:sz="0" w:space="0" w:color="auto"/>
            <w:bottom w:val="none" w:sz="0" w:space="0" w:color="auto"/>
            <w:right w:val="none" w:sz="0" w:space="0" w:color="auto"/>
          </w:divBdr>
        </w:div>
        <w:div w:id="1546091609">
          <w:marLeft w:val="0"/>
          <w:marRight w:val="0"/>
          <w:marTop w:val="0"/>
          <w:marBottom w:val="0"/>
          <w:divBdr>
            <w:top w:val="none" w:sz="0" w:space="0" w:color="auto"/>
            <w:left w:val="none" w:sz="0" w:space="0" w:color="auto"/>
            <w:bottom w:val="none" w:sz="0" w:space="0" w:color="auto"/>
            <w:right w:val="none" w:sz="0" w:space="0" w:color="auto"/>
          </w:divBdr>
        </w:div>
        <w:div w:id="1554852037">
          <w:marLeft w:val="0"/>
          <w:marRight w:val="0"/>
          <w:marTop w:val="0"/>
          <w:marBottom w:val="0"/>
          <w:divBdr>
            <w:top w:val="none" w:sz="0" w:space="0" w:color="auto"/>
            <w:left w:val="none" w:sz="0" w:space="0" w:color="auto"/>
            <w:bottom w:val="none" w:sz="0" w:space="0" w:color="auto"/>
            <w:right w:val="none" w:sz="0" w:space="0" w:color="auto"/>
          </w:divBdr>
        </w:div>
        <w:div w:id="1582248993">
          <w:marLeft w:val="0"/>
          <w:marRight w:val="0"/>
          <w:marTop w:val="0"/>
          <w:marBottom w:val="0"/>
          <w:divBdr>
            <w:top w:val="none" w:sz="0" w:space="0" w:color="auto"/>
            <w:left w:val="none" w:sz="0" w:space="0" w:color="auto"/>
            <w:bottom w:val="none" w:sz="0" w:space="0" w:color="auto"/>
            <w:right w:val="none" w:sz="0" w:space="0" w:color="auto"/>
          </w:divBdr>
        </w:div>
        <w:div w:id="1594319734">
          <w:marLeft w:val="0"/>
          <w:marRight w:val="0"/>
          <w:marTop w:val="0"/>
          <w:marBottom w:val="0"/>
          <w:divBdr>
            <w:top w:val="none" w:sz="0" w:space="0" w:color="auto"/>
            <w:left w:val="none" w:sz="0" w:space="0" w:color="auto"/>
            <w:bottom w:val="none" w:sz="0" w:space="0" w:color="auto"/>
            <w:right w:val="none" w:sz="0" w:space="0" w:color="auto"/>
          </w:divBdr>
        </w:div>
        <w:div w:id="1608778079">
          <w:marLeft w:val="0"/>
          <w:marRight w:val="0"/>
          <w:marTop w:val="0"/>
          <w:marBottom w:val="0"/>
          <w:divBdr>
            <w:top w:val="none" w:sz="0" w:space="0" w:color="auto"/>
            <w:left w:val="none" w:sz="0" w:space="0" w:color="auto"/>
            <w:bottom w:val="none" w:sz="0" w:space="0" w:color="auto"/>
            <w:right w:val="none" w:sz="0" w:space="0" w:color="auto"/>
          </w:divBdr>
        </w:div>
        <w:div w:id="1610895322">
          <w:marLeft w:val="0"/>
          <w:marRight w:val="0"/>
          <w:marTop w:val="0"/>
          <w:marBottom w:val="0"/>
          <w:divBdr>
            <w:top w:val="none" w:sz="0" w:space="0" w:color="auto"/>
            <w:left w:val="none" w:sz="0" w:space="0" w:color="auto"/>
            <w:bottom w:val="none" w:sz="0" w:space="0" w:color="auto"/>
            <w:right w:val="none" w:sz="0" w:space="0" w:color="auto"/>
          </w:divBdr>
        </w:div>
        <w:div w:id="1618028977">
          <w:marLeft w:val="0"/>
          <w:marRight w:val="0"/>
          <w:marTop w:val="0"/>
          <w:marBottom w:val="0"/>
          <w:divBdr>
            <w:top w:val="none" w:sz="0" w:space="0" w:color="auto"/>
            <w:left w:val="none" w:sz="0" w:space="0" w:color="auto"/>
            <w:bottom w:val="none" w:sz="0" w:space="0" w:color="auto"/>
            <w:right w:val="none" w:sz="0" w:space="0" w:color="auto"/>
          </w:divBdr>
        </w:div>
        <w:div w:id="1618295111">
          <w:marLeft w:val="0"/>
          <w:marRight w:val="0"/>
          <w:marTop w:val="0"/>
          <w:marBottom w:val="0"/>
          <w:divBdr>
            <w:top w:val="none" w:sz="0" w:space="0" w:color="auto"/>
            <w:left w:val="none" w:sz="0" w:space="0" w:color="auto"/>
            <w:bottom w:val="none" w:sz="0" w:space="0" w:color="auto"/>
            <w:right w:val="none" w:sz="0" w:space="0" w:color="auto"/>
          </w:divBdr>
        </w:div>
        <w:div w:id="1620988413">
          <w:marLeft w:val="0"/>
          <w:marRight w:val="0"/>
          <w:marTop w:val="0"/>
          <w:marBottom w:val="0"/>
          <w:divBdr>
            <w:top w:val="none" w:sz="0" w:space="0" w:color="auto"/>
            <w:left w:val="none" w:sz="0" w:space="0" w:color="auto"/>
            <w:bottom w:val="none" w:sz="0" w:space="0" w:color="auto"/>
            <w:right w:val="none" w:sz="0" w:space="0" w:color="auto"/>
          </w:divBdr>
        </w:div>
        <w:div w:id="1631210399">
          <w:marLeft w:val="0"/>
          <w:marRight w:val="0"/>
          <w:marTop w:val="0"/>
          <w:marBottom w:val="0"/>
          <w:divBdr>
            <w:top w:val="none" w:sz="0" w:space="0" w:color="auto"/>
            <w:left w:val="none" w:sz="0" w:space="0" w:color="auto"/>
            <w:bottom w:val="none" w:sz="0" w:space="0" w:color="auto"/>
            <w:right w:val="none" w:sz="0" w:space="0" w:color="auto"/>
          </w:divBdr>
        </w:div>
        <w:div w:id="1636642358">
          <w:marLeft w:val="0"/>
          <w:marRight w:val="0"/>
          <w:marTop w:val="0"/>
          <w:marBottom w:val="0"/>
          <w:divBdr>
            <w:top w:val="none" w:sz="0" w:space="0" w:color="auto"/>
            <w:left w:val="none" w:sz="0" w:space="0" w:color="auto"/>
            <w:bottom w:val="none" w:sz="0" w:space="0" w:color="auto"/>
            <w:right w:val="none" w:sz="0" w:space="0" w:color="auto"/>
          </w:divBdr>
        </w:div>
        <w:div w:id="1638561295">
          <w:marLeft w:val="0"/>
          <w:marRight w:val="0"/>
          <w:marTop w:val="0"/>
          <w:marBottom w:val="0"/>
          <w:divBdr>
            <w:top w:val="none" w:sz="0" w:space="0" w:color="auto"/>
            <w:left w:val="none" w:sz="0" w:space="0" w:color="auto"/>
            <w:bottom w:val="none" w:sz="0" w:space="0" w:color="auto"/>
            <w:right w:val="none" w:sz="0" w:space="0" w:color="auto"/>
          </w:divBdr>
        </w:div>
        <w:div w:id="1644891730">
          <w:marLeft w:val="0"/>
          <w:marRight w:val="0"/>
          <w:marTop w:val="0"/>
          <w:marBottom w:val="0"/>
          <w:divBdr>
            <w:top w:val="none" w:sz="0" w:space="0" w:color="auto"/>
            <w:left w:val="none" w:sz="0" w:space="0" w:color="auto"/>
            <w:bottom w:val="none" w:sz="0" w:space="0" w:color="auto"/>
            <w:right w:val="none" w:sz="0" w:space="0" w:color="auto"/>
          </w:divBdr>
        </w:div>
        <w:div w:id="1656255393">
          <w:marLeft w:val="0"/>
          <w:marRight w:val="0"/>
          <w:marTop w:val="0"/>
          <w:marBottom w:val="0"/>
          <w:divBdr>
            <w:top w:val="none" w:sz="0" w:space="0" w:color="auto"/>
            <w:left w:val="none" w:sz="0" w:space="0" w:color="auto"/>
            <w:bottom w:val="none" w:sz="0" w:space="0" w:color="auto"/>
            <w:right w:val="none" w:sz="0" w:space="0" w:color="auto"/>
          </w:divBdr>
        </w:div>
        <w:div w:id="1659577876">
          <w:marLeft w:val="0"/>
          <w:marRight w:val="0"/>
          <w:marTop w:val="0"/>
          <w:marBottom w:val="0"/>
          <w:divBdr>
            <w:top w:val="none" w:sz="0" w:space="0" w:color="auto"/>
            <w:left w:val="none" w:sz="0" w:space="0" w:color="auto"/>
            <w:bottom w:val="none" w:sz="0" w:space="0" w:color="auto"/>
            <w:right w:val="none" w:sz="0" w:space="0" w:color="auto"/>
          </w:divBdr>
        </w:div>
        <w:div w:id="1666321552">
          <w:marLeft w:val="0"/>
          <w:marRight w:val="0"/>
          <w:marTop w:val="0"/>
          <w:marBottom w:val="0"/>
          <w:divBdr>
            <w:top w:val="none" w:sz="0" w:space="0" w:color="auto"/>
            <w:left w:val="none" w:sz="0" w:space="0" w:color="auto"/>
            <w:bottom w:val="none" w:sz="0" w:space="0" w:color="auto"/>
            <w:right w:val="none" w:sz="0" w:space="0" w:color="auto"/>
          </w:divBdr>
        </w:div>
        <w:div w:id="1683119194">
          <w:marLeft w:val="0"/>
          <w:marRight w:val="0"/>
          <w:marTop w:val="0"/>
          <w:marBottom w:val="0"/>
          <w:divBdr>
            <w:top w:val="none" w:sz="0" w:space="0" w:color="auto"/>
            <w:left w:val="none" w:sz="0" w:space="0" w:color="auto"/>
            <w:bottom w:val="none" w:sz="0" w:space="0" w:color="auto"/>
            <w:right w:val="none" w:sz="0" w:space="0" w:color="auto"/>
          </w:divBdr>
        </w:div>
        <w:div w:id="1688867068">
          <w:marLeft w:val="0"/>
          <w:marRight w:val="0"/>
          <w:marTop w:val="0"/>
          <w:marBottom w:val="0"/>
          <w:divBdr>
            <w:top w:val="none" w:sz="0" w:space="0" w:color="auto"/>
            <w:left w:val="none" w:sz="0" w:space="0" w:color="auto"/>
            <w:bottom w:val="none" w:sz="0" w:space="0" w:color="auto"/>
            <w:right w:val="none" w:sz="0" w:space="0" w:color="auto"/>
          </w:divBdr>
        </w:div>
        <w:div w:id="1694963362">
          <w:marLeft w:val="0"/>
          <w:marRight w:val="0"/>
          <w:marTop w:val="0"/>
          <w:marBottom w:val="0"/>
          <w:divBdr>
            <w:top w:val="none" w:sz="0" w:space="0" w:color="auto"/>
            <w:left w:val="none" w:sz="0" w:space="0" w:color="auto"/>
            <w:bottom w:val="none" w:sz="0" w:space="0" w:color="auto"/>
            <w:right w:val="none" w:sz="0" w:space="0" w:color="auto"/>
          </w:divBdr>
        </w:div>
        <w:div w:id="1703827533">
          <w:marLeft w:val="0"/>
          <w:marRight w:val="0"/>
          <w:marTop w:val="0"/>
          <w:marBottom w:val="0"/>
          <w:divBdr>
            <w:top w:val="none" w:sz="0" w:space="0" w:color="auto"/>
            <w:left w:val="none" w:sz="0" w:space="0" w:color="auto"/>
            <w:bottom w:val="none" w:sz="0" w:space="0" w:color="auto"/>
            <w:right w:val="none" w:sz="0" w:space="0" w:color="auto"/>
          </w:divBdr>
        </w:div>
        <w:div w:id="1705060131">
          <w:marLeft w:val="0"/>
          <w:marRight w:val="0"/>
          <w:marTop w:val="0"/>
          <w:marBottom w:val="0"/>
          <w:divBdr>
            <w:top w:val="none" w:sz="0" w:space="0" w:color="auto"/>
            <w:left w:val="none" w:sz="0" w:space="0" w:color="auto"/>
            <w:bottom w:val="none" w:sz="0" w:space="0" w:color="auto"/>
            <w:right w:val="none" w:sz="0" w:space="0" w:color="auto"/>
          </w:divBdr>
        </w:div>
        <w:div w:id="1710299622">
          <w:marLeft w:val="0"/>
          <w:marRight w:val="0"/>
          <w:marTop w:val="0"/>
          <w:marBottom w:val="0"/>
          <w:divBdr>
            <w:top w:val="none" w:sz="0" w:space="0" w:color="auto"/>
            <w:left w:val="none" w:sz="0" w:space="0" w:color="auto"/>
            <w:bottom w:val="none" w:sz="0" w:space="0" w:color="auto"/>
            <w:right w:val="none" w:sz="0" w:space="0" w:color="auto"/>
          </w:divBdr>
        </w:div>
        <w:div w:id="1713768358">
          <w:marLeft w:val="0"/>
          <w:marRight w:val="0"/>
          <w:marTop w:val="0"/>
          <w:marBottom w:val="0"/>
          <w:divBdr>
            <w:top w:val="none" w:sz="0" w:space="0" w:color="auto"/>
            <w:left w:val="none" w:sz="0" w:space="0" w:color="auto"/>
            <w:bottom w:val="none" w:sz="0" w:space="0" w:color="auto"/>
            <w:right w:val="none" w:sz="0" w:space="0" w:color="auto"/>
          </w:divBdr>
        </w:div>
        <w:div w:id="1730421324">
          <w:marLeft w:val="0"/>
          <w:marRight w:val="0"/>
          <w:marTop w:val="0"/>
          <w:marBottom w:val="0"/>
          <w:divBdr>
            <w:top w:val="none" w:sz="0" w:space="0" w:color="auto"/>
            <w:left w:val="none" w:sz="0" w:space="0" w:color="auto"/>
            <w:bottom w:val="none" w:sz="0" w:space="0" w:color="auto"/>
            <w:right w:val="none" w:sz="0" w:space="0" w:color="auto"/>
          </w:divBdr>
        </w:div>
        <w:div w:id="1735544330">
          <w:marLeft w:val="0"/>
          <w:marRight w:val="0"/>
          <w:marTop w:val="0"/>
          <w:marBottom w:val="0"/>
          <w:divBdr>
            <w:top w:val="none" w:sz="0" w:space="0" w:color="auto"/>
            <w:left w:val="none" w:sz="0" w:space="0" w:color="auto"/>
            <w:bottom w:val="none" w:sz="0" w:space="0" w:color="auto"/>
            <w:right w:val="none" w:sz="0" w:space="0" w:color="auto"/>
          </w:divBdr>
        </w:div>
        <w:div w:id="1748385053">
          <w:marLeft w:val="0"/>
          <w:marRight w:val="0"/>
          <w:marTop w:val="0"/>
          <w:marBottom w:val="0"/>
          <w:divBdr>
            <w:top w:val="none" w:sz="0" w:space="0" w:color="auto"/>
            <w:left w:val="none" w:sz="0" w:space="0" w:color="auto"/>
            <w:bottom w:val="none" w:sz="0" w:space="0" w:color="auto"/>
            <w:right w:val="none" w:sz="0" w:space="0" w:color="auto"/>
          </w:divBdr>
        </w:div>
        <w:div w:id="1769815827">
          <w:marLeft w:val="0"/>
          <w:marRight w:val="0"/>
          <w:marTop w:val="0"/>
          <w:marBottom w:val="0"/>
          <w:divBdr>
            <w:top w:val="none" w:sz="0" w:space="0" w:color="auto"/>
            <w:left w:val="none" w:sz="0" w:space="0" w:color="auto"/>
            <w:bottom w:val="none" w:sz="0" w:space="0" w:color="auto"/>
            <w:right w:val="none" w:sz="0" w:space="0" w:color="auto"/>
          </w:divBdr>
        </w:div>
        <w:div w:id="1772047509">
          <w:marLeft w:val="0"/>
          <w:marRight w:val="0"/>
          <w:marTop w:val="0"/>
          <w:marBottom w:val="0"/>
          <w:divBdr>
            <w:top w:val="none" w:sz="0" w:space="0" w:color="auto"/>
            <w:left w:val="none" w:sz="0" w:space="0" w:color="auto"/>
            <w:bottom w:val="none" w:sz="0" w:space="0" w:color="auto"/>
            <w:right w:val="none" w:sz="0" w:space="0" w:color="auto"/>
          </w:divBdr>
        </w:div>
        <w:div w:id="1792431291">
          <w:marLeft w:val="0"/>
          <w:marRight w:val="0"/>
          <w:marTop w:val="0"/>
          <w:marBottom w:val="0"/>
          <w:divBdr>
            <w:top w:val="none" w:sz="0" w:space="0" w:color="auto"/>
            <w:left w:val="none" w:sz="0" w:space="0" w:color="auto"/>
            <w:bottom w:val="none" w:sz="0" w:space="0" w:color="auto"/>
            <w:right w:val="none" w:sz="0" w:space="0" w:color="auto"/>
          </w:divBdr>
        </w:div>
        <w:div w:id="1812552474">
          <w:marLeft w:val="0"/>
          <w:marRight w:val="0"/>
          <w:marTop w:val="0"/>
          <w:marBottom w:val="0"/>
          <w:divBdr>
            <w:top w:val="none" w:sz="0" w:space="0" w:color="auto"/>
            <w:left w:val="none" w:sz="0" w:space="0" w:color="auto"/>
            <w:bottom w:val="none" w:sz="0" w:space="0" w:color="auto"/>
            <w:right w:val="none" w:sz="0" w:space="0" w:color="auto"/>
          </w:divBdr>
        </w:div>
        <w:div w:id="1815490684">
          <w:marLeft w:val="0"/>
          <w:marRight w:val="0"/>
          <w:marTop w:val="0"/>
          <w:marBottom w:val="0"/>
          <w:divBdr>
            <w:top w:val="none" w:sz="0" w:space="0" w:color="auto"/>
            <w:left w:val="none" w:sz="0" w:space="0" w:color="auto"/>
            <w:bottom w:val="none" w:sz="0" w:space="0" w:color="auto"/>
            <w:right w:val="none" w:sz="0" w:space="0" w:color="auto"/>
          </w:divBdr>
        </w:div>
        <w:div w:id="1824809414">
          <w:marLeft w:val="0"/>
          <w:marRight w:val="0"/>
          <w:marTop w:val="0"/>
          <w:marBottom w:val="0"/>
          <w:divBdr>
            <w:top w:val="none" w:sz="0" w:space="0" w:color="auto"/>
            <w:left w:val="none" w:sz="0" w:space="0" w:color="auto"/>
            <w:bottom w:val="none" w:sz="0" w:space="0" w:color="auto"/>
            <w:right w:val="none" w:sz="0" w:space="0" w:color="auto"/>
          </w:divBdr>
        </w:div>
        <w:div w:id="1846163471">
          <w:marLeft w:val="0"/>
          <w:marRight w:val="0"/>
          <w:marTop w:val="0"/>
          <w:marBottom w:val="0"/>
          <w:divBdr>
            <w:top w:val="none" w:sz="0" w:space="0" w:color="auto"/>
            <w:left w:val="none" w:sz="0" w:space="0" w:color="auto"/>
            <w:bottom w:val="none" w:sz="0" w:space="0" w:color="auto"/>
            <w:right w:val="none" w:sz="0" w:space="0" w:color="auto"/>
          </w:divBdr>
        </w:div>
        <w:div w:id="1857885527">
          <w:marLeft w:val="0"/>
          <w:marRight w:val="0"/>
          <w:marTop w:val="0"/>
          <w:marBottom w:val="0"/>
          <w:divBdr>
            <w:top w:val="none" w:sz="0" w:space="0" w:color="auto"/>
            <w:left w:val="none" w:sz="0" w:space="0" w:color="auto"/>
            <w:bottom w:val="none" w:sz="0" w:space="0" w:color="auto"/>
            <w:right w:val="none" w:sz="0" w:space="0" w:color="auto"/>
          </w:divBdr>
        </w:div>
        <w:div w:id="1873879623">
          <w:marLeft w:val="0"/>
          <w:marRight w:val="0"/>
          <w:marTop w:val="0"/>
          <w:marBottom w:val="0"/>
          <w:divBdr>
            <w:top w:val="none" w:sz="0" w:space="0" w:color="auto"/>
            <w:left w:val="none" w:sz="0" w:space="0" w:color="auto"/>
            <w:bottom w:val="none" w:sz="0" w:space="0" w:color="auto"/>
            <w:right w:val="none" w:sz="0" w:space="0" w:color="auto"/>
          </w:divBdr>
        </w:div>
        <w:div w:id="1876692469">
          <w:marLeft w:val="0"/>
          <w:marRight w:val="0"/>
          <w:marTop w:val="0"/>
          <w:marBottom w:val="0"/>
          <w:divBdr>
            <w:top w:val="none" w:sz="0" w:space="0" w:color="auto"/>
            <w:left w:val="none" w:sz="0" w:space="0" w:color="auto"/>
            <w:bottom w:val="none" w:sz="0" w:space="0" w:color="auto"/>
            <w:right w:val="none" w:sz="0" w:space="0" w:color="auto"/>
          </w:divBdr>
        </w:div>
        <w:div w:id="1888567272">
          <w:marLeft w:val="0"/>
          <w:marRight w:val="0"/>
          <w:marTop w:val="0"/>
          <w:marBottom w:val="0"/>
          <w:divBdr>
            <w:top w:val="none" w:sz="0" w:space="0" w:color="auto"/>
            <w:left w:val="none" w:sz="0" w:space="0" w:color="auto"/>
            <w:bottom w:val="none" w:sz="0" w:space="0" w:color="auto"/>
            <w:right w:val="none" w:sz="0" w:space="0" w:color="auto"/>
          </w:divBdr>
        </w:div>
        <w:div w:id="1903976512">
          <w:marLeft w:val="0"/>
          <w:marRight w:val="0"/>
          <w:marTop w:val="0"/>
          <w:marBottom w:val="0"/>
          <w:divBdr>
            <w:top w:val="none" w:sz="0" w:space="0" w:color="auto"/>
            <w:left w:val="none" w:sz="0" w:space="0" w:color="auto"/>
            <w:bottom w:val="none" w:sz="0" w:space="0" w:color="auto"/>
            <w:right w:val="none" w:sz="0" w:space="0" w:color="auto"/>
          </w:divBdr>
        </w:div>
        <w:div w:id="1926063144">
          <w:marLeft w:val="0"/>
          <w:marRight w:val="0"/>
          <w:marTop w:val="0"/>
          <w:marBottom w:val="0"/>
          <w:divBdr>
            <w:top w:val="none" w:sz="0" w:space="0" w:color="auto"/>
            <w:left w:val="none" w:sz="0" w:space="0" w:color="auto"/>
            <w:bottom w:val="none" w:sz="0" w:space="0" w:color="auto"/>
            <w:right w:val="none" w:sz="0" w:space="0" w:color="auto"/>
          </w:divBdr>
        </w:div>
        <w:div w:id="1928229766">
          <w:marLeft w:val="0"/>
          <w:marRight w:val="0"/>
          <w:marTop w:val="0"/>
          <w:marBottom w:val="0"/>
          <w:divBdr>
            <w:top w:val="none" w:sz="0" w:space="0" w:color="auto"/>
            <w:left w:val="none" w:sz="0" w:space="0" w:color="auto"/>
            <w:bottom w:val="none" w:sz="0" w:space="0" w:color="auto"/>
            <w:right w:val="none" w:sz="0" w:space="0" w:color="auto"/>
          </w:divBdr>
        </w:div>
        <w:div w:id="1936399882">
          <w:marLeft w:val="0"/>
          <w:marRight w:val="0"/>
          <w:marTop w:val="0"/>
          <w:marBottom w:val="0"/>
          <w:divBdr>
            <w:top w:val="none" w:sz="0" w:space="0" w:color="auto"/>
            <w:left w:val="none" w:sz="0" w:space="0" w:color="auto"/>
            <w:bottom w:val="none" w:sz="0" w:space="0" w:color="auto"/>
            <w:right w:val="none" w:sz="0" w:space="0" w:color="auto"/>
          </w:divBdr>
        </w:div>
        <w:div w:id="1940673996">
          <w:marLeft w:val="0"/>
          <w:marRight w:val="0"/>
          <w:marTop w:val="0"/>
          <w:marBottom w:val="0"/>
          <w:divBdr>
            <w:top w:val="none" w:sz="0" w:space="0" w:color="auto"/>
            <w:left w:val="none" w:sz="0" w:space="0" w:color="auto"/>
            <w:bottom w:val="none" w:sz="0" w:space="0" w:color="auto"/>
            <w:right w:val="none" w:sz="0" w:space="0" w:color="auto"/>
          </w:divBdr>
        </w:div>
        <w:div w:id="1947350409">
          <w:marLeft w:val="0"/>
          <w:marRight w:val="0"/>
          <w:marTop w:val="0"/>
          <w:marBottom w:val="0"/>
          <w:divBdr>
            <w:top w:val="none" w:sz="0" w:space="0" w:color="auto"/>
            <w:left w:val="none" w:sz="0" w:space="0" w:color="auto"/>
            <w:bottom w:val="none" w:sz="0" w:space="0" w:color="auto"/>
            <w:right w:val="none" w:sz="0" w:space="0" w:color="auto"/>
          </w:divBdr>
        </w:div>
        <w:div w:id="1951431634">
          <w:marLeft w:val="0"/>
          <w:marRight w:val="0"/>
          <w:marTop w:val="0"/>
          <w:marBottom w:val="0"/>
          <w:divBdr>
            <w:top w:val="none" w:sz="0" w:space="0" w:color="auto"/>
            <w:left w:val="none" w:sz="0" w:space="0" w:color="auto"/>
            <w:bottom w:val="none" w:sz="0" w:space="0" w:color="auto"/>
            <w:right w:val="none" w:sz="0" w:space="0" w:color="auto"/>
          </w:divBdr>
        </w:div>
        <w:div w:id="1954896989">
          <w:marLeft w:val="0"/>
          <w:marRight w:val="0"/>
          <w:marTop w:val="0"/>
          <w:marBottom w:val="0"/>
          <w:divBdr>
            <w:top w:val="none" w:sz="0" w:space="0" w:color="auto"/>
            <w:left w:val="none" w:sz="0" w:space="0" w:color="auto"/>
            <w:bottom w:val="none" w:sz="0" w:space="0" w:color="auto"/>
            <w:right w:val="none" w:sz="0" w:space="0" w:color="auto"/>
          </w:divBdr>
        </w:div>
        <w:div w:id="1963996498">
          <w:marLeft w:val="0"/>
          <w:marRight w:val="0"/>
          <w:marTop w:val="0"/>
          <w:marBottom w:val="0"/>
          <w:divBdr>
            <w:top w:val="none" w:sz="0" w:space="0" w:color="auto"/>
            <w:left w:val="none" w:sz="0" w:space="0" w:color="auto"/>
            <w:bottom w:val="none" w:sz="0" w:space="0" w:color="auto"/>
            <w:right w:val="none" w:sz="0" w:space="0" w:color="auto"/>
          </w:divBdr>
        </w:div>
        <w:div w:id="1972206159">
          <w:marLeft w:val="0"/>
          <w:marRight w:val="0"/>
          <w:marTop w:val="0"/>
          <w:marBottom w:val="0"/>
          <w:divBdr>
            <w:top w:val="none" w:sz="0" w:space="0" w:color="auto"/>
            <w:left w:val="none" w:sz="0" w:space="0" w:color="auto"/>
            <w:bottom w:val="none" w:sz="0" w:space="0" w:color="auto"/>
            <w:right w:val="none" w:sz="0" w:space="0" w:color="auto"/>
          </w:divBdr>
        </w:div>
        <w:div w:id="1987121271">
          <w:marLeft w:val="0"/>
          <w:marRight w:val="0"/>
          <w:marTop w:val="0"/>
          <w:marBottom w:val="0"/>
          <w:divBdr>
            <w:top w:val="none" w:sz="0" w:space="0" w:color="auto"/>
            <w:left w:val="none" w:sz="0" w:space="0" w:color="auto"/>
            <w:bottom w:val="none" w:sz="0" w:space="0" w:color="auto"/>
            <w:right w:val="none" w:sz="0" w:space="0" w:color="auto"/>
          </w:divBdr>
        </w:div>
        <w:div w:id="1989165213">
          <w:marLeft w:val="0"/>
          <w:marRight w:val="0"/>
          <w:marTop w:val="0"/>
          <w:marBottom w:val="0"/>
          <w:divBdr>
            <w:top w:val="none" w:sz="0" w:space="0" w:color="auto"/>
            <w:left w:val="none" w:sz="0" w:space="0" w:color="auto"/>
            <w:bottom w:val="none" w:sz="0" w:space="0" w:color="auto"/>
            <w:right w:val="none" w:sz="0" w:space="0" w:color="auto"/>
          </w:divBdr>
        </w:div>
        <w:div w:id="1989942185">
          <w:marLeft w:val="0"/>
          <w:marRight w:val="0"/>
          <w:marTop w:val="0"/>
          <w:marBottom w:val="0"/>
          <w:divBdr>
            <w:top w:val="none" w:sz="0" w:space="0" w:color="auto"/>
            <w:left w:val="none" w:sz="0" w:space="0" w:color="auto"/>
            <w:bottom w:val="none" w:sz="0" w:space="0" w:color="auto"/>
            <w:right w:val="none" w:sz="0" w:space="0" w:color="auto"/>
          </w:divBdr>
        </w:div>
        <w:div w:id="1994984511">
          <w:marLeft w:val="0"/>
          <w:marRight w:val="0"/>
          <w:marTop w:val="0"/>
          <w:marBottom w:val="0"/>
          <w:divBdr>
            <w:top w:val="none" w:sz="0" w:space="0" w:color="auto"/>
            <w:left w:val="none" w:sz="0" w:space="0" w:color="auto"/>
            <w:bottom w:val="none" w:sz="0" w:space="0" w:color="auto"/>
            <w:right w:val="none" w:sz="0" w:space="0" w:color="auto"/>
          </w:divBdr>
        </w:div>
        <w:div w:id="1997763913">
          <w:marLeft w:val="0"/>
          <w:marRight w:val="0"/>
          <w:marTop w:val="0"/>
          <w:marBottom w:val="0"/>
          <w:divBdr>
            <w:top w:val="none" w:sz="0" w:space="0" w:color="auto"/>
            <w:left w:val="none" w:sz="0" w:space="0" w:color="auto"/>
            <w:bottom w:val="none" w:sz="0" w:space="0" w:color="auto"/>
            <w:right w:val="none" w:sz="0" w:space="0" w:color="auto"/>
          </w:divBdr>
        </w:div>
        <w:div w:id="1998147670">
          <w:marLeft w:val="0"/>
          <w:marRight w:val="0"/>
          <w:marTop w:val="0"/>
          <w:marBottom w:val="0"/>
          <w:divBdr>
            <w:top w:val="none" w:sz="0" w:space="0" w:color="auto"/>
            <w:left w:val="none" w:sz="0" w:space="0" w:color="auto"/>
            <w:bottom w:val="none" w:sz="0" w:space="0" w:color="auto"/>
            <w:right w:val="none" w:sz="0" w:space="0" w:color="auto"/>
          </w:divBdr>
        </w:div>
        <w:div w:id="1999268307">
          <w:marLeft w:val="0"/>
          <w:marRight w:val="0"/>
          <w:marTop w:val="0"/>
          <w:marBottom w:val="0"/>
          <w:divBdr>
            <w:top w:val="none" w:sz="0" w:space="0" w:color="auto"/>
            <w:left w:val="none" w:sz="0" w:space="0" w:color="auto"/>
            <w:bottom w:val="none" w:sz="0" w:space="0" w:color="auto"/>
            <w:right w:val="none" w:sz="0" w:space="0" w:color="auto"/>
          </w:divBdr>
        </w:div>
        <w:div w:id="2026445964">
          <w:marLeft w:val="0"/>
          <w:marRight w:val="0"/>
          <w:marTop w:val="0"/>
          <w:marBottom w:val="0"/>
          <w:divBdr>
            <w:top w:val="none" w:sz="0" w:space="0" w:color="auto"/>
            <w:left w:val="none" w:sz="0" w:space="0" w:color="auto"/>
            <w:bottom w:val="none" w:sz="0" w:space="0" w:color="auto"/>
            <w:right w:val="none" w:sz="0" w:space="0" w:color="auto"/>
          </w:divBdr>
        </w:div>
        <w:div w:id="2027057332">
          <w:marLeft w:val="0"/>
          <w:marRight w:val="0"/>
          <w:marTop w:val="0"/>
          <w:marBottom w:val="0"/>
          <w:divBdr>
            <w:top w:val="none" w:sz="0" w:space="0" w:color="auto"/>
            <w:left w:val="none" w:sz="0" w:space="0" w:color="auto"/>
            <w:bottom w:val="none" w:sz="0" w:space="0" w:color="auto"/>
            <w:right w:val="none" w:sz="0" w:space="0" w:color="auto"/>
          </w:divBdr>
        </w:div>
        <w:div w:id="2028090892">
          <w:marLeft w:val="0"/>
          <w:marRight w:val="0"/>
          <w:marTop w:val="0"/>
          <w:marBottom w:val="0"/>
          <w:divBdr>
            <w:top w:val="none" w:sz="0" w:space="0" w:color="auto"/>
            <w:left w:val="none" w:sz="0" w:space="0" w:color="auto"/>
            <w:bottom w:val="none" w:sz="0" w:space="0" w:color="auto"/>
            <w:right w:val="none" w:sz="0" w:space="0" w:color="auto"/>
          </w:divBdr>
        </w:div>
        <w:div w:id="2029942967">
          <w:marLeft w:val="0"/>
          <w:marRight w:val="0"/>
          <w:marTop w:val="0"/>
          <w:marBottom w:val="0"/>
          <w:divBdr>
            <w:top w:val="none" w:sz="0" w:space="0" w:color="auto"/>
            <w:left w:val="none" w:sz="0" w:space="0" w:color="auto"/>
            <w:bottom w:val="none" w:sz="0" w:space="0" w:color="auto"/>
            <w:right w:val="none" w:sz="0" w:space="0" w:color="auto"/>
          </w:divBdr>
        </w:div>
        <w:div w:id="2038968201">
          <w:marLeft w:val="0"/>
          <w:marRight w:val="0"/>
          <w:marTop w:val="0"/>
          <w:marBottom w:val="0"/>
          <w:divBdr>
            <w:top w:val="none" w:sz="0" w:space="0" w:color="auto"/>
            <w:left w:val="none" w:sz="0" w:space="0" w:color="auto"/>
            <w:bottom w:val="none" w:sz="0" w:space="0" w:color="auto"/>
            <w:right w:val="none" w:sz="0" w:space="0" w:color="auto"/>
          </w:divBdr>
        </w:div>
        <w:div w:id="2039814750">
          <w:marLeft w:val="0"/>
          <w:marRight w:val="0"/>
          <w:marTop w:val="0"/>
          <w:marBottom w:val="0"/>
          <w:divBdr>
            <w:top w:val="none" w:sz="0" w:space="0" w:color="auto"/>
            <w:left w:val="none" w:sz="0" w:space="0" w:color="auto"/>
            <w:bottom w:val="none" w:sz="0" w:space="0" w:color="auto"/>
            <w:right w:val="none" w:sz="0" w:space="0" w:color="auto"/>
          </w:divBdr>
        </w:div>
        <w:div w:id="2042628909">
          <w:marLeft w:val="0"/>
          <w:marRight w:val="0"/>
          <w:marTop w:val="0"/>
          <w:marBottom w:val="0"/>
          <w:divBdr>
            <w:top w:val="none" w:sz="0" w:space="0" w:color="auto"/>
            <w:left w:val="none" w:sz="0" w:space="0" w:color="auto"/>
            <w:bottom w:val="none" w:sz="0" w:space="0" w:color="auto"/>
            <w:right w:val="none" w:sz="0" w:space="0" w:color="auto"/>
          </w:divBdr>
        </w:div>
        <w:div w:id="2053381317">
          <w:marLeft w:val="0"/>
          <w:marRight w:val="0"/>
          <w:marTop w:val="0"/>
          <w:marBottom w:val="0"/>
          <w:divBdr>
            <w:top w:val="none" w:sz="0" w:space="0" w:color="auto"/>
            <w:left w:val="none" w:sz="0" w:space="0" w:color="auto"/>
            <w:bottom w:val="none" w:sz="0" w:space="0" w:color="auto"/>
            <w:right w:val="none" w:sz="0" w:space="0" w:color="auto"/>
          </w:divBdr>
        </w:div>
        <w:div w:id="2056193277">
          <w:marLeft w:val="0"/>
          <w:marRight w:val="0"/>
          <w:marTop w:val="0"/>
          <w:marBottom w:val="0"/>
          <w:divBdr>
            <w:top w:val="none" w:sz="0" w:space="0" w:color="auto"/>
            <w:left w:val="none" w:sz="0" w:space="0" w:color="auto"/>
            <w:bottom w:val="none" w:sz="0" w:space="0" w:color="auto"/>
            <w:right w:val="none" w:sz="0" w:space="0" w:color="auto"/>
          </w:divBdr>
        </w:div>
        <w:div w:id="2062096776">
          <w:marLeft w:val="0"/>
          <w:marRight w:val="0"/>
          <w:marTop w:val="0"/>
          <w:marBottom w:val="0"/>
          <w:divBdr>
            <w:top w:val="none" w:sz="0" w:space="0" w:color="auto"/>
            <w:left w:val="none" w:sz="0" w:space="0" w:color="auto"/>
            <w:bottom w:val="none" w:sz="0" w:space="0" w:color="auto"/>
            <w:right w:val="none" w:sz="0" w:space="0" w:color="auto"/>
          </w:divBdr>
        </w:div>
        <w:div w:id="2068186321">
          <w:marLeft w:val="0"/>
          <w:marRight w:val="0"/>
          <w:marTop w:val="0"/>
          <w:marBottom w:val="0"/>
          <w:divBdr>
            <w:top w:val="none" w:sz="0" w:space="0" w:color="auto"/>
            <w:left w:val="none" w:sz="0" w:space="0" w:color="auto"/>
            <w:bottom w:val="none" w:sz="0" w:space="0" w:color="auto"/>
            <w:right w:val="none" w:sz="0" w:space="0" w:color="auto"/>
          </w:divBdr>
        </w:div>
        <w:div w:id="2082016607">
          <w:marLeft w:val="0"/>
          <w:marRight w:val="0"/>
          <w:marTop w:val="0"/>
          <w:marBottom w:val="0"/>
          <w:divBdr>
            <w:top w:val="none" w:sz="0" w:space="0" w:color="auto"/>
            <w:left w:val="none" w:sz="0" w:space="0" w:color="auto"/>
            <w:bottom w:val="none" w:sz="0" w:space="0" w:color="auto"/>
            <w:right w:val="none" w:sz="0" w:space="0" w:color="auto"/>
          </w:divBdr>
        </w:div>
        <w:div w:id="2094430001">
          <w:marLeft w:val="0"/>
          <w:marRight w:val="0"/>
          <w:marTop w:val="0"/>
          <w:marBottom w:val="0"/>
          <w:divBdr>
            <w:top w:val="none" w:sz="0" w:space="0" w:color="auto"/>
            <w:left w:val="none" w:sz="0" w:space="0" w:color="auto"/>
            <w:bottom w:val="none" w:sz="0" w:space="0" w:color="auto"/>
            <w:right w:val="none" w:sz="0" w:space="0" w:color="auto"/>
          </w:divBdr>
        </w:div>
        <w:div w:id="2098092964">
          <w:marLeft w:val="0"/>
          <w:marRight w:val="0"/>
          <w:marTop w:val="0"/>
          <w:marBottom w:val="0"/>
          <w:divBdr>
            <w:top w:val="none" w:sz="0" w:space="0" w:color="auto"/>
            <w:left w:val="none" w:sz="0" w:space="0" w:color="auto"/>
            <w:bottom w:val="none" w:sz="0" w:space="0" w:color="auto"/>
            <w:right w:val="none" w:sz="0" w:space="0" w:color="auto"/>
          </w:divBdr>
        </w:div>
        <w:div w:id="2101096973">
          <w:marLeft w:val="0"/>
          <w:marRight w:val="0"/>
          <w:marTop w:val="0"/>
          <w:marBottom w:val="0"/>
          <w:divBdr>
            <w:top w:val="none" w:sz="0" w:space="0" w:color="auto"/>
            <w:left w:val="none" w:sz="0" w:space="0" w:color="auto"/>
            <w:bottom w:val="none" w:sz="0" w:space="0" w:color="auto"/>
            <w:right w:val="none" w:sz="0" w:space="0" w:color="auto"/>
          </w:divBdr>
        </w:div>
        <w:div w:id="2105682450">
          <w:marLeft w:val="0"/>
          <w:marRight w:val="0"/>
          <w:marTop w:val="0"/>
          <w:marBottom w:val="0"/>
          <w:divBdr>
            <w:top w:val="none" w:sz="0" w:space="0" w:color="auto"/>
            <w:left w:val="none" w:sz="0" w:space="0" w:color="auto"/>
            <w:bottom w:val="none" w:sz="0" w:space="0" w:color="auto"/>
            <w:right w:val="none" w:sz="0" w:space="0" w:color="auto"/>
          </w:divBdr>
        </w:div>
        <w:div w:id="2111269546">
          <w:marLeft w:val="0"/>
          <w:marRight w:val="0"/>
          <w:marTop w:val="0"/>
          <w:marBottom w:val="0"/>
          <w:divBdr>
            <w:top w:val="none" w:sz="0" w:space="0" w:color="auto"/>
            <w:left w:val="none" w:sz="0" w:space="0" w:color="auto"/>
            <w:bottom w:val="none" w:sz="0" w:space="0" w:color="auto"/>
            <w:right w:val="none" w:sz="0" w:space="0" w:color="auto"/>
          </w:divBdr>
        </w:div>
        <w:div w:id="2111386822">
          <w:marLeft w:val="0"/>
          <w:marRight w:val="0"/>
          <w:marTop w:val="0"/>
          <w:marBottom w:val="0"/>
          <w:divBdr>
            <w:top w:val="none" w:sz="0" w:space="0" w:color="auto"/>
            <w:left w:val="none" w:sz="0" w:space="0" w:color="auto"/>
            <w:bottom w:val="none" w:sz="0" w:space="0" w:color="auto"/>
            <w:right w:val="none" w:sz="0" w:space="0" w:color="auto"/>
          </w:divBdr>
        </w:div>
        <w:div w:id="2111969636">
          <w:marLeft w:val="0"/>
          <w:marRight w:val="0"/>
          <w:marTop w:val="0"/>
          <w:marBottom w:val="0"/>
          <w:divBdr>
            <w:top w:val="none" w:sz="0" w:space="0" w:color="auto"/>
            <w:left w:val="none" w:sz="0" w:space="0" w:color="auto"/>
            <w:bottom w:val="none" w:sz="0" w:space="0" w:color="auto"/>
            <w:right w:val="none" w:sz="0" w:space="0" w:color="auto"/>
          </w:divBdr>
        </w:div>
        <w:div w:id="2116510057">
          <w:marLeft w:val="0"/>
          <w:marRight w:val="0"/>
          <w:marTop w:val="0"/>
          <w:marBottom w:val="0"/>
          <w:divBdr>
            <w:top w:val="none" w:sz="0" w:space="0" w:color="auto"/>
            <w:left w:val="none" w:sz="0" w:space="0" w:color="auto"/>
            <w:bottom w:val="none" w:sz="0" w:space="0" w:color="auto"/>
            <w:right w:val="none" w:sz="0" w:space="0" w:color="auto"/>
          </w:divBdr>
        </w:div>
        <w:div w:id="2135638245">
          <w:marLeft w:val="0"/>
          <w:marRight w:val="0"/>
          <w:marTop w:val="0"/>
          <w:marBottom w:val="0"/>
          <w:divBdr>
            <w:top w:val="none" w:sz="0" w:space="0" w:color="auto"/>
            <w:left w:val="none" w:sz="0" w:space="0" w:color="auto"/>
            <w:bottom w:val="none" w:sz="0" w:space="0" w:color="auto"/>
            <w:right w:val="none" w:sz="0" w:space="0" w:color="auto"/>
          </w:divBdr>
        </w:div>
        <w:div w:id="2139714194">
          <w:marLeft w:val="0"/>
          <w:marRight w:val="0"/>
          <w:marTop w:val="0"/>
          <w:marBottom w:val="0"/>
          <w:divBdr>
            <w:top w:val="none" w:sz="0" w:space="0" w:color="auto"/>
            <w:left w:val="none" w:sz="0" w:space="0" w:color="auto"/>
            <w:bottom w:val="none" w:sz="0" w:space="0" w:color="auto"/>
            <w:right w:val="none" w:sz="0" w:space="0" w:color="auto"/>
          </w:divBdr>
        </w:div>
        <w:div w:id="2139762883">
          <w:marLeft w:val="0"/>
          <w:marRight w:val="0"/>
          <w:marTop w:val="0"/>
          <w:marBottom w:val="0"/>
          <w:divBdr>
            <w:top w:val="none" w:sz="0" w:space="0" w:color="auto"/>
            <w:left w:val="none" w:sz="0" w:space="0" w:color="auto"/>
            <w:bottom w:val="none" w:sz="0" w:space="0" w:color="auto"/>
            <w:right w:val="none" w:sz="0" w:space="0" w:color="auto"/>
          </w:divBdr>
        </w:div>
        <w:div w:id="2141219306">
          <w:marLeft w:val="0"/>
          <w:marRight w:val="0"/>
          <w:marTop w:val="0"/>
          <w:marBottom w:val="0"/>
          <w:divBdr>
            <w:top w:val="none" w:sz="0" w:space="0" w:color="auto"/>
            <w:left w:val="none" w:sz="0" w:space="0" w:color="auto"/>
            <w:bottom w:val="none" w:sz="0" w:space="0" w:color="auto"/>
            <w:right w:val="none" w:sz="0" w:space="0" w:color="auto"/>
          </w:divBdr>
        </w:div>
        <w:div w:id="2143383789">
          <w:marLeft w:val="0"/>
          <w:marRight w:val="0"/>
          <w:marTop w:val="0"/>
          <w:marBottom w:val="0"/>
          <w:divBdr>
            <w:top w:val="none" w:sz="0" w:space="0" w:color="auto"/>
            <w:left w:val="none" w:sz="0" w:space="0" w:color="auto"/>
            <w:bottom w:val="none" w:sz="0" w:space="0" w:color="auto"/>
            <w:right w:val="none" w:sz="0" w:space="0" w:color="auto"/>
          </w:divBdr>
        </w:div>
      </w:divsChild>
    </w:div>
    <w:div w:id="1937471334">
      <w:bodyDiv w:val="1"/>
      <w:marLeft w:val="0"/>
      <w:marRight w:val="0"/>
      <w:marTop w:val="0"/>
      <w:marBottom w:val="0"/>
      <w:divBdr>
        <w:top w:val="none" w:sz="0" w:space="0" w:color="auto"/>
        <w:left w:val="none" w:sz="0" w:space="0" w:color="auto"/>
        <w:bottom w:val="none" w:sz="0" w:space="0" w:color="auto"/>
        <w:right w:val="none" w:sz="0" w:space="0" w:color="auto"/>
      </w:divBdr>
      <w:divsChild>
        <w:div w:id="1509178088">
          <w:marLeft w:val="0"/>
          <w:marRight w:val="0"/>
          <w:marTop w:val="0"/>
          <w:marBottom w:val="0"/>
          <w:divBdr>
            <w:top w:val="none" w:sz="0" w:space="0" w:color="auto"/>
            <w:left w:val="none" w:sz="0" w:space="0" w:color="auto"/>
            <w:bottom w:val="none" w:sz="0" w:space="0" w:color="auto"/>
            <w:right w:val="none" w:sz="0" w:space="0" w:color="auto"/>
          </w:divBdr>
          <w:divsChild>
            <w:div w:id="256905743">
              <w:marLeft w:val="0"/>
              <w:marRight w:val="0"/>
              <w:marTop w:val="0"/>
              <w:marBottom w:val="0"/>
              <w:divBdr>
                <w:top w:val="none" w:sz="0" w:space="0" w:color="auto"/>
                <w:left w:val="none" w:sz="0" w:space="0" w:color="auto"/>
                <w:bottom w:val="none" w:sz="0" w:space="0" w:color="auto"/>
                <w:right w:val="none" w:sz="0" w:space="0" w:color="auto"/>
              </w:divBdr>
            </w:div>
            <w:div w:id="118883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1226">
      <w:bodyDiv w:val="1"/>
      <w:marLeft w:val="0"/>
      <w:marRight w:val="0"/>
      <w:marTop w:val="0"/>
      <w:marBottom w:val="0"/>
      <w:divBdr>
        <w:top w:val="none" w:sz="0" w:space="0" w:color="auto"/>
        <w:left w:val="none" w:sz="0" w:space="0" w:color="auto"/>
        <w:bottom w:val="none" w:sz="0" w:space="0" w:color="auto"/>
        <w:right w:val="none" w:sz="0" w:space="0" w:color="auto"/>
      </w:divBdr>
      <w:divsChild>
        <w:div w:id="1712068382">
          <w:marLeft w:val="0"/>
          <w:marRight w:val="0"/>
          <w:marTop w:val="0"/>
          <w:marBottom w:val="0"/>
          <w:divBdr>
            <w:top w:val="none" w:sz="0" w:space="0" w:color="auto"/>
            <w:left w:val="none" w:sz="0" w:space="0" w:color="auto"/>
            <w:bottom w:val="none" w:sz="0" w:space="0" w:color="auto"/>
            <w:right w:val="none" w:sz="0" w:space="0" w:color="auto"/>
          </w:divBdr>
        </w:div>
      </w:divsChild>
    </w:div>
    <w:div w:id="1993409532">
      <w:bodyDiv w:val="1"/>
      <w:marLeft w:val="0"/>
      <w:marRight w:val="0"/>
      <w:marTop w:val="0"/>
      <w:marBottom w:val="0"/>
      <w:divBdr>
        <w:top w:val="none" w:sz="0" w:space="0" w:color="auto"/>
        <w:left w:val="none" w:sz="0" w:space="0" w:color="auto"/>
        <w:bottom w:val="none" w:sz="0" w:space="0" w:color="auto"/>
        <w:right w:val="none" w:sz="0" w:space="0" w:color="auto"/>
      </w:divBdr>
      <w:divsChild>
        <w:div w:id="606697243">
          <w:marLeft w:val="0"/>
          <w:marRight w:val="0"/>
          <w:marTop w:val="0"/>
          <w:marBottom w:val="0"/>
          <w:divBdr>
            <w:top w:val="none" w:sz="0" w:space="0" w:color="auto"/>
            <w:left w:val="none" w:sz="0" w:space="0" w:color="auto"/>
            <w:bottom w:val="none" w:sz="0" w:space="0" w:color="auto"/>
            <w:right w:val="none" w:sz="0" w:space="0" w:color="auto"/>
          </w:divBdr>
          <w:divsChild>
            <w:div w:id="900292450">
              <w:marLeft w:val="0"/>
              <w:marRight w:val="0"/>
              <w:marTop w:val="0"/>
              <w:marBottom w:val="0"/>
              <w:divBdr>
                <w:top w:val="none" w:sz="0" w:space="0" w:color="auto"/>
                <w:left w:val="none" w:sz="0" w:space="0" w:color="auto"/>
                <w:bottom w:val="none" w:sz="0" w:space="0" w:color="auto"/>
                <w:right w:val="none" w:sz="0" w:space="0" w:color="auto"/>
              </w:divBdr>
            </w:div>
            <w:div w:id="164354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86893">
      <w:bodyDiv w:val="1"/>
      <w:marLeft w:val="0"/>
      <w:marRight w:val="0"/>
      <w:marTop w:val="0"/>
      <w:marBottom w:val="0"/>
      <w:divBdr>
        <w:top w:val="none" w:sz="0" w:space="0" w:color="auto"/>
        <w:left w:val="none" w:sz="0" w:space="0" w:color="auto"/>
        <w:bottom w:val="none" w:sz="0" w:space="0" w:color="auto"/>
        <w:right w:val="none" w:sz="0" w:space="0" w:color="auto"/>
      </w:divBdr>
      <w:divsChild>
        <w:div w:id="20277519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536271208\AppData\Roaming\CM_Tools\Templates\WordTemplates\A4\RBCCM\Memo.dotx" TargetMode="External"/></Relationships>
</file>

<file path=word/theme/theme1.xml><?xml version="1.0" encoding="utf-8"?>
<a:theme xmlns:a="http://schemas.openxmlformats.org/drawingml/2006/main" name="NewRBCPresentationToolsThemeFileFromWord">
  <a:themeElements>
    <a:clrScheme name="Custom 1">
      <a:dk1>
        <a:srgbClr val="000000"/>
      </a:dk1>
      <a:lt1>
        <a:srgbClr val="FFFFFF"/>
      </a:lt1>
      <a:dk2>
        <a:srgbClr val="002750"/>
      </a:dk2>
      <a:lt2>
        <a:srgbClr val="ADC2D2"/>
      </a:lt2>
      <a:accent1>
        <a:srgbClr val="002750"/>
      </a:accent1>
      <a:accent2>
        <a:srgbClr val="0051A5"/>
      </a:accent2>
      <a:accent3>
        <a:srgbClr val="6AADE4"/>
      </a:accent3>
      <a:accent4>
        <a:srgbClr val="FFD200"/>
      </a:accent4>
      <a:accent5>
        <a:srgbClr val="8499A6"/>
      </a:accent5>
      <a:accent6>
        <a:srgbClr val="9D8954"/>
      </a:accent6>
      <a:hlink>
        <a:srgbClr val="0051A5"/>
      </a:hlink>
      <a:folHlink>
        <a:srgbClr val="008FFA"/>
      </a:folHlink>
    </a:clrScheme>
    <a:fontScheme name="RBCCM_2014_Landscape">
      <a:majorFont>
        <a:latin typeface="Arial"/>
        <a:ea typeface="Geneva"/>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EBF0F5"/>
        </a:solidFill>
        <a:ln>
          <a:noFill/>
        </a:ln>
        <a:effectLst/>
        <a:extLst>
          <a:ext uri="{91240B29-F687-4F45-9708-019B960494DF}">
            <a14:hiddenLine xmlns:a14="http://schemas.microsoft.com/office/drawing/2010/main" w="9525" cap="flat" cmpd="sng" algn="ctr">
              <a:solidFill>
                <a:srgbClr val="000000"/>
              </a:solidFill>
              <a:prstDash val="solid"/>
              <a:round/>
              <a:headEnd type="none" w="med" len="med"/>
              <a:tailEnd type="none" w="med" len="med"/>
            </a14:hiddenLine>
          </a:ext>
          <a:ext uri="{AF507438-7753-43E0-B8FC-AC1667EBCBE1}">
            <a14:hiddenEffects xmlns:a14="http://schemas.microsoft.com/office/drawing/2010/main">
              <a:effectLst>
                <a:outerShdw dist="35921" dir="2700000" algn="ctr" rotWithShape="0">
                  <a:srgbClr val="808080"/>
                </a:outerShdw>
              </a:effectLst>
            </a14:hiddenEffects>
          </a:ext>
        </a:extLst>
      </a:spPr>
      <a:bodyPr rot="0" spcFirstLastPara="0" vertOverflow="overflow" horzOverflow="overflow" vert="horz" wrap="square" lIns="0" tIns="0" rIns="0" bIns="0" numCol="1" spcCol="0" rtlCol="0" fromWordArt="0" anchor="t" anchorCtr="0" forceAA="0" compatLnSpc="1">
        <a:prstTxWarp prst="textNoShape">
          <a:avLst/>
        </a:prstTxWarp>
        <a:noAutofit/>
      </a:bodyPr>
      <a:lstStyle>
        <a:defPPr marL="0" marR="0" indent="0" algn="l" defTabSz="511175" rtl="0" eaLnBrk="1" fontAlgn="base" latinLnBrk="0" hangingPunct="1">
          <a:lnSpc>
            <a:spcPct val="100000"/>
          </a:lnSpc>
          <a:spcBef>
            <a:spcPct val="0"/>
          </a:spcBef>
          <a:spcAft>
            <a:spcPct val="0"/>
          </a:spcAft>
          <a:buClrTx/>
          <a:buSzTx/>
          <a:buFontTx/>
          <a:buNone/>
          <a:tabLst/>
          <a:defRPr kumimoji="0" sz="1000" i="0" u="none" strike="noStrike" cap="none" normalizeH="0" baseline="0" smtClean="0">
            <a:ln>
              <a:noFill/>
            </a:ln>
            <a:solidFill>
              <a:srgbClr val="000000"/>
            </a:solidFill>
            <a:effectLst/>
            <a:latin typeface="Arial" panose="020B0604020202020204" pitchFamily="34" charset="0"/>
            <a:ea typeface="Geneva" pitchFamily="1" charset="-128"/>
          </a:defRPr>
        </a:defPPr>
      </a:lstStyle>
    </a:spDef>
    <a:lnDef>
      <a:spPr bwMode="auto">
        <a:noFill/>
        <a:ln w="9525" cap="flat" cmpd="sng" algn="ctr">
          <a:solidFill>
            <a:srgbClr val="000000"/>
          </a:solidFill>
          <a:prstDash val="solid"/>
          <a:round/>
          <a:headEnd type="none" w="med" len="med"/>
          <a:tailEnd type="none" w="med" len="me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a:spPr>
      <a:bodyPr/>
      <a:lstStyle/>
    </a:lnDef>
    <a:txDef>
      <a:spPr>
        <a:noFill/>
        <a:extLst>
          <a:ext uri="{909E8E84-426E-40DD-AFC4-6F175D3DCCD1}">
            <a14:hiddenFill xmlns:a14="http://schemas.microsoft.com/office/drawing/2010/main">
              <a:solidFill>
                <a:srgbClr val="EBF0F5"/>
              </a:solidFill>
            </a14:hiddenFill>
          </a:ext>
        </a:extLst>
      </a:spPr>
      <a:bodyPr vert="horz" wrap="square" rtlCol="0">
        <a:noAutofit/>
      </a:bodyPr>
      <a:lstStyle>
        <a:defPPr algn="l">
          <a:defRPr sz="1000" dirty="0" smtClean="0">
            <a:solidFill>
              <a:srgbClr val="000000"/>
            </a:solidFill>
            <a:latin typeface="Arial" panose="020B0604020202020204" pitchFamily="34" charset="0"/>
          </a:defRPr>
        </a:defPPr>
      </a:lstStyle>
    </a:txDef>
  </a:objectDefaults>
  <a:extraClrSchemeLst>
    <a:extraClrScheme>
      <a:clrScheme name="RBCCM_2014_Landscape 1">
        <a:dk1>
          <a:srgbClr val="000000"/>
        </a:dk1>
        <a:lt1>
          <a:srgbClr val="FFFFFF"/>
        </a:lt1>
        <a:dk2>
          <a:srgbClr val="003263"/>
        </a:dk2>
        <a:lt2>
          <a:srgbClr val="FFD200"/>
        </a:lt2>
        <a:accent1>
          <a:srgbClr val="0060A9"/>
        </a:accent1>
        <a:accent2>
          <a:srgbClr val="6AADE4"/>
        </a:accent2>
        <a:accent3>
          <a:srgbClr val="FFFFFF"/>
        </a:accent3>
        <a:accent4>
          <a:srgbClr val="000000"/>
        </a:accent4>
        <a:accent5>
          <a:srgbClr val="AAB6D1"/>
        </a:accent5>
        <a:accent6>
          <a:srgbClr val="5F9CCF"/>
        </a:accent6>
        <a:hlink>
          <a:srgbClr val="6F6E6F"/>
        </a:hlink>
        <a:folHlink>
          <a:srgbClr val="8499A6"/>
        </a:folHlink>
      </a:clrScheme>
      <a:clrMap bg1="lt1" tx1="dk1" bg2="lt2" tx2="dk2" accent1="accent1" accent2="accent2" accent3="accent3" accent4="accent4" accent5="accent5" accent6="accent6" hlink="hlink" folHlink="folHlink"/>
    </a:extraClrScheme>
  </a:extraClrSchemeLst>
  <a:custClrLst>
    <a:custClr name="Dark Blue">
      <a:srgbClr val="002750"/>
    </a:custClr>
    <a:custClr name="Bright Blue">
      <a:srgbClr val="0051A5"/>
    </a:custClr>
    <a:custClr name="Light Blue">
      <a:srgbClr val="73B0E3"/>
    </a:custClr>
    <a:custClr name="Yellow">
      <a:srgbClr val="FEDF01"/>
    </a:custClr>
    <a:custClr name="Blue-Grey">
      <a:srgbClr val="8499A6"/>
    </a:custClr>
    <a:custClr name="Gold">
      <a:srgbClr val="E8CF00"/>
    </a:custClr>
    <a:custClr name="Orange">
      <a:srgbClr val="FCA311"/>
    </a:custClr>
    <a:custClr name="Red">
      <a:srgbClr val="9B301B"/>
    </a:custClr>
    <a:custClr name="Silver">
      <a:srgbClr val="700078"/>
    </a:custClr>
    <a:custClr name="Slate">
      <a:srgbClr val="6F6E6F"/>
    </a:custClr>
    <a:custClr name="Dark Blue Tint 1">
      <a:srgbClr val="74748E"/>
    </a:custClr>
    <a:custClr name="Bright Blue Tint 1">
      <a:srgbClr val="0800C3"/>
    </a:custClr>
    <a:custClr name="Light Blue Tint 2">
      <a:srgbClr val="E3F4FF"/>
    </a:custClr>
    <a:custClr name="Yellow Tint 1">
      <a:srgbClr val="FFE692"/>
    </a:custClr>
    <a:custClr name="Blue-Grey Tint 1">
      <a:srgbClr val="ADC2D2"/>
    </a:custClr>
    <a:custClr name="Gold Tint 1">
      <a:srgbClr val="F2E395"/>
    </a:custClr>
    <a:custClr name="Orange Tint 1">
      <a:srgbClr val="FDC16B"/>
    </a:custClr>
    <a:custClr name="Red Tint 1">
      <a:srgbClr val="BD695D"/>
    </a:custClr>
    <a:custClr name="Silver Tint 3">
      <a:srgbClr val="DCDDDE"/>
    </a:custClr>
    <a:custClr name="Slate Tint 1">
      <a:srgbClr val="9D9D9D"/>
    </a:custClr>
    <a:custClr name="Dark Blue Tint 2">
      <a:srgbClr val="BBBAC7"/>
    </a:custClr>
    <a:custClr name="Bright Blue Tint 2">
      <a:srgbClr val="C3E2FA"/>
    </a:custClr>
    <a:custClr name="Grey (table shading)">
      <a:srgbClr val="E6EBF0"/>
    </a:custClr>
    <a:custClr name="Yellow Tint 2">
      <a:srgbClr val="FFF3D5"/>
    </a:custClr>
    <a:custClr name="Blue-Grey Tint 2">
      <a:srgbClr val="D3DDE5"/>
    </a:custClr>
    <a:custClr name="Gold Tint 2">
      <a:srgbClr val="FBF7E6"/>
    </a:custClr>
    <a:custClr name="Orange Tint 2">
      <a:srgbClr val="FFE2BA"/>
    </a:custClr>
    <a:custClr name="Red Tint 2">
      <a:srgbClr val="DFB4AA"/>
    </a:custClr>
    <a:custClr name="Silver tint 4">
      <a:srgbClr val="F2F1F0"/>
    </a:custClr>
    <a:custClr name="Slate Tint 2">
      <a:srgbClr val="D7D7D7"/>
    </a:custClr>
    <a:custClr name="Light Grey">
      <a:srgbClr val="C1B5A5"/>
    </a:custClr>
    <a:custClr name="Beige">
      <a:srgbClr val="B8A970"/>
    </a:custClr>
    <a:custClr name="Brown">
      <a:srgbClr val="906646"/>
    </a:custClr>
    <a:custClr name="Apple">
      <a:srgbClr val="AABA0A"/>
    </a:custClr>
    <a:custClr name="Green">
      <a:srgbClr val="6B702B"/>
    </a:custClr>
    <a:custClr name="Warm red">
      <a:srgbClr val="F93F26"/>
    </a:custClr>
    <a:custClr name="Light Grey Tint 4">
      <a:srgbClr val="F4F2E8"/>
    </a:custClr>
    <a:custClr name="Beige Tint 4">
      <a:srgbClr val="F3F0E8"/>
    </a:custClr>
    <a:custClr name="Grey (map fill)">
      <a:srgbClr val="CDD1D0"/>
    </a:custClr>
    <a:custClr name="Warm red Tint 3">
      <a:srgbClr val="F4CEBB"/>
    </a:custClr>
    <a:custClr name="Light Grey Tint 2">
      <a:srgbClr val="E1DDD5"/>
    </a:custClr>
    <a:custClr name="Beige Tint 2">
      <a:srgbClr val="DFD8BF"/>
    </a:custClr>
    <a:custClr name="Brown Tint 2">
      <a:srgbClr val="D7BFAD"/>
    </a:custClr>
    <a:custClr name="Apple Tint 3">
      <a:srgbClr val="F2F3B9"/>
    </a:custClr>
    <a:custClr name="Green Tint 2">
      <a:srgbClr val="C8CE7C"/>
    </a:custClr>
  </a:custClrLst>
  <a:extLst>
    <a:ext uri="{05A4C25C-085E-4340-85A3-A5531E510DB2}">
      <thm15:themeFamily xmlns:thm15="http://schemas.microsoft.com/office/thememl/2012/main" name="NewRBCPresentationToolsThemeFileFromPowerPoint" id="{0F958595-073D-493C-A424-D79133AF84A0}" vid="{E88EAE35-7907-43BD-926C-094921D8B9C9}"/>
    </a:ext>
  </a:extLst>
</a:theme>
</file>

<file path=docProps/app.xml><?xml version="1.0" encoding="utf-8"?>
<Properties xmlns="http://schemas.openxmlformats.org/officeDocument/2006/extended-properties" xmlns:vt="http://schemas.openxmlformats.org/officeDocument/2006/docPropsVTypes">
  <Template>Memo</Template>
  <TotalTime>2</TotalTime>
  <Pages>1</Pages>
  <Words>14</Words>
  <Characters>77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Supporting your Growth &amp; Profitability</vt:lpstr>
    </vt:vector>
  </TitlesOfParts>
  <Manager/>
  <Company>RBC Investor Services</Company>
  <LinksUpToDate>false</LinksUpToDate>
  <CharactersWithSpaces>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your Growth &amp; Profitability</dc:title>
  <dc:subject/>
  <dc:creator>Ian Sinclair</dc:creator>
  <cp:keywords/>
  <dc:description/>
  <cp:lastModifiedBy>Ian Sinclair</cp:lastModifiedBy>
  <cp:revision>3</cp:revision>
  <cp:lastPrinted>2026-02-01T17:46:00Z</cp:lastPrinted>
  <dcterms:created xsi:type="dcterms:W3CDTF">2026-03-09T12:37:00Z</dcterms:created>
  <dcterms:modified xsi:type="dcterms:W3CDTF">2026-03-09T12:38:00Z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Name">
    <vt:lpwstr>Word Template</vt:lpwstr>
  </property>
  <property fmtid="{D5CDD505-2E9C-101B-9397-08002B2CF9AE}" pid="3" name="Version">
    <vt:lpwstr>1.00</vt:lpwstr>
  </property>
  <property fmtid="{D5CDD505-2E9C-101B-9397-08002B2CF9AE}" pid="4" name="Developer">
    <vt:lpwstr>Dylan Curry, Creative Design Manager</vt:lpwstr>
  </property>
  <property fmtid="{D5CDD505-2E9C-101B-9397-08002B2CF9AE}" pid="5" name="Client">
    <vt:lpwstr>RBC Investor Services</vt:lpwstr>
  </property>
  <property fmtid="{D5CDD505-2E9C-101B-9397-08002B2CF9AE}" pid="6" name="Language">
    <vt:i4>44</vt:i4>
  </property>
  <property fmtid="{D5CDD505-2E9C-101B-9397-08002B2CF9AE}" pid="7" name="ListSeperator">
    <vt:lpwstr/>
  </property>
  <property fmtid="{D5CDD505-2E9C-101B-9397-08002B2CF9AE}" pid="8" name="RBCLogoUsed">
    <vt:lpwstr>RBCCM</vt:lpwstr>
  </property>
  <property fmtid="{D5CDD505-2E9C-101B-9397-08002B2CF9AE}" pid="9" name="RBCGroup">
    <vt:lpwstr>Capital Markets</vt:lpwstr>
  </property>
  <property fmtid="{D5CDD505-2E9C-101B-9397-08002B2CF9AE}" pid="10" name="MSIP_Label_f01692fd-22c0-4d57-8827-ca1b33aa058d_Enabled">
    <vt:lpwstr>true</vt:lpwstr>
  </property>
  <property fmtid="{D5CDD505-2E9C-101B-9397-08002B2CF9AE}" pid="11" name="MSIP_Label_f01692fd-22c0-4d57-8827-ca1b33aa058d_Method">
    <vt:lpwstr>Privileged</vt:lpwstr>
  </property>
  <property fmtid="{D5CDD505-2E9C-101B-9397-08002B2CF9AE}" pid="12" name="MSIP_Label_f01692fd-22c0-4d57-8827-ca1b33aa058d_SiteId">
    <vt:lpwstr>9323b596-236d-4890-bed3-60232a849027</vt:lpwstr>
  </property>
  <property fmtid="{D5CDD505-2E9C-101B-9397-08002B2CF9AE}" pid="13" name="Classification">
    <vt:lpwstr>TT_RBC_Internal</vt:lpwstr>
  </property>
</Properties>
</file>