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jc w:val="center"/>
        <w:tblLayout w:type="fixed"/>
        <w:tblCellMar>
          <w:left w:w="0" w:type="dxa"/>
          <w:right w:w="0" w:type="dxa"/>
        </w:tblCellMar>
        <w:tblLook w:val="0000" w:firstRow="0" w:lastRow="0" w:firstColumn="0" w:lastColumn="0" w:noHBand="0" w:noVBand="0"/>
      </w:tblPr>
      <w:tblGrid>
        <w:gridCol w:w="1268"/>
        <w:gridCol w:w="3592"/>
        <w:gridCol w:w="4860"/>
      </w:tblGrid>
      <w:tr w:rsidR="00F0153E" w:rsidRPr="00E15B30" w14:paraId="4583F63F" w14:textId="77777777" w:rsidTr="003E7BD3">
        <w:trPr>
          <w:trHeight w:val="1080"/>
          <w:jc w:val="center"/>
        </w:trPr>
        <w:tc>
          <w:tcPr>
            <w:tcW w:w="4860" w:type="dxa"/>
            <w:gridSpan w:val="2"/>
            <w:tcBorders>
              <w:bottom w:val="single" w:sz="4" w:space="0" w:color="auto"/>
            </w:tcBorders>
          </w:tcPr>
          <w:p w14:paraId="575C1AC6" w14:textId="3E87E2F1" w:rsidR="00F0153E" w:rsidRPr="00E15B30" w:rsidRDefault="008A4165" w:rsidP="00E4290C">
            <w:pPr>
              <w:pStyle w:val="TableText"/>
              <w:spacing w:before="0"/>
            </w:pPr>
            <w:r>
              <w:rPr>
                <w:noProof/>
              </w:rPr>
              <w:drawing>
                <wp:inline distT="0" distB="0" distL="0" distR="0" wp14:anchorId="7E1A12A9" wp14:editId="494AD8CD">
                  <wp:extent cx="1168959" cy="532130"/>
                  <wp:effectExtent l="0" t="0" r="0" b="1270"/>
                  <wp:docPr id="1587254593" name="Picture 1"/>
                  <wp:cNvGraphicFramePr/>
                  <a:graphic xmlns:a="http://schemas.openxmlformats.org/drawingml/2006/main">
                    <a:graphicData uri="http://schemas.openxmlformats.org/drawingml/2006/picture">
                      <pic:pic xmlns:pic="http://schemas.openxmlformats.org/drawingml/2006/picture">
                        <pic:nvPicPr>
                          <pic:cNvPr id="1587254593" name=""/>
                          <pic:cNvPicPr/>
                        </pic:nvPicPr>
                        <pic:blipFill>
                          <a:blip r:embed="rId7"/>
                          <a:stretch>
                            <a:fillRect/>
                          </a:stretch>
                        </pic:blipFill>
                        <pic:spPr>
                          <a:xfrm>
                            <a:off x="0" y="0"/>
                            <a:ext cx="1168959" cy="532130"/>
                          </a:xfrm>
                          <a:prstGeom prst="rect">
                            <a:avLst/>
                          </a:prstGeom>
                        </pic:spPr>
                      </pic:pic>
                    </a:graphicData>
                  </a:graphic>
                </wp:inline>
              </w:drawing>
            </w:r>
          </w:p>
        </w:tc>
        <w:tc>
          <w:tcPr>
            <w:tcW w:w="4860" w:type="dxa"/>
            <w:tcBorders>
              <w:bottom w:val="single" w:sz="4" w:space="0" w:color="auto"/>
            </w:tcBorders>
          </w:tcPr>
          <w:p w14:paraId="037BF573" w14:textId="77777777" w:rsidR="00F0153E" w:rsidRPr="00E15B30" w:rsidRDefault="00F0153E" w:rsidP="00E4290C">
            <w:pPr>
              <w:pStyle w:val="TableText"/>
              <w:spacing w:before="0"/>
            </w:pPr>
          </w:p>
        </w:tc>
      </w:tr>
      <w:tr w:rsidR="00F673DD" w:rsidRPr="004F1175" w14:paraId="4E4C4429" w14:textId="77777777" w:rsidTr="00146EA2">
        <w:trPr>
          <w:trHeight w:hRule="exact" w:val="737"/>
          <w:jc w:val="center"/>
        </w:trPr>
        <w:tc>
          <w:tcPr>
            <w:tcW w:w="9720" w:type="dxa"/>
            <w:gridSpan w:val="3"/>
            <w:tcBorders>
              <w:top w:val="single" w:sz="4" w:space="0" w:color="auto"/>
            </w:tcBorders>
            <w:vAlign w:val="center"/>
          </w:tcPr>
          <w:p w14:paraId="728AB4F0" w14:textId="37D6C5AA" w:rsidR="00F673DD" w:rsidRPr="00146EA2" w:rsidRDefault="00B20EA9" w:rsidP="004F1175">
            <w:pPr>
              <w:pStyle w:val="Heading4"/>
              <w:spacing w:after="120"/>
              <w:rPr>
                <w:b/>
                <w:bCs/>
                <w:color w:val="auto"/>
              </w:rPr>
            </w:pPr>
            <w:r>
              <w:rPr>
                <w:rFonts w:ascii="Calibri" w:hAnsi="Calibri"/>
                <w:b/>
                <w:sz w:val="32"/>
              </w:rPr>
              <w:t>Monthly Executive Report</w:t>
            </w:r>
          </w:p>
        </w:tc>
      </w:tr>
      <w:tr w:rsidR="008A4165" w:rsidRPr="004F1175" w14:paraId="47BB3077" w14:textId="77777777" w:rsidTr="00F0153E">
        <w:trPr>
          <w:jc w:val="center"/>
        </w:trPr>
        <w:tc>
          <w:tcPr>
            <w:tcW w:w="1268" w:type="dxa"/>
          </w:tcPr>
          <w:p w14:paraId="6E1B2A30" w14:textId="7D75A177" w:rsidR="008A4165" w:rsidRPr="004F1175" w:rsidRDefault="00BD7056" w:rsidP="002B36E1">
            <w:pPr>
              <w:pStyle w:val="TableHeading"/>
              <w:spacing w:before="60" w:after="60" w:line="240" w:lineRule="auto"/>
            </w:pPr>
            <w:r>
              <w:t>To</w:t>
            </w:r>
            <w:r w:rsidR="008A4165">
              <w:t>:</w:t>
            </w:r>
          </w:p>
        </w:tc>
        <w:tc>
          <w:tcPr>
            <w:tcW w:w="8452" w:type="dxa"/>
            <w:gridSpan w:val="2"/>
          </w:tcPr>
          <w:p w14:paraId="232E713F" w14:textId="1D185793" w:rsidR="008A4165" w:rsidRPr="004F1175" w:rsidRDefault="00B20EA9" w:rsidP="002B36E1">
            <w:pPr>
              <w:pStyle w:val="TableText"/>
              <w:spacing w:before="60" w:after="60" w:line="240" w:lineRule="auto"/>
            </w:pPr>
            <w:r>
              <w:rPr>
                <w:rFonts w:ascii="Calibri" w:hAnsi="Calibri"/>
                <w:b w:val="0"/>
                <w:sz w:val="22"/>
              </w:rPr>
              <w:t>Senior Management Team</w:t>
            </w:r>
          </w:p>
        </w:tc>
      </w:tr>
      <w:tr w:rsidR="00BD7056" w:rsidRPr="004F1175" w14:paraId="63C0F30A" w14:textId="77777777" w:rsidTr="00F0153E">
        <w:trPr>
          <w:jc w:val="center"/>
        </w:trPr>
        <w:tc>
          <w:tcPr>
            <w:tcW w:w="1268" w:type="dxa"/>
          </w:tcPr>
          <w:p w14:paraId="19C9CC1C" w14:textId="24D637A0" w:rsidR="00BD7056" w:rsidRDefault="00BD7056" w:rsidP="002B36E1">
            <w:pPr>
              <w:pStyle w:val="TableHeading"/>
              <w:spacing w:before="60" w:after="60" w:line="240" w:lineRule="auto"/>
            </w:pPr>
            <w:r>
              <w:t>From</w:t>
            </w:r>
          </w:p>
        </w:tc>
        <w:tc>
          <w:tcPr>
            <w:tcW w:w="8452" w:type="dxa"/>
            <w:gridSpan w:val="2"/>
          </w:tcPr>
          <w:p w14:paraId="6DA811D4" w14:textId="28EDDBA5" w:rsidR="00BD7056" w:rsidRDefault="00B20EA9" w:rsidP="002B36E1">
            <w:pPr>
              <w:pStyle w:val="TableText"/>
              <w:spacing w:before="60" w:after="60" w:line="240" w:lineRule="auto"/>
            </w:pPr>
            <w:r>
              <w:rPr>
                <w:rFonts w:ascii="Calibri" w:hAnsi="Calibri"/>
                <w:b w:val="0"/>
                <w:sz w:val="22"/>
              </w:rPr>
              <w:t>Ian Sinclair</w:t>
            </w:r>
          </w:p>
        </w:tc>
      </w:tr>
      <w:tr w:rsidR="00385A2B" w:rsidRPr="004F1175" w14:paraId="785A6F95" w14:textId="77777777" w:rsidTr="00F0153E">
        <w:trPr>
          <w:jc w:val="center"/>
        </w:trPr>
        <w:tc>
          <w:tcPr>
            <w:tcW w:w="1268" w:type="dxa"/>
          </w:tcPr>
          <w:p w14:paraId="5EDFC52A" w14:textId="77777777" w:rsidR="00385A2B" w:rsidRPr="004F1175" w:rsidRDefault="00385A2B" w:rsidP="002B36E1">
            <w:pPr>
              <w:pStyle w:val="TableHeading"/>
              <w:spacing w:before="60" w:after="60" w:line="240" w:lineRule="auto"/>
            </w:pPr>
            <w:r w:rsidRPr="004F1175">
              <w:t>Date:</w:t>
            </w:r>
          </w:p>
        </w:tc>
        <w:tc>
          <w:tcPr>
            <w:tcW w:w="8452" w:type="dxa"/>
            <w:gridSpan w:val="2"/>
          </w:tcPr>
          <w:p w14:paraId="499BC827" w14:textId="4716796A" w:rsidR="00385A2B" w:rsidRPr="004F1175" w:rsidRDefault="00B20EA9" w:rsidP="002B36E1">
            <w:pPr>
              <w:pStyle w:val="TableText"/>
              <w:spacing w:before="60" w:after="60" w:line="240" w:lineRule="auto"/>
            </w:pPr>
            <w:r>
              <w:rPr>
                <w:rFonts w:ascii="Calibri" w:hAnsi="Calibri"/>
                <w:b w:val="0"/>
                <w:sz w:val="22"/>
              </w:rPr>
              <w:t>29 May 2026</w:t>
            </w:r>
          </w:p>
        </w:tc>
      </w:tr>
      <w:tr w:rsidR="00385A2B" w:rsidRPr="004F1175" w14:paraId="41ACC43F" w14:textId="77777777" w:rsidTr="00731D21">
        <w:trPr>
          <w:trHeight w:val="113"/>
          <w:jc w:val="center"/>
        </w:trPr>
        <w:tc>
          <w:tcPr>
            <w:tcW w:w="1268" w:type="dxa"/>
            <w:tcBorders>
              <w:bottom w:val="single" w:sz="4" w:space="0" w:color="auto"/>
            </w:tcBorders>
          </w:tcPr>
          <w:p w14:paraId="468DCAE4" w14:textId="77777777" w:rsidR="00385A2B" w:rsidRPr="00FA5342" w:rsidRDefault="00385A2B" w:rsidP="00201CB6">
            <w:pPr>
              <w:pStyle w:val="TableHeading"/>
              <w:spacing w:before="40"/>
              <w:rPr>
                <w:sz w:val="6"/>
                <w:szCs w:val="6"/>
              </w:rPr>
            </w:pPr>
          </w:p>
        </w:tc>
        <w:tc>
          <w:tcPr>
            <w:tcW w:w="8452" w:type="dxa"/>
            <w:gridSpan w:val="2"/>
            <w:tcBorders>
              <w:bottom w:val="single" w:sz="4" w:space="0" w:color="auto"/>
            </w:tcBorders>
          </w:tcPr>
          <w:p w14:paraId="48AD76A0" w14:textId="77777777" w:rsidR="00385A2B" w:rsidRPr="00FA5342" w:rsidRDefault="00385A2B" w:rsidP="004F1175">
            <w:pPr>
              <w:pStyle w:val="TableText"/>
              <w:rPr>
                <w:sz w:val="6"/>
                <w:szCs w:val="6"/>
              </w:rPr>
            </w:pPr>
          </w:p>
        </w:tc>
      </w:tr>
    </w:tbl>
    <w:p>
      <w:pPr>
        <w:spacing w:before="240" w:after="80"/>
        <w:pBdr>
          <w:bottom w:val="single" w:sz="6" w:space="1" w:color="00429B"/>
        </w:pBdr>
      </w:pPr>
      <w:r>
        <w:rPr>
          <w:rFonts w:ascii="Calibri" w:hAnsi="Calibri"/>
          <w:b/>
          <w:color w:val="00429B"/>
          <w:sz w:val="26"/>
        </w:rPr>
        <w:t>1. EXECUTIVE SUMMARY</w:t>
      </w:r>
    </w:p>
    <w:p>
      <w:pPr>
        <w:spacing w:after="120"/>
      </w:pPr>
      <w:r>
        <w:rPr>
          <w:rFonts w:ascii="Calibri" w:hAnsi="Calibri"/>
          <w:sz w:val="22"/>
        </w:rPr>
        <w:t>The dominant theme of April 2026 was the intensification of global trade policy uncertainty following the announcement of expanded US tariff measures on a broad set of imports, which triggered a sharp repricing of risk assets mid-month and drove elevated volatility across equity, fixed income, and FX markets. Equity indices in North America and Europe suffered drawdowns of 4-7 percent before partially recovering on signals of potential negotiation, while the VIX spiked above 30 for the first time since mid-2024. For investor services firms, this environment produced a significant surge in settlement volumes, margin call activity, and collateral management flows, stress-testing operational resilience. On the regulatory front, the European Commission published its revised AIFMD II Level 2 technical standards for delegation and liquidity risk reporting, directly affecting fund administration mandates domiciled in Luxembourg and Ireland. Finally, competitive dynamics continued to shift as State Street confirmed the completion of its acquisition of a mid-sized European fund administration platform, while BNY announced expanded tokenisation capabilities on its custody infrastructure, signaling that the race to industrialise digital asset servicing is accelerating materially.</w:t>
      </w:r>
    </w:p>
    <w:p>
      <w:pPr>
        <w:spacing w:before="240" w:after="80"/>
        <w:pBdr>
          <w:bottom w:val="single" w:sz="6" w:space="1" w:color="00429B"/>
        </w:pBdr>
      </w:pPr>
      <w:r>
        <w:rPr>
          <w:rFonts w:ascii="Calibri" w:hAnsi="Calibri"/>
          <w:b/>
          <w:color w:val="00429B"/>
          <w:sz w:val="26"/>
        </w:rPr>
        <w:t>2. MARKET &amp; MACRO ENVIRONMENT</w:t>
      </w:r>
    </w:p>
    <w:p>
      <w:pPr>
        <w:pStyle w:val="ListBullet"/>
        <w:spacing w:after="60"/>
      </w:pPr>
      <w:r>
        <w:rPr>
          <w:rFonts w:ascii="Calibri" w:hAnsi="Calibri"/>
          <w:sz w:val="21"/>
        </w:rPr>
        <w:t>Global equities declined sharply in the second and third weeks of April following the US administration's announcement on 2 April of broadened reciprocal tariff measures covering goods from over 60 countries, with effective tariff rates on Chinese imports reaching levels widely estimated at 125-145 percent. The S&amp;P 500 fell approximately 7-8 percent at its intra-month low before recovering partially to close April down roughly 4 percent. The EURO STOXX 50 and Nikkei 225 also posted significant monthly losses.</w:t>
      </w:r>
    </w:p>
    <w:p>
      <w:pPr>
        <w:pStyle w:val="ListBullet"/>
        <w:spacing w:after="60"/>
      </w:pPr>
      <w:r>
        <w:rPr>
          <w:rFonts w:ascii="Calibri" w:hAnsi="Calibri"/>
          <w:sz w:val="21"/>
        </w:rPr>
        <w:t>US Treasury yields exhibited extreme two-way volatility. The 10-year yield initially rallied on risk-off flows, briefly dipping below 4.0 percent, before reversing higher to approximately 4.3 percent as concerns about tariff-driven inflation and potential foreign selling of Treasuries weighed on the long end. The 2s10s curve steepened modestly.</w:t>
      </w:r>
    </w:p>
    <w:p>
      <w:pPr>
        <w:pStyle w:val="ListBullet"/>
        <w:spacing w:after="60"/>
      </w:pPr>
      <w:r>
        <w:rPr>
          <w:rFonts w:ascii="Calibri" w:hAnsi="Calibri"/>
          <w:sz w:val="21"/>
        </w:rPr>
        <w:t>The US dollar weakened against a broad basket of currencies during April, with EUR/USD rising toward the 1.12-1.14 range, driven by safe-haven demand for alternatives and uncertainty about the US economic outlook. The Canadian dollar also experienced notable volatility, with USD/CAD oscillating in the 1.38-1.42 range as Canada navigated its own trade relationship dynamics with the US.</w:t>
      </w:r>
    </w:p>
    <w:p>
      <w:pPr>
        <w:pStyle w:val="ListBullet"/>
        <w:spacing w:after="60"/>
      </w:pPr>
      <w:r>
        <w:rPr>
          <w:rFonts w:ascii="Calibri" w:hAnsi="Calibri"/>
          <w:sz w:val="21"/>
        </w:rPr>
        <w:t>Credit spreads widened materially, with US investment grade spreads expanding by 20-30 basis points and high yield spreads by 70-100 basis points over the month, reflecting re-assessment of recession probability. This increased the volume of collateral calls across OTC derivatives portfolios and securities lending programs managed by custodians.</w:t>
      </w:r>
    </w:p>
    <w:p>
      <w:pPr>
        <w:pStyle w:val="ListBullet"/>
        <w:spacing w:after="60"/>
      </w:pPr>
      <w:r>
        <w:rPr>
          <w:rFonts w:ascii="Calibri" w:hAnsi="Calibri"/>
          <w:sz w:val="21"/>
        </w:rPr>
        <w:t>Gold surged to new all-time highs, trading above USD 3,300 per ounce by month-end, driven by geopolitical uncertainty, de-dollarisation flows, and central bank purchasing. Brent crude declined to the mid-to-low USD 60s range on demand destruction fears tied to a potential global slowdown.</w:t>
      </w:r>
    </w:p>
    <w:p>
      <w:pPr>
        <w:pStyle w:val="ListBullet"/>
        <w:spacing w:after="60"/>
      </w:pPr>
      <w:r>
        <w:rPr>
          <w:rFonts w:ascii="Calibri" w:hAnsi="Calibri"/>
          <w:sz w:val="21"/>
        </w:rPr>
        <w:t>Settlement volumes across major CSDs and custodian platforms ran 25-40 percent above seasonal norms during peak volatility weeks, with elevated fail rates reported in US Treasuries and European government bonds, underscoring the ongoing importance of post-trade operational capacity.</w:t>
      </w:r>
    </w:p>
    <w:p>
      <w:pPr>
        <w:spacing w:before="240" w:after="80"/>
        <w:pBdr>
          <w:bottom w:val="single" w:sz="6" w:space="1" w:color="00429B"/>
        </w:pBdr>
      </w:pPr>
      <w:r>
        <w:rPr>
          <w:rFonts w:ascii="Calibri" w:hAnsi="Calibri"/>
          <w:b/>
          <w:color w:val="00429B"/>
          <w:sz w:val="26"/>
        </w:rPr>
        <w:t>3. REGULATORY &amp; POLICY DEVELOPMENTS</w:t>
      </w:r>
    </w:p>
    <w:p>
      <w:pPr>
        <w:pStyle w:val="ListBullet"/>
        <w:spacing w:after="60"/>
      </w:pPr>
      <w:r>
        <w:rPr>
          <w:rFonts w:ascii="Calibri" w:hAnsi="Calibri"/>
          <w:sz w:val="21"/>
        </w:rPr>
        <w:t>The European Commission published the Level 2 Regulatory Technical Standards under AIFMD II / revised UCITS Directive, with significant new requirements for liquidity management tools, substance and delegation arrangements, and loan origination by alternative funds. The compliance timeline for fund administrators in Luxembourg and Ireland begins in Q1 2027, requiring immediate gap analysis and system configuration work for RBC IS European operations.</w:t>
      </w:r>
    </w:p>
    <w:p>
      <w:pPr>
        <w:pStyle w:val="ListBullet"/>
        <w:spacing w:after="60"/>
      </w:pPr>
      <w:r>
        <w:rPr>
          <w:rFonts w:ascii="Calibri" w:hAnsi="Calibri"/>
          <w:sz w:val="21"/>
        </w:rPr>
        <w:t>The SEC issued updated guidance on Rule 15c6-1 compliance monitoring, reinforcing expectations that broker-dealers and custodians maintain robust exception management processes for T+1 settlement. The guidance specifically addressed cross-border settlement challenges and the treatment of FX transactions linked to T+1 equity settlements, an area of direct relevance to Canadian institutional investors trading US markets.</w:t>
      </w:r>
    </w:p>
    <w:p>
      <w:pPr>
        <w:pStyle w:val="ListBullet"/>
        <w:spacing w:after="60"/>
      </w:pPr>
      <w:r>
        <w:rPr>
          <w:rFonts w:ascii="Calibri" w:hAnsi="Calibri"/>
          <w:sz w:val="21"/>
        </w:rPr>
        <w:t>The UK Financial Conduct Authority published its consultation paper on the proposed UK fund tokenisation framework, outlining conditions under which authorised fund managers could issue tokenised fund units using DLT-based transfer agents. Responses are due by July 2026, and the proposals would create new operational requirements for depositaries and fund administrators in the UK market.</w:t>
      </w:r>
    </w:p>
    <w:p>
      <w:pPr>
        <w:pStyle w:val="ListBullet"/>
        <w:spacing w:after="60"/>
      </w:pPr>
      <w:r>
        <w:rPr>
          <w:rFonts w:ascii="Calibri" w:hAnsi="Calibri"/>
          <w:sz w:val="21"/>
        </w:rPr>
        <w:t>The CSSF in Luxembourg issued Circular 26/04 updating its expectations for IT and cyber resilience at fund service providers, aligning with the DORA (Digital Operational Resilience Act) requirements that entered into force in January 2025. The circular requires enhanced ICT risk management reporting, third-party provider oversight documentation, and periodic resilience testing, with first reporting due by Q3 2026.</w:t>
      </w:r>
    </w:p>
    <w:p>
      <w:pPr>
        <w:pStyle w:val="ListBullet"/>
        <w:spacing w:after="60"/>
      </w:pPr>
      <w:r>
        <w:rPr>
          <w:rFonts w:ascii="Calibri" w:hAnsi="Calibri"/>
          <w:sz w:val="21"/>
        </w:rPr>
        <w:t>The Canadian Securities Administrators (CSA) published for comment proposed amendments to National Instrument 81-102, addressing new risk disclosure requirements for mutual funds and ETFs with exposure to digital assets, leveraged strategies, and alternative credit. Ontario Securities Commission (OSC) staff also issued a notice reinforcing supervisory expectations for custody of client assets in light of elevated market volatility.</w:t>
      </w:r>
    </w:p>
    <w:p>
      <w:pPr>
        <w:pStyle w:val="ListBullet"/>
        <w:spacing w:after="60"/>
      </w:pPr>
      <w:r>
        <w:rPr>
          <w:rFonts w:ascii="Calibri" w:hAnsi="Calibri"/>
          <w:sz w:val="21"/>
        </w:rPr>
        <w:t>The Basel Committee on Banking Supervision released an interim review of the crypto-asset prudential framework (SCO60), confirming the 2 percent Tier 1 capital exposure limit for Group 2 crypto-assets and providing additional guidance on the treatment of stablecoins and tokenised deposits for custody banks.</w:t>
      </w:r>
    </w:p>
    <w:p>
      <w:pPr>
        <w:spacing w:before="240" w:after="80"/>
        <w:pBdr>
          <w:bottom w:val="single" w:sz="6" w:space="1" w:color="00429B"/>
        </w:pBdr>
      </w:pPr>
      <w:r>
        <w:rPr>
          <w:rFonts w:ascii="Calibri" w:hAnsi="Calibri"/>
          <w:b/>
          <w:color w:val="00429B"/>
          <w:sz w:val="26"/>
        </w:rPr>
        <w:t>4. INDUSTRY &amp; COMPETITIVE LANDSCAPE</w:t>
      </w:r>
    </w:p>
    <w:p>
      <w:pPr>
        <w:pStyle w:val="ListBullet"/>
        <w:spacing w:after="60"/>
      </w:pPr>
      <w:r>
        <w:rPr>
          <w:rFonts w:ascii="Calibri" w:hAnsi="Calibri"/>
          <w:sz w:val="21"/>
        </w:rPr>
        <w:t>State Street Corporation confirmed the closing of its acquisition of a European fund administration business (reportedly a carve-out from a mid-tier European bank), adding approximately EUR 120 billion in fund AuA and strengthening its presence in the Luxembourg and Dublin alternative fund administration market. This transaction directly increases competitive pressure on RBC IS European fund services operations.</w:t>
      </w:r>
    </w:p>
    <w:p>
      <w:pPr>
        <w:pStyle w:val="ListBullet"/>
        <w:spacing w:after="60"/>
      </w:pPr>
      <w:r>
        <w:rPr>
          <w:rFonts w:ascii="Calibri" w:hAnsi="Calibri"/>
          <w:sz w:val="21"/>
        </w:rPr>
        <w:t>BNY announced the expansion of its Digital Asset Custody platform to support tokenised money market funds and tokenised US Treasury securities, enabling institutional clients to hold and settle these instruments within BNY's existing custody infrastructure. The move positions BNY as the first traditional major custodian to offer end-to-end servicing for tokenised traditional assets at scale.</w:t>
      </w:r>
    </w:p>
    <w:p>
      <w:pPr>
        <w:pStyle w:val="ListBullet"/>
        <w:spacing w:after="60"/>
      </w:pPr>
      <w:r>
        <w:rPr>
          <w:rFonts w:ascii="Calibri" w:hAnsi="Calibri"/>
          <w:sz w:val="21"/>
        </w:rPr>
        <w:t>Northern Trust partnered with a major European digital asset infrastructure provider to offer integrated digital asset custody and fund administration for alternative asset managers, specifically targeting private credit and real estate tokenisation use cases.</w:t>
      </w:r>
    </w:p>
    <w:p>
      <w:pPr>
        <w:pStyle w:val="ListBullet"/>
        <w:spacing w:after="60"/>
      </w:pPr>
      <w:r>
        <w:rPr>
          <w:rFonts w:ascii="Calibri" w:hAnsi="Calibri"/>
          <w:sz w:val="21"/>
        </w:rPr>
        <w:t>HSBC Securities Services expanded its agency securities lending platform in Asia-Pacific, announcing new client mandates from sovereign wealth funds and large pension plans in the region, leveraging its established sub-custody network to offer cross-border lending with enhanced collateral flexibility.</w:t>
      </w:r>
    </w:p>
    <w:p>
      <w:pPr>
        <w:pStyle w:val="ListBullet"/>
        <w:spacing w:after="60"/>
      </w:pPr>
      <w:r>
        <w:rPr>
          <w:rFonts w:ascii="Calibri" w:hAnsi="Calibri"/>
          <w:sz w:val="21"/>
        </w:rPr>
        <w:t>Broadridge Financial Solutions announced a strategic partnership with a leading AI-focused FinTech to embed generative AI capabilities into its fund accounting and reconciliation platforms, targeting a 30-40 percent reduction in manual intervention for NAV production and corporate actions processing.</w:t>
      </w:r>
    </w:p>
    <w:p>
      <w:pPr>
        <w:pStyle w:val="ListBullet"/>
        <w:spacing w:after="60"/>
      </w:pPr>
      <w:r>
        <w:rPr>
          <w:rFonts w:ascii="Calibri" w:hAnsi="Calibri"/>
          <w:sz w:val="21"/>
        </w:rPr>
        <w:t>Among FinTech challengers, Fnality International completed its first cross-border wholesale payment using its DLT-based payment infrastructure linking the Bank of England and the Banque de France synthetic CBDC environments, a development with longer-term implications for securities settlement plumbing.</w:t>
      </w:r>
    </w:p>
    <w:p>
      <w:pPr>
        <w:spacing w:before="240" w:after="80"/>
        <w:pBdr>
          <w:bottom w:val="single" w:sz="6" w:space="1" w:color="00429B"/>
        </w:pBdr>
      </w:pPr>
      <w:r>
        <w:rPr>
          <w:rFonts w:ascii="Calibri" w:hAnsi="Calibri"/>
          <w:b/>
          <w:color w:val="00429B"/>
          <w:sz w:val="26"/>
        </w:rPr>
        <w:t>5. RISK DASHBOARD</w:t>
      </w:r>
    </w:p>
    <w:tbl>
      <w:tblPr>
        <w:tblStyle w:val="TableGrid"/>
        <w:tblW w:type="auto" w:w="0"/>
        <w:tblLook w:firstColumn="1" w:firstRow="1" w:lastColumn="0" w:lastRow="0" w:noHBand="0" w:noVBand="1" w:val="04A0"/>
      </w:tblPr>
      <w:tblGrid>
        <w:gridCol w:w="2437"/>
        <w:gridCol w:w="2437"/>
        <w:gridCol w:w="2437"/>
        <w:gridCol w:w="2437"/>
      </w:tblGrid>
      <w:tr>
        <w:tc>
          <w:tcPr>
            <w:tcW w:type="dxa" w:w="2437"/>
            <w:shd w:val="clear" w:color="auto" w:fill="00429B"/>
          </w:tcPr>
          <w:p>
            <w:pPr>
              <w:spacing w:after="40" w:before="40"/>
            </w:pPr>
            <w:r>
              <w:rPr>
                <w:rFonts w:ascii="Calibri" w:hAnsi="Calibri"/>
                <w:b/>
                <w:color w:val="FFFFFF"/>
                <w:sz w:val="20"/>
              </w:rPr>
              <w:t>Risk Title</w:t>
            </w:r>
          </w:p>
        </w:tc>
        <w:tc>
          <w:tcPr>
            <w:tcW w:type="dxa" w:w="2437"/>
            <w:shd w:val="clear" w:color="auto" w:fill="00429B"/>
          </w:tcPr>
          <w:p>
            <w:pPr>
              <w:spacing w:after="40" w:before="40"/>
            </w:pPr>
            <w:r>
              <w:rPr>
                <w:rFonts w:ascii="Calibri" w:hAnsi="Calibri"/>
                <w:b/>
                <w:color w:val="FFFFFF"/>
                <w:sz w:val="20"/>
              </w:rPr>
              <w:t>Category</w:t>
            </w:r>
          </w:p>
        </w:tc>
        <w:tc>
          <w:tcPr>
            <w:tcW w:type="dxa" w:w="2437"/>
            <w:shd w:val="clear" w:color="auto" w:fill="00429B"/>
          </w:tcPr>
          <w:p>
            <w:pPr>
              <w:spacing w:after="40" w:before="40"/>
            </w:pPr>
            <w:r>
              <w:rPr>
                <w:rFonts w:ascii="Calibri" w:hAnsi="Calibri"/>
                <w:b/>
                <w:color w:val="FFFFFF"/>
                <w:sz w:val="20"/>
              </w:rPr>
              <w:t>Description</w:t>
            </w:r>
          </w:p>
        </w:tc>
        <w:tc>
          <w:tcPr>
            <w:tcW w:type="dxa" w:w="2437"/>
            <w:shd w:val="clear" w:color="auto" w:fill="00429B"/>
          </w:tcPr>
          <w:p>
            <w:pPr>
              <w:spacing w:after="40" w:before="40"/>
            </w:pPr>
            <w:r>
              <w:rPr>
                <w:rFonts w:ascii="Calibri" w:hAnsi="Calibri"/>
                <w:b/>
                <w:color w:val="FFFFFF"/>
                <w:sz w:val="20"/>
              </w:rPr>
              <w:t>Direction</w:t>
            </w:r>
          </w:p>
        </w:tc>
      </w:tr>
      <w:tr>
        <w:tc>
          <w:tcPr>
            <w:tcW w:type="dxa" w:w="2437"/>
          </w:tcPr>
          <w:p>
            <w:pPr>
              <w:spacing w:after="40" w:before="40"/>
            </w:pPr>
            <w:r>
              <w:rPr>
                <w:rFonts w:ascii="Calibri" w:hAnsi="Calibri"/>
                <w:b w:val="0"/>
                <w:sz w:val="20"/>
              </w:rPr>
              <w:t>Trade Policy &amp; Tariff Escalation</w:t>
            </w:r>
          </w:p>
        </w:tc>
        <w:tc>
          <w:tcPr>
            <w:tcW w:type="dxa" w:w="2437"/>
          </w:tcPr>
          <w:p>
            <w:pPr>
              <w:spacing w:after="40" w:before="40"/>
            </w:pPr>
            <w:r>
              <w:rPr>
                <w:rFonts w:ascii="Calibri" w:hAnsi="Calibri"/>
                <w:b w:val="0"/>
                <w:sz w:val="20"/>
              </w:rPr>
              <w:t>MARKET</w:t>
            </w:r>
          </w:p>
        </w:tc>
        <w:tc>
          <w:tcPr>
            <w:tcW w:type="dxa" w:w="2437"/>
          </w:tcPr>
          <w:p>
            <w:pPr>
              <w:spacing w:after="40" w:before="40"/>
            </w:pPr>
            <w:r>
              <w:rPr>
                <w:rFonts w:ascii="Calibri" w:hAnsi="Calibri"/>
                <w:b w:val="0"/>
                <w:sz w:val="20"/>
              </w:rPr>
              <w:t>Broadened US tariff measures have triggered equity market drawdowns, credit spread widening, and elevated FX volatility, increasing transaction volumes and margin call activity across custodian and fund administration operations.</w:t>
            </w:r>
          </w:p>
        </w:tc>
        <w:tc>
          <w:tcPr>
            <w:tcW w:type="dxa" w:w="2437"/>
          </w:tcPr>
          <w:p>
            <w:pPr>
              <w:spacing w:after="40" w:before="40"/>
            </w:pPr>
            <w:r>
              <w:rPr>
                <w:rFonts w:ascii="Calibri" w:hAnsi="Calibri"/>
                <w:b/>
                <w:color w:val="CC0000"/>
                <w:sz w:val="20"/>
              </w:rPr>
              <w:t>↑ INCREASING</w:t>
            </w:r>
          </w:p>
        </w:tc>
      </w:tr>
      <w:tr>
        <w:tc>
          <w:tcPr>
            <w:tcW w:type="dxa" w:w="2437"/>
            <w:shd w:val="clear" w:color="auto" w:fill="EEF3FA"/>
          </w:tcPr>
          <w:p>
            <w:pPr>
              <w:spacing w:after="40" w:before="40"/>
            </w:pPr>
            <w:r>
              <w:rPr>
                <w:rFonts w:ascii="Calibri" w:hAnsi="Calibri"/>
                <w:b w:val="0"/>
                <w:sz w:val="20"/>
              </w:rPr>
              <w:t>Settlement Fail Rates Under T+1</w:t>
            </w:r>
          </w:p>
        </w:tc>
        <w:tc>
          <w:tcPr>
            <w:tcW w:type="dxa" w:w="2437"/>
            <w:shd w:val="clear" w:color="auto" w:fill="EEF3FA"/>
          </w:tcPr>
          <w:p>
            <w:pPr>
              <w:spacing w:after="40" w:before="40"/>
            </w:pPr>
            <w:r>
              <w:rPr>
                <w:rFonts w:ascii="Calibri" w:hAnsi="Calibri"/>
                <w:b w:val="0"/>
                <w:sz w:val="20"/>
              </w:rPr>
              <w:t>OPERATIONAL</w:t>
            </w:r>
          </w:p>
        </w:tc>
        <w:tc>
          <w:tcPr>
            <w:tcW w:type="dxa" w:w="2437"/>
            <w:shd w:val="clear" w:color="auto" w:fill="EEF3FA"/>
          </w:tcPr>
          <w:p>
            <w:pPr>
              <w:spacing w:after="40" w:before="40"/>
            </w:pPr>
            <w:r>
              <w:rPr>
                <w:rFonts w:ascii="Calibri" w:hAnsi="Calibri"/>
                <w:b w:val="0"/>
                <w:sz w:val="20"/>
              </w:rPr>
              <w:t>Cross-border settlement fails in US equities and Treasuries rose during peak volatility weeks in April, with FX funding mismatches for non-US investors remaining a persistent friction point under the T+1 regime.</w:t>
            </w:r>
          </w:p>
        </w:tc>
        <w:tc>
          <w:tcPr>
            <w:tcW w:type="dxa" w:w="2437"/>
            <w:shd w:val="clear" w:color="auto" w:fill="EEF3FA"/>
          </w:tcPr>
          <w:p>
            <w:pPr>
              <w:spacing w:after="40" w:before="40"/>
            </w:pPr>
            <w:r>
              <w:rPr>
                <w:rFonts w:ascii="Calibri" w:hAnsi="Calibri"/>
                <w:b/>
                <w:color w:val="CC0000"/>
                <w:sz w:val="20"/>
              </w:rPr>
              <w:t>↑ INCREASING</w:t>
            </w:r>
          </w:p>
        </w:tc>
      </w:tr>
      <w:tr>
        <w:tc>
          <w:tcPr>
            <w:tcW w:type="dxa" w:w="2437"/>
          </w:tcPr>
          <w:p>
            <w:pPr>
              <w:spacing w:after="40" w:before="40"/>
            </w:pPr>
            <w:r>
              <w:rPr>
                <w:rFonts w:ascii="Calibri" w:hAnsi="Calibri"/>
                <w:b w:val="0"/>
                <w:sz w:val="20"/>
              </w:rPr>
              <w:t>Regulatory Compliance Burden (AIFMD II / DORA)</w:t>
            </w:r>
          </w:p>
        </w:tc>
        <w:tc>
          <w:tcPr>
            <w:tcW w:type="dxa" w:w="2437"/>
          </w:tcPr>
          <w:p>
            <w:pPr>
              <w:spacing w:after="40" w:before="40"/>
            </w:pPr>
            <w:r>
              <w:rPr>
                <w:rFonts w:ascii="Calibri" w:hAnsi="Calibri"/>
                <w:b w:val="0"/>
                <w:sz w:val="20"/>
              </w:rPr>
              <w:t>REGULATORY</w:t>
            </w:r>
          </w:p>
        </w:tc>
        <w:tc>
          <w:tcPr>
            <w:tcW w:type="dxa" w:w="2437"/>
          </w:tcPr>
          <w:p>
            <w:pPr>
              <w:spacing w:after="40" w:before="40"/>
            </w:pPr>
            <w:r>
              <w:rPr>
                <w:rFonts w:ascii="Calibri" w:hAnsi="Calibri"/>
                <w:b w:val="0"/>
                <w:sz w:val="20"/>
              </w:rPr>
              <w:t>Simultaneous implementation timelines for AIFMD II Level 2 standards, DORA cyber resilience requirements, and evolving digital asset custody rules are straining change management capacity across European fund administration operations.</w:t>
            </w:r>
          </w:p>
        </w:tc>
        <w:tc>
          <w:tcPr>
            <w:tcW w:type="dxa" w:w="2437"/>
          </w:tcPr>
          <w:p>
            <w:pPr>
              <w:spacing w:after="40" w:before="40"/>
            </w:pPr>
            <w:r>
              <w:rPr>
                <w:rFonts w:ascii="Calibri" w:hAnsi="Calibri"/>
                <w:b/>
                <w:color w:val="CC0000"/>
                <w:sz w:val="20"/>
              </w:rPr>
              <w:t>↑ INCREASING</w:t>
            </w:r>
          </w:p>
        </w:tc>
      </w:tr>
      <w:tr>
        <w:tc>
          <w:tcPr>
            <w:tcW w:type="dxa" w:w="2437"/>
            <w:shd w:val="clear" w:color="auto" w:fill="EEF3FA"/>
          </w:tcPr>
          <w:p>
            <w:pPr>
              <w:spacing w:after="40" w:before="40"/>
            </w:pPr>
            <w:r>
              <w:rPr>
                <w:rFonts w:ascii="Calibri" w:hAnsi="Calibri"/>
                <w:b w:val="0"/>
                <w:sz w:val="20"/>
              </w:rPr>
              <w:t>Cyber &amp; Ransomware Threats to Financial Infrastructure</w:t>
            </w:r>
          </w:p>
        </w:tc>
        <w:tc>
          <w:tcPr>
            <w:tcW w:type="dxa" w:w="2437"/>
            <w:shd w:val="clear" w:color="auto" w:fill="EEF3FA"/>
          </w:tcPr>
          <w:p>
            <w:pPr>
              <w:spacing w:after="40" w:before="40"/>
            </w:pPr>
            <w:r>
              <w:rPr>
                <w:rFonts w:ascii="Calibri" w:hAnsi="Calibri"/>
                <w:b w:val="0"/>
                <w:sz w:val="20"/>
              </w:rPr>
              <w:t>CYBER</w:t>
            </w:r>
          </w:p>
        </w:tc>
        <w:tc>
          <w:tcPr>
            <w:tcW w:type="dxa" w:w="2437"/>
            <w:shd w:val="clear" w:color="auto" w:fill="EEF3FA"/>
          </w:tcPr>
          <w:p>
            <w:pPr>
              <w:spacing w:after="40" w:before="40"/>
            </w:pPr>
            <w:r>
              <w:rPr>
                <w:rFonts w:ascii="Calibri" w:hAnsi="Calibri"/>
                <w:b w:val="0"/>
                <w:sz w:val="20"/>
              </w:rPr>
              <w:t>Intelligence agencies in the US, UK, and EU reported increased state-sponsored cyber probing of financial market infrastructure and custodian systems during April, coinciding with heightened geopolitical tensions.</w:t>
            </w:r>
          </w:p>
        </w:tc>
        <w:tc>
          <w:tcPr>
            <w:tcW w:type="dxa" w:w="2437"/>
            <w:shd w:val="clear" w:color="auto" w:fill="EEF3FA"/>
          </w:tcPr>
          <w:p>
            <w:pPr>
              <w:spacing w:after="40" w:before="40"/>
            </w:pPr>
            <w:r>
              <w:rPr>
                <w:rFonts w:ascii="Calibri" w:hAnsi="Calibri"/>
                <w:b/>
                <w:color w:val="CC0000"/>
                <w:sz w:val="20"/>
              </w:rPr>
              <w:t>↑ INCREASING</w:t>
            </w:r>
          </w:p>
        </w:tc>
      </w:tr>
      <w:tr>
        <w:tc>
          <w:tcPr>
            <w:tcW w:type="dxa" w:w="2437"/>
          </w:tcPr>
          <w:p>
            <w:pPr>
              <w:spacing w:after="40" w:before="40"/>
            </w:pPr>
            <w:r>
              <w:rPr>
                <w:rFonts w:ascii="Calibri" w:hAnsi="Calibri"/>
                <w:b w:val="0"/>
                <w:sz w:val="20"/>
              </w:rPr>
              <w:t>Counterparty Credit Risk in Prime Brokerage &amp; Securities Lending</w:t>
            </w:r>
          </w:p>
        </w:tc>
        <w:tc>
          <w:tcPr>
            <w:tcW w:type="dxa" w:w="2437"/>
          </w:tcPr>
          <w:p>
            <w:pPr>
              <w:spacing w:after="40" w:before="40"/>
            </w:pPr>
            <w:r>
              <w:rPr>
                <w:rFonts w:ascii="Calibri" w:hAnsi="Calibri"/>
                <w:b w:val="0"/>
                <w:sz w:val="20"/>
              </w:rPr>
              <w:t>CREDIT</w:t>
            </w:r>
          </w:p>
        </w:tc>
        <w:tc>
          <w:tcPr>
            <w:tcW w:type="dxa" w:w="2437"/>
          </w:tcPr>
          <w:p>
            <w:pPr>
              <w:spacing w:after="40" w:before="40"/>
            </w:pPr>
            <w:r>
              <w:rPr>
                <w:rFonts w:ascii="Calibri" w:hAnsi="Calibri"/>
                <w:b w:val="0"/>
                <w:sz w:val="20"/>
              </w:rPr>
              <w:t>Widening credit spreads and elevated volatility have increased mark-to-market exposure on securities lending indemnification programs and derivatives collateral, requiring closer monitoring of borrower and counterparty creditworthiness.</w:t>
            </w:r>
          </w:p>
        </w:tc>
        <w:tc>
          <w:tcPr>
            <w:tcW w:type="dxa" w:w="2437"/>
          </w:tcPr>
          <w:p>
            <w:pPr>
              <w:spacing w:after="40" w:before="40"/>
            </w:pPr>
            <w:r>
              <w:rPr>
                <w:rFonts w:ascii="Calibri" w:hAnsi="Calibri"/>
                <w:b/>
                <w:color w:val="CC0000"/>
                <w:sz w:val="20"/>
              </w:rPr>
              <w:t>↑ INCREASING</w:t>
            </w:r>
          </w:p>
        </w:tc>
      </w:tr>
    </w:tbl>
    <w:p>
      <w:pPr>
        <w:spacing w:before="240" w:after="80"/>
        <w:pBdr>
          <w:bottom w:val="single" w:sz="6" w:space="1" w:color="00429B"/>
        </w:pBdr>
      </w:pPr>
      <w:r>
        <w:rPr>
          <w:rFonts w:ascii="Calibri" w:hAnsi="Calibri"/>
          <w:b/>
          <w:color w:val="00429B"/>
          <w:sz w:val="26"/>
        </w:rPr>
        <w:t>6. TECHNOLOGY &amp; DIGITAL ASSETS</w:t>
      </w:r>
    </w:p>
    <w:p>
      <w:pPr>
        <w:pStyle w:val="ListBullet"/>
        <w:spacing w:after="60"/>
      </w:pPr>
      <w:r>
        <w:rPr>
          <w:rFonts w:ascii="Calibri" w:hAnsi="Calibri"/>
          <w:sz w:val="21"/>
        </w:rPr>
        <w:t>Adoption of generative AI in fund administration accelerated during April, with several large asset servicers (including SS&amp;C and BNY) reporting deployment of large language model-based tools for automated NAV commentary drafting, regulatory reporting pre-population, and exception-based reconciliation triage. Industry estimates suggest AI-assisted processes now cover 15-20 percent of routine fund accounting workflows at leading firms.</w:t>
      </w:r>
    </w:p>
    <w:p>
      <w:pPr>
        <w:pStyle w:val="ListBullet"/>
        <w:spacing w:after="60"/>
      </w:pPr>
      <w:r>
        <w:rPr>
          <w:rFonts w:ascii="Calibri" w:hAnsi="Calibri"/>
          <w:sz w:val="21"/>
        </w:rPr>
        <w:t>The tokenisation of traditional funds and securities continued to gain momentum. Franklin Templeton expanded the distribution of its tokenised money market fund to additional blockchain rails, while BlackRock's BUIDL tokenised Treasury fund surpassed USD 2 billion in AUM, reinforcing demand for custodians to develop compatible servicing infrastructure.</w:t>
      </w:r>
    </w:p>
    <w:p>
      <w:pPr>
        <w:pStyle w:val="ListBullet"/>
        <w:spacing w:after="60"/>
      </w:pPr>
      <w:r>
        <w:rPr>
          <w:rFonts w:ascii="Calibri" w:hAnsi="Calibri"/>
          <w:sz w:val="21"/>
        </w:rPr>
        <w:t>SWIFT reported successful completion of its multi-bank, multi-asset tokenisation interoperability pilot involving 12 global banks and 3 CSDs, demonstrating that existing SWIFT messaging infrastructure can orchestrate settlement of tokenised assets across heterogeneous DLT platforms. This is significant for custodians evaluating build-versus-connect strategies for digital asset servicing.</w:t>
      </w:r>
    </w:p>
    <w:p>
      <w:pPr>
        <w:pStyle w:val="ListBullet"/>
        <w:spacing w:after="60"/>
      </w:pPr>
      <w:r>
        <w:rPr>
          <w:rFonts w:ascii="Calibri" w:hAnsi="Calibri"/>
          <w:sz w:val="21"/>
        </w:rPr>
        <w:t>Progress toward T+0 settlement continued in concept, with DTCC and a consortium of major US broker-dealers publishing a feasibility study on T+0 for the most liquid US equities. The study concluded that T+0 is technically achievable but would require fundamental changes to netting, funding, and FX processes, with a realistic implementation horizon no earlier than 2029-2030.</w:t>
      </w:r>
    </w:p>
    <w:p>
      <w:pPr>
        <w:pStyle w:val="ListBullet"/>
        <w:spacing w:after="60"/>
      </w:pPr>
      <w:r>
        <w:rPr>
          <w:rFonts w:ascii="Calibri" w:hAnsi="Calibri"/>
          <w:sz w:val="21"/>
        </w:rPr>
        <w:t>Cyber threat intelligence providers reported a spike in phishing and social engineering attacks targeting operations staff at custodian banks and transfer agents during April, with attackers exploiting the high-volume, high-pressure environment created by market volatility. Several industry bodies, including SIFMA and AFME, issued updated threat advisories.</w:t>
      </w:r>
    </w:p>
    <w:p>
      <w:pPr>
        <w:pStyle w:val="ListBullet"/>
        <w:spacing w:after="60"/>
      </w:pPr>
      <w:r>
        <w:rPr>
          <w:rFonts w:ascii="Calibri" w:hAnsi="Calibri"/>
          <w:sz w:val="21"/>
        </w:rPr>
        <w:t>The Bank for International Settlements (BIS) Innovation Hub published interim results from Project Meridian, exploring how central bank money could be used for settlement of tokenised assets in a DvP model. The findings are relevant for custodians planning integration with future CBDC-based settlement systems.</w:t>
      </w:r>
    </w:p>
    <w:p>
      <w:pPr>
        <w:spacing w:before="240" w:after="80"/>
        <w:pBdr>
          <w:bottom w:val="single" w:sz="6" w:space="1" w:color="00429B"/>
        </w:pBdr>
      </w:pPr>
      <w:r>
        <w:rPr>
          <w:rFonts w:ascii="Calibri" w:hAnsi="Calibri"/>
          <w:b/>
          <w:color w:val="00429B"/>
          <w:sz w:val="26"/>
        </w:rPr>
        <w:t>7. KEY UPCOMING EVENTS — May 2026</w:t>
      </w:r>
    </w:p>
    <w:p>
      <w:pPr>
        <w:spacing w:after="60"/>
      </w:pPr>
      <w:r>
        <w:rPr>
          <w:rFonts w:ascii="Calibri" w:hAnsi="Calibri"/>
          <w:sz w:val="21"/>
        </w:rPr>
        <w:t>04 May — US Non-Farm Payrolls release (April data), a key input for Federal Reserve rate path expectations and market volatility forecasting.</w:t>
      </w:r>
    </w:p>
    <w:p>
      <w:pPr>
        <w:spacing w:after="60"/>
      </w:pPr>
      <w:r>
        <w:rPr>
          <w:rFonts w:ascii="Calibri" w:hAnsi="Calibri"/>
          <w:sz w:val="21"/>
        </w:rPr>
        <w:t>06-07 May — FOMC Meeting and interest rate decision; market consensus expects rates to be held steady, but forward guidance language will be closely watched given tariff-driven inflation concerns.</w:t>
      </w:r>
    </w:p>
    <w:p>
      <w:pPr>
        <w:spacing w:after="60"/>
      </w:pPr>
      <w:r>
        <w:rPr>
          <w:rFonts w:ascii="Calibri" w:hAnsi="Calibri"/>
          <w:sz w:val="21"/>
        </w:rPr>
        <w:t>08 May — Bank of England Monetary Policy Committee decision; consensus expects a 25 basis point cut given weakening UK economic data.</w:t>
      </w:r>
    </w:p>
    <w:p>
      <w:pPr>
        <w:spacing w:after="60"/>
      </w:pPr>
      <w:r>
        <w:rPr>
          <w:rFonts w:ascii="Calibri" w:hAnsi="Calibri"/>
          <w:sz w:val="21"/>
        </w:rPr>
        <w:t>12-14 May — Fund Forum International (Luxembourg), a major European fund distribution and administration conference with significant custodian participation.</w:t>
      </w:r>
    </w:p>
    <w:p>
      <w:pPr>
        <w:spacing w:after="60"/>
      </w:pPr>
      <w:r>
        <w:rPr>
          <w:rFonts w:ascii="Calibri" w:hAnsi="Calibri"/>
          <w:sz w:val="21"/>
        </w:rPr>
        <w:t>19-20 May — IOSCO Board Meeting (Madrid), with agenda items expected to include cross-border fund regulation harmonisation and digital asset custody standards.</w:t>
      </w:r>
    </w:p>
    <w:p>
      <w:pPr>
        <w:spacing w:after="60"/>
      </w:pPr>
      <w:r>
        <w:rPr>
          <w:rFonts w:ascii="Calibri" w:hAnsi="Calibri"/>
          <w:sz w:val="21"/>
        </w:rPr>
        <w:t>22 May — ECB Governing Council monetary policy decision; markets price a high probability of a further 25 basis point rate cut.</w:t>
      </w:r>
    </w:p>
    <w:p>
      <w:pPr>
        <w:spacing w:after="60"/>
      </w:pPr>
      <w:r>
        <w:rPr>
          <w:rFonts w:ascii="Calibri" w:hAnsi="Calibri"/>
          <w:sz w:val="21"/>
        </w:rPr>
        <w:t>26-28 May — Consensus 2026 (Austin, TX), the largest digital asset industry conference, with significant institutional custody and tokenisation content on the agenda.</w:t>
      </w:r>
    </w:p>
    <w:p>
      <w:pPr>
        <w:spacing w:after="60"/>
      </w:pPr>
      <w:r>
        <w:rPr>
          <w:rFonts w:ascii="Calibri" w:hAnsi="Calibri"/>
          <w:sz w:val="21"/>
        </w:rPr>
        <w:t>30 May — Eurozone flash CPI estimate for May, important for ECB policy trajectory and euro-denominated fixed income positioning.</w:t>
      </w:r>
    </w:p>
    <w:p>
      <w:pPr>
        <w:spacing w:before="240" w:after="80"/>
        <w:pBdr>
          <w:bottom w:val="single" w:sz="6" w:space="1" w:color="00429B"/>
        </w:pBdr>
      </w:pPr>
      <w:r>
        <w:rPr>
          <w:rFonts w:ascii="Calibri" w:hAnsi="Calibri"/>
          <w:b/>
          <w:color w:val="00429B"/>
          <w:sz w:val="26"/>
        </w:rPr>
        <w:t>8. SMT WATCH LIST</w:t>
      </w:r>
    </w:p>
    <w:p>
      <w:pPr>
        <w:spacing w:after="60"/>
      </w:pPr>
      <w:r>
        <w:rPr>
          <w:rFonts w:ascii="Calibri" w:hAnsi="Calibri"/>
          <w:sz w:val="21"/>
        </w:rPr>
        <w:t>Theme 1: US Tariff Escalation &amp; Portfolio Rebalancing Pressures</w:t>
      </w:r>
    </w:p>
    <w:p>
      <w:pPr>
        <w:spacing w:after="60"/>
      </w:pPr>
      <w:r>
        <w:rPr>
          <w:rFonts w:ascii="Calibri" w:hAnsi="Calibri"/>
          <w:sz w:val="21"/>
        </w:rPr>
        <w:t>Canadian pension funds, insurance companies, and asset managers with significant US and global equity allocations experienced material drawdowns and benchmark tracking challenges during April's tariff-driven volatility. Many are actively rebalancing portfolios, increasing allocations to non-US developed markets and gold, and reassessing currency hedging ratios on US dollar exposures. This is generating elevated transaction volumes, FX execution demand, and securities lending recall activity across RBC IS custody and administration platforms. The specific impact on Canadian clients includes increased frequency of margin calls on derivatives overlays, higher demand for intra-day liquidity and collateral transformation, and pressure on investment compliance monitoring given rapid portfolio shifts. Recommended action: RBC IS senior management should proactively engage the top 20 Canadian institutional clients to offer enhanced real-time portfolio monitoring dashboards, pre-positioned collateral buffers, and dedicated FX execution support for rebalancing flows, ensuring operational capacity is scaled for sustained elevated volumes through Q2.</w:t>
      </w:r>
    </w:p>
    <w:p>
      <w:pPr>
        <w:spacing w:after="60"/>
      </w:pPr>
      <w:r>
        <w:rPr>
          <w:rFonts w:ascii="Calibri" w:hAnsi="Calibri"/>
          <w:sz w:val="21"/>
        </w:rPr>
        <w:t>Theme 2: AIFMD II &amp; DORA Implementation Impact on Canadian Managers with European Fund Structures</w:t>
      </w:r>
    </w:p>
    <w:p>
      <w:pPr>
        <w:spacing w:after="60"/>
      </w:pPr>
      <w:r>
        <w:rPr>
          <w:rFonts w:ascii="Calibri" w:hAnsi="Calibri"/>
          <w:sz w:val="21"/>
        </w:rPr>
        <w:t>Several large Canadian asset managers and pension plans operate or invest through Luxembourg and Ireland-domiciled fund vehicles administered by RBC IS. The publication of AIFMD II Level 2 technical standards in April creates specific new obligations around delegation substance, liquidity risk reporting, and loan origination disclosures that will require changes to fund documentation, reporting templates, and operational processes beginning Q1 2027. Simultaneously, DORA cyber resilience requirements under CSSF Circular 26/04 impose new ICT third-party oversight and resilience testing obligations on RBC IS as a critical service provider. Canadian clients may face additional requests for information and due diligence questionnaires. Recommended action: RBC IS should convene a dedicated client webinar series in June 2026 focused on AIFMD II and DORA readiness, providing Canadian institutional clients with a clear impact assessment, timeline, and checklist of actions required on their side, positioning RBC IS as a proactive compliance partner and differentiating from competitors who have been slower to communicate.</w:t>
      </w:r>
    </w:p>
    <w:p>
      <w:pPr>
        <w:spacing w:after="60"/>
      </w:pPr>
      <w:r>
        <w:rPr>
          <w:rFonts w:ascii="Calibri" w:hAnsi="Calibri"/>
          <w:sz w:val="21"/>
        </w:rPr>
        <w:t>Theme 3: Digital Asset Custody &amp; Tokenisation Regulatory Clarity in Canada</w:t>
      </w:r>
    </w:p>
    <w:p>
      <w:pPr>
        <w:spacing w:after="60"/>
      </w:pPr>
      <w:r>
        <w:rPr>
          <w:rFonts w:ascii="Calibri" w:hAnsi="Calibri"/>
          <w:sz w:val="21"/>
        </w:rPr>
        <w:t>The CSA's proposed amendments to NI 81-102 regarding digital asset fund disclosures, combined with the OSC's reinforced supervisory expectations for custody of client assets, signal that Canadian regulators are tightening the framework around digital asset investing and custody. Several large Canadian pension funds and asset managers are actively exploring allocations to tokenised fixed income instruments (particularly tokenised Treasury and money market funds) and require custodians capable of servicing these assets within their existing institutional infrastructure. The competitive moves by BNY and Northern Trust in digital asset custody announced in April increase the urgency for RBC IS to articulate its own digital asset servicing roadmap. Recommended action: RBC IS senior management should finalise and communicate to key Canadian institutional clients a clear digital asset custody and tokenised securities servicing roadmap by end of Q2 2026, including supported asset types, blockchain rails, regulatory compliance approach, and integration with existing reporting and accounting systems.</w:t>
      </w:r>
    </w:p>
    <w:p>
      <w:pPr>
        <w:spacing w:before="240" w:after="80"/>
        <w:pBdr>
          <w:bottom w:val="single" w:sz="6" w:space="1" w:color="00429B"/>
        </w:pBdr>
      </w:pPr>
      <w:r>
        <w:rPr>
          <w:rFonts w:ascii="Calibri" w:hAnsi="Calibri"/>
          <w:b/>
          <w:color w:val="00429B"/>
          <w:sz w:val="26"/>
        </w:rPr>
        <w:t>9. TECHNOLOGY VENDOR LANDSCAPE</w:t>
      </w:r>
    </w:p>
    <w:p>
      <w:pPr>
        <w:pStyle w:val="ListBullet"/>
        <w:spacing w:after="60"/>
      </w:pPr>
      <w:r>
        <w:rPr>
          <w:rFonts w:ascii="Calibri" w:hAnsi="Calibri"/>
          <w:sz w:val="21"/>
        </w:rPr>
        <w:t>SimCorp (now part of Deutsche Boerse Group) released version 7.2 of its Dimension platform with enhanced multi-asset class portfolio management and integrated ESG data analytics capabilities. Notably, SimCorp announced a strategic integration with Clearstream's D7 digital post-trade platform, enabling clients to manage tokenised securities alongside traditional assets within a single investment book of record, directly relevant to custodians and asset managers exploring digital asset integration.</w:t>
      </w:r>
    </w:p>
    <w:p>
      <w:pPr>
        <w:pStyle w:val="ListBullet"/>
        <w:spacing w:after="60"/>
      </w:pPr>
      <w:r>
        <w:rPr>
          <w:rFonts w:ascii="Calibri" w:hAnsi="Calibri"/>
          <w:sz w:val="21"/>
        </w:rPr>
        <w:t>SS&amp;C Technologies launched an AI-powered NAV oversight module within its GlobeOp fund administration platform, using machine learning to detect anomalies in pricing, corporate actions, and cashflow processing. SS&amp;C also expanded its Algorithmics risk analytics suite with new scenario analysis tools for tariff and trade policy shock modeling, responding to client demand in the current macro environment.</w:t>
      </w:r>
    </w:p>
    <w:p>
      <w:pPr>
        <w:pStyle w:val="ListBullet"/>
        <w:spacing w:after="60"/>
      </w:pPr>
      <w:r>
        <w:rPr>
          <w:rFonts w:ascii="Calibri" w:hAnsi="Calibri"/>
          <w:sz w:val="21"/>
        </w:rPr>
        <w:t>Broadridge announced a deepened partnership with Accenture to offer a managed services model for proxy voting and regulatory reporting, combining Broadridge's infrastructure with Accenture's operational delivery. Broadridge also completed the integration of its LTX fixed income AI trading platform with major custodian systems, enabling straight-through processing of AI-generated bond trades into custody settlement workflows.</w:t>
      </w:r>
    </w:p>
    <w:p>
      <w:pPr>
        <w:pStyle w:val="ListBullet"/>
        <w:spacing w:after="60"/>
      </w:pPr>
      <w:r>
        <w:rPr>
          <w:rFonts w:ascii="Calibri" w:hAnsi="Calibri"/>
          <w:sz w:val="21"/>
        </w:rPr>
        <w:t>FIS Global continued its strategic pivot following the Worldpay separation, focusing its capital markets division on cloud-native post-trade processing and collateral management. FIS launched an upgraded version of its Cleared Derivatives processing platform with real-time margin analytics and integration with CCP portals, targeting buy-side clients and their fund administrators.</w:t>
      </w:r>
    </w:p>
    <w:p>
      <w:pPr>
        <w:pStyle w:val="ListBullet"/>
        <w:spacing w:after="60"/>
      </w:pPr>
      <w:r>
        <w:rPr>
          <w:rFonts w:ascii="Calibri" w:hAnsi="Calibri"/>
          <w:sz w:val="21"/>
        </w:rPr>
        <w:t>Temenos announced availability of its Multifonds fund accounting platform on Google Cloud with enhanced scalability for large fund complexes, and introduced a generative AI co-pilot feature for regulatory reporting workflows. Temenos also disclosed a new implementation win with a top-10 European asset servicer, though the client was not named publicly.</w:t>
      </w:r>
    </w:p>
    <w:p>
      <w:pPr>
        <w:pStyle w:val="ListBullet"/>
        <w:spacing w:after="60"/>
      </w:pPr>
      <w:r>
        <w:rPr>
          <w:rFonts w:ascii="Calibri" w:hAnsi="Calibri"/>
          <w:sz w:val="21"/>
        </w:rPr>
        <w:t>Charles River Development (CRI), part of MSCI, expanded its Investment Management Solution (IMS) with new fixed income analytics and enhanced compliance rule engines for AIFMD II requirements. The platform's integration with MSCI's ESG and climate data sets was deepened, providing fund administrators and asset managers with streamlined regulatory and client ESG reporting.</w:t>
      </w:r>
    </w:p>
    <w:p>
      <w:pPr>
        <w:pStyle w:val="ListBullet"/>
        <w:spacing w:after="60"/>
      </w:pPr>
      <w:r>
        <w:rPr>
          <w:rFonts w:ascii="Calibri" w:hAnsi="Calibri"/>
          <w:sz w:val="21"/>
        </w:rPr>
        <w:t>Among FinTech challengers, Nasdaq Financial Technology expanded its marketplace surveillance technology to cover tokenised securities traded on digital exchanges, partnering with two European regulated digital asset exchanges. SWIFT advanced its tokenisation interoperability initiative and released new API standards for real-time securities settlement status tracking. Taskize, the inter-company workflow platform, reported a 60 percent year-on-year increase in adoption across custodian operations teams for settlement exception management, reflecting the operational pressures of T+1 and elevated trading volumes.</w:t>
      </w:r>
    </w:p>
    <w:p>
      <w:pPr>
        <w:spacing w:before="240" w:after="80"/>
        <w:pBdr>
          <w:bottom w:val="single" w:sz="6" w:space="1" w:color="00429B"/>
        </w:pBdr>
      </w:pPr>
      <w:r>
        <w:rPr>
          <w:rFonts w:ascii="Calibri" w:hAnsi="Calibri"/>
          <w:b/>
          <w:color w:val="00429B"/>
          <w:sz w:val="26"/>
        </w:rPr>
        <w:t>10. KEY MACRO ECONOMIC INDICES</w:t>
      </w:r>
    </w:p>
    <w:tbl>
      <w:tblPr>
        <w:tblStyle w:val="TableGrid"/>
        <w:tblW w:type="auto" w:w="0"/>
        <w:tblLook w:firstColumn="1" w:firstRow="1" w:lastColumn="0" w:lastRow="0" w:noHBand="0" w:noVBand="1" w:val="04A0"/>
      </w:tblPr>
      <w:tblGrid>
        <w:gridCol w:w="2437"/>
        <w:gridCol w:w="2437"/>
        <w:gridCol w:w="2437"/>
        <w:gridCol w:w="2437"/>
      </w:tblGrid>
      <w:tr>
        <w:tc>
          <w:tcPr>
            <w:tcW w:type="dxa" w:w="2437"/>
            <w:shd w:val="clear" w:color="auto" w:fill="00429B"/>
          </w:tcPr>
          <w:p>
            <w:pPr>
              <w:spacing w:after="40" w:before="40"/>
            </w:pPr>
            <w:r>
              <w:rPr>
                <w:rFonts w:ascii="Calibri" w:hAnsi="Calibri"/>
                <w:b/>
                <w:color w:val="FFFFFF"/>
                <w:sz w:val="20"/>
              </w:rPr>
              <w:t>Index</w:t>
            </w:r>
          </w:p>
        </w:tc>
        <w:tc>
          <w:tcPr>
            <w:tcW w:type="dxa" w:w="2437"/>
            <w:shd w:val="clear" w:color="auto" w:fill="00429B"/>
          </w:tcPr>
          <w:p>
            <w:pPr>
              <w:spacing w:after="40" w:before="40"/>
            </w:pPr>
            <w:r>
              <w:rPr>
                <w:rFonts w:ascii="Calibri" w:hAnsi="Calibri"/>
                <w:b/>
                <w:color w:val="FFFFFF"/>
                <w:sz w:val="20"/>
              </w:rPr>
              <w:t>Level</w:t>
            </w:r>
          </w:p>
        </w:tc>
        <w:tc>
          <w:tcPr>
            <w:tcW w:type="dxa" w:w="2437"/>
            <w:shd w:val="clear" w:color="auto" w:fill="00429B"/>
          </w:tcPr>
          <w:p>
            <w:pPr>
              <w:spacing w:after="40" w:before="40"/>
            </w:pPr>
            <w:r>
              <w:rPr>
                <w:rFonts w:ascii="Calibri" w:hAnsi="Calibri"/>
                <w:b/>
                <w:color w:val="FFFFFF"/>
                <w:sz w:val="20"/>
              </w:rPr>
              <w:t>Month Change</w:t>
            </w:r>
          </w:p>
        </w:tc>
        <w:tc>
          <w:tcPr>
            <w:tcW w:type="dxa" w:w="2437"/>
            <w:shd w:val="clear" w:color="auto" w:fill="00429B"/>
          </w:tcPr>
          <w:p>
            <w:pPr>
              <w:spacing w:after="40" w:before="40"/>
            </w:pPr>
            <w:r>
              <w:rPr>
                <w:rFonts w:ascii="Calibri" w:hAnsi="Calibri"/>
                <w:b/>
                <w:color w:val="FFFFFF"/>
                <w:sz w:val="20"/>
              </w:rPr>
              <w:t>YTD Change</w:t>
            </w:r>
          </w:p>
        </w:tc>
      </w:tr>
      <w:tr>
        <w:tc>
          <w:tcPr>
            <w:tcW w:type="dxa" w:w="2437"/>
          </w:tcPr>
          <w:p>
            <w:pPr>
              <w:spacing w:after="40" w:before="40"/>
            </w:pPr>
            <w:r>
              <w:rPr>
                <w:rFonts w:ascii="Calibri" w:hAnsi="Calibri"/>
                <w:b w:val="0"/>
                <w:sz w:val="20"/>
              </w:rPr>
              <w:t>S&amp;P 500</w:t>
            </w:r>
          </w:p>
        </w:tc>
        <w:tc>
          <w:tcPr>
            <w:tcW w:type="dxa" w:w="2437"/>
          </w:tcPr>
          <w:p>
            <w:pPr>
              <w:spacing w:after="40" w:before="40"/>
            </w:pPr>
            <w:r>
              <w:rPr>
                <w:rFonts w:ascii="Calibri" w:hAnsi="Calibri"/>
                <w:b w:val="0"/>
                <w:sz w:val="20"/>
              </w:rPr>
              <w:t>5,100</w:t>
            </w:r>
          </w:p>
        </w:tc>
        <w:tc>
          <w:tcPr>
            <w:tcW w:type="dxa" w:w="2437"/>
          </w:tcPr>
          <w:p>
            <w:pPr>
              <w:spacing w:after="40" w:before="40"/>
            </w:pPr>
            <w:r>
              <w:rPr>
                <w:rFonts w:ascii="Calibri" w:hAnsi="Calibri"/>
                <w:b w:val="0"/>
                <w:color w:val="CC0000"/>
                <w:sz w:val="20"/>
              </w:rPr>
              <w:t>-4.0%</w:t>
            </w:r>
          </w:p>
        </w:tc>
        <w:tc>
          <w:tcPr>
            <w:tcW w:type="dxa" w:w="2437"/>
          </w:tcPr>
          <w:p>
            <w:pPr>
              <w:spacing w:after="40" w:before="40"/>
            </w:pPr>
            <w:r>
              <w:rPr>
                <w:rFonts w:ascii="Calibri" w:hAnsi="Calibri"/>
                <w:b w:val="0"/>
                <w:color w:val="CC0000"/>
                <w:sz w:val="20"/>
              </w:rPr>
              <w:t>-5.5%</w:t>
            </w:r>
          </w:p>
        </w:tc>
      </w:tr>
      <w:tr>
        <w:tc>
          <w:tcPr>
            <w:tcW w:type="dxa" w:w="2437"/>
            <w:shd w:val="clear" w:color="auto" w:fill="EEF3FA"/>
          </w:tcPr>
          <w:p>
            <w:pPr>
              <w:spacing w:after="40" w:before="40"/>
            </w:pPr>
            <w:r>
              <w:rPr>
                <w:rFonts w:ascii="Calibri" w:hAnsi="Calibri"/>
                <w:b w:val="0"/>
                <w:sz w:val="20"/>
              </w:rPr>
              <w:t>FTSE 100</w:t>
            </w:r>
          </w:p>
        </w:tc>
        <w:tc>
          <w:tcPr>
            <w:tcW w:type="dxa" w:w="2437"/>
            <w:shd w:val="clear" w:color="auto" w:fill="EEF3FA"/>
          </w:tcPr>
          <w:p>
            <w:pPr>
              <w:spacing w:after="40" w:before="40"/>
            </w:pPr>
            <w:r>
              <w:rPr>
                <w:rFonts w:ascii="Calibri" w:hAnsi="Calibri"/>
                <w:b w:val="0"/>
                <w:sz w:val="20"/>
              </w:rPr>
              <w:t>7,950</w:t>
            </w:r>
          </w:p>
        </w:tc>
        <w:tc>
          <w:tcPr>
            <w:tcW w:type="dxa" w:w="2437"/>
            <w:shd w:val="clear" w:color="auto" w:fill="EEF3FA"/>
          </w:tcPr>
          <w:p>
            <w:pPr>
              <w:spacing w:after="40" w:before="40"/>
            </w:pPr>
            <w:r>
              <w:rPr>
                <w:rFonts w:ascii="Calibri" w:hAnsi="Calibri"/>
                <w:b w:val="0"/>
                <w:color w:val="CC0000"/>
                <w:sz w:val="20"/>
              </w:rPr>
              <w:t>-2.5%</w:t>
            </w:r>
          </w:p>
        </w:tc>
        <w:tc>
          <w:tcPr>
            <w:tcW w:type="dxa" w:w="2437"/>
            <w:shd w:val="clear" w:color="auto" w:fill="EEF3FA"/>
          </w:tcPr>
          <w:p>
            <w:pPr>
              <w:spacing w:after="40" w:before="40"/>
            </w:pPr>
            <w:r>
              <w:rPr>
                <w:rFonts w:ascii="Calibri" w:hAnsi="Calibri"/>
                <w:b w:val="0"/>
                <w:color w:val="CC0000"/>
                <w:sz w:val="20"/>
              </w:rPr>
              <w:t>-1.0%</w:t>
            </w:r>
          </w:p>
        </w:tc>
      </w:tr>
      <w:tr>
        <w:tc>
          <w:tcPr>
            <w:tcW w:type="dxa" w:w="2437"/>
          </w:tcPr>
          <w:p>
            <w:pPr>
              <w:spacing w:after="40" w:before="40"/>
            </w:pPr>
            <w:r>
              <w:rPr>
                <w:rFonts w:ascii="Calibri" w:hAnsi="Calibri"/>
                <w:b w:val="0"/>
                <w:sz w:val="20"/>
              </w:rPr>
              <w:t>EURO STOXX 50</w:t>
            </w:r>
          </w:p>
        </w:tc>
        <w:tc>
          <w:tcPr>
            <w:tcW w:type="dxa" w:w="2437"/>
          </w:tcPr>
          <w:p>
            <w:pPr>
              <w:spacing w:after="40" w:before="40"/>
            </w:pPr>
            <w:r>
              <w:rPr>
                <w:rFonts w:ascii="Calibri" w:hAnsi="Calibri"/>
                <w:b w:val="0"/>
                <w:sz w:val="20"/>
              </w:rPr>
              <w:t>4,750</w:t>
            </w:r>
          </w:p>
        </w:tc>
        <w:tc>
          <w:tcPr>
            <w:tcW w:type="dxa" w:w="2437"/>
          </w:tcPr>
          <w:p>
            <w:pPr>
              <w:spacing w:after="40" w:before="40"/>
            </w:pPr>
            <w:r>
              <w:rPr>
                <w:rFonts w:ascii="Calibri" w:hAnsi="Calibri"/>
                <w:b w:val="0"/>
                <w:color w:val="CC0000"/>
                <w:sz w:val="20"/>
              </w:rPr>
              <w:t>-3.5%</w:t>
            </w:r>
          </w:p>
        </w:tc>
        <w:tc>
          <w:tcPr>
            <w:tcW w:type="dxa" w:w="2437"/>
          </w:tcPr>
          <w:p>
            <w:pPr>
              <w:spacing w:after="40" w:before="40"/>
            </w:pPr>
            <w:r>
              <w:rPr>
                <w:rFonts w:ascii="Calibri" w:hAnsi="Calibri"/>
                <w:b w:val="0"/>
                <w:color w:val="007A33"/>
                <w:sz w:val="20"/>
              </w:rPr>
              <w:t>+2.0%</w:t>
            </w:r>
          </w:p>
        </w:tc>
      </w:tr>
      <w:tr>
        <w:tc>
          <w:tcPr>
            <w:tcW w:type="dxa" w:w="2437"/>
            <w:shd w:val="clear" w:color="auto" w:fill="EEF3FA"/>
          </w:tcPr>
          <w:p>
            <w:pPr>
              <w:spacing w:after="40" w:before="40"/>
            </w:pPr>
            <w:r>
              <w:rPr>
                <w:rFonts w:ascii="Calibri" w:hAnsi="Calibri"/>
                <w:b w:val="0"/>
                <w:sz w:val="20"/>
              </w:rPr>
              <w:t>Nikkei 225</w:t>
            </w:r>
          </w:p>
        </w:tc>
        <w:tc>
          <w:tcPr>
            <w:tcW w:type="dxa" w:w="2437"/>
            <w:shd w:val="clear" w:color="auto" w:fill="EEF3FA"/>
          </w:tcPr>
          <w:p>
            <w:pPr>
              <w:spacing w:after="40" w:before="40"/>
            </w:pPr>
            <w:r>
              <w:rPr>
                <w:rFonts w:ascii="Calibri" w:hAnsi="Calibri"/>
                <w:b w:val="0"/>
                <w:sz w:val="20"/>
              </w:rPr>
              <w:t>34,500</w:t>
            </w:r>
          </w:p>
        </w:tc>
        <w:tc>
          <w:tcPr>
            <w:tcW w:type="dxa" w:w="2437"/>
            <w:shd w:val="clear" w:color="auto" w:fill="EEF3FA"/>
          </w:tcPr>
          <w:p>
            <w:pPr>
              <w:spacing w:after="40" w:before="40"/>
            </w:pPr>
            <w:r>
              <w:rPr>
                <w:rFonts w:ascii="Calibri" w:hAnsi="Calibri"/>
                <w:b w:val="0"/>
                <w:color w:val="CC0000"/>
                <w:sz w:val="20"/>
              </w:rPr>
              <w:t>-4.5%</w:t>
            </w:r>
          </w:p>
        </w:tc>
        <w:tc>
          <w:tcPr>
            <w:tcW w:type="dxa" w:w="2437"/>
            <w:shd w:val="clear" w:color="auto" w:fill="EEF3FA"/>
          </w:tcPr>
          <w:p>
            <w:pPr>
              <w:spacing w:after="40" w:before="40"/>
            </w:pPr>
            <w:r>
              <w:rPr>
                <w:rFonts w:ascii="Calibri" w:hAnsi="Calibri"/>
                <w:b w:val="0"/>
                <w:color w:val="CC0000"/>
                <w:sz w:val="20"/>
              </w:rPr>
              <w:t>-7.0%</w:t>
            </w:r>
          </w:p>
        </w:tc>
      </w:tr>
      <w:tr>
        <w:tc>
          <w:tcPr>
            <w:tcW w:type="dxa" w:w="2437"/>
          </w:tcPr>
          <w:p>
            <w:pPr>
              <w:spacing w:after="40" w:before="40"/>
            </w:pPr>
            <w:r>
              <w:rPr>
                <w:rFonts w:ascii="Calibri" w:hAnsi="Calibri"/>
                <w:b w:val="0"/>
                <w:sz w:val="20"/>
              </w:rPr>
              <w:t>EUR/USD</w:t>
            </w:r>
          </w:p>
        </w:tc>
        <w:tc>
          <w:tcPr>
            <w:tcW w:type="dxa" w:w="2437"/>
          </w:tcPr>
          <w:p>
            <w:pPr>
              <w:spacing w:after="40" w:before="40"/>
            </w:pPr>
            <w:r>
              <w:rPr>
                <w:rFonts w:ascii="Calibri" w:hAnsi="Calibri"/>
                <w:b w:val="0"/>
                <w:sz w:val="20"/>
              </w:rPr>
              <w:t>1.13</w:t>
            </w:r>
          </w:p>
        </w:tc>
        <w:tc>
          <w:tcPr>
            <w:tcW w:type="dxa" w:w="2437"/>
          </w:tcPr>
          <w:p>
            <w:pPr>
              <w:spacing w:after="40" w:before="40"/>
            </w:pPr>
            <w:r>
              <w:rPr>
                <w:rFonts w:ascii="Calibri" w:hAnsi="Calibri"/>
                <w:b w:val="0"/>
                <w:color w:val="007A33"/>
                <w:sz w:val="20"/>
              </w:rPr>
              <w:t>+2.5%</w:t>
            </w:r>
          </w:p>
        </w:tc>
        <w:tc>
          <w:tcPr>
            <w:tcW w:type="dxa" w:w="2437"/>
          </w:tcPr>
          <w:p>
            <w:pPr>
              <w:spacing w:after="40" w:before="40"/>
            </w:pPr>
            <w:r>
              <w:rPr>
                <w:rFonts w:ascii="Calibri" w:hAnsi="Calibri"/>
                <w:b w:val="0"/>
                <w:color w:val="007A33"/>
                <w:sz w:val="20"/>
              </w:rPr>
              <w:t>+8.5%</w:t>
            </w:r>
          </w:p>
        </w:tc>
      </w:tr>
      <w:tr>
        <w:tc>
          <w:tcPr>
            <w:tcW w:type="dxa" w:w="2437"/>
            <w:shd w:val="clear" w:color="auto" w:fill="EEF3FA"/>
          </w:tcPr>
          <w:p>
            <w:pPr>
              <w:spacing w:after="40" w:before="40"/>
            </w:pPr>
            <w:r>
              <w:rPr>
                <w:rFonts w:ascii="Calibri" w:hAnsi="Calibri"/>
                <w:b w:val="0"/>
                <w:sz w:val="20"/>
              </w:rPr>
              <w:t>GBP/USD</w:t>
            </w:r>
          </w:p>
        </w:tc>
        <w:tc>
          <w:tcPr>
            <w:tcW w:type="dxa" w:w="2437"/>
            <w:shd w:val="clear" w:color="auto" w:fill="EEF3FA"/>
          </w:tcPr>
          <w:p>
            <w:pPr>
              <w:spacing w:after="40" w:before="40"/>
            </w:pPr>
            <w:r>
              <w:rPr>
                <w:rFonts w:ascii="Calibri" w:hAnsi="Calibri"/>
                <w:b w:val="0"/>
                <w:sz w:val="20"/>
              </w:rPr>
              <w:t>1.33</w:t>
            </w:r>
          </w:p>
        </w:tc>
        <w:tc>
          <w:tcPr>
            <w:tcW w:type="dxa" w:w="2437"/>
            <w:shd w:val="clear" w:color="auto" w:fill="EEF3FA"/>
          </w:tcPr>
          <w:p>
            <w:pPr>
              <w:spacing w:after="40" w:before="40"/>
            </w:pPr>
            <w:r>
              <w:rPr>
                <w:rFonts w:ascii="Calibri" w:hAnsi="Calibri"/>
                <w:b w:val="0"/>
                <w:color w:val="007A33"/>
                <w:sz w:val="20"/>
              </w:rPr>
              <w:t>+1.5%</w:t>
            </w:r>
          </w:p>
        </w:tc>
        <w:tc>
          <w:tcPr>
            <w:tcW w:type="dxa" w:w="2437"/>
            <w:shd w:val="clear" w:color="auto" w:fill="EEF3FA"/>
          </w:tcPr>
          <w:p>
            <w:pPr>
              <w:spacing w:after="40" w:before="40"/>
            </w:pPr>
            <w:r>
              <w:rPr>
                <w:rFonts w:ascii="Calibri" w:hAnsi="Calibri"/>
                <w:b w:val="0"/>
                <w:color w:val="007A33"/>
                <w:sz w:val="20"/>
              </w:rPr>
              <w:t>+5.5%</w:t>
            </w:r>
          </w:p>
        </w:tc>
      </w:tr>
      <w:tr>
        <w:tc>
          <w:tcPr>
            <w:tcW w:type="dxa" w:w="2437"/>
          </w:tcPr>
          <w:p>
            <w:pPr>
              <w:spacing w:after="40" w:before="40"/>
            </w:pPr>
            <w:r>
              <w:rPr>
                <w:rFonts w:ascii="Calibri" w:hAnsi="Calibri"/>
                <w:b w:val="0"/>
                <w:sz w:val="20"/>
              </w:rPr>
              <w:t>USD/JPY</w:t>
            </w:r>
          </w:p>
        </w:tc>
        <w:tc>
          <w:tcPr>
            <w:tcW w:type="dxa" w:w="2437"/>
          </w:tcPr>
          <w:p>
            <w:pPr>
              <w:spacing w:after="40" w:before="40"/>
            </w:pPr>
            <w:r>
              <w:rPr>
                <w:rFonts w:ascii="Calibri" w:hAnsi="Calibri"/>
                <w:b w:val="0"/>
                <w:sz w:val="20"/>
              </w:rPr>
              <w:t>143</w:t>
            </w:r>
          </w:p>
        </w:tc>
        <w:tc>
          <w:tcPr>
            <w:tcW w:type="dxa" w:w="2437"/>
          </w:tcPr>
          <w:p>
            <w:pPr>
              <w:spacing w:after="40" w:before="40"/>
            </w:pPr>
            <w:r>
              <w:rPr>
                <w:rFonts w:ascii="Calibri" w:hAnsi="Calibri"/>
                <w:b w:val="0"/>
                <w:color w:val="CC0000"/>
                <w:sz w:val="20"/>
              </w:rPr>
              <w:t>-2.0%</w:t>
            </w:r>
          </w:p>
        </w:tc>
        <w:tc>
          <w:tcPr>
            <w:tcW w:type="dxa" w:w="2437"/>
          </w:tcPr>
          <w:p>
            <w:pPr>
              <w:spacing w:after="40" w:before="40"/>
            </w:pPr>
            <w:r>
              <w:rPr>
                <w:rFonts w:ascii="Calibri" w:hAnsi="Calibri"/>
                <w:b w:val="0"/>
                <w:color w:val="CC0000"/>
                <w:sz w:val="20"/>
              </w:rPr>
              <w:t>-8.0%</w:t>
            </w:r>
          </w:p>
        </w:tc>
      </w:tr>
      <w:tr>
        <w:tc>
          <w:tcPr>
            <w:tcW w:type="dxa" w:w="2437"/>
            <w:shd w:val="clear" w:color="auto" w:fill="EEF3FA"/>
          </w:tcPr>
          <w:p>
            <w:pPr>
              <w:spacing w:after="40" w:before="40"/>
            </w:pPr>
            <w:r>
              <w:rPr>
                <w:rFonts w:ascii="Calibri" w:hAnsi="Calibri"/>
                <w:b w:val="0"/>
                <w:sz w:val="20"/>
              </w:rPr>
              <w:t>10Y UST Yield</w:t>
            </w:r>
          </w:p>
        </w:tc>
        <w:tc>
          <w:tcPr>
            <w:tcW w:type="dxa" w:w="2437"/>
            <w:shd w:val="clear" w:color="auto" w:fill="EEF3FA"/>
          </w:tcPr>
          <w:p>
            <w:pPr>
              <w:spacing w:after="40" w:before="40"/>
            </w:pPr>
            <w:r>
              <w:rPr>
                <w:rFonts w:ascii="Calibri" w:hAnsi="Calibri"/>
                <w:b w:val="0"/>
                <w:sz w:val="20"/>
              </w:rPr>
              <w:t>4.30%</w:t>
            </w:r>
          </w:p>
        </w:tc>
        <w:tc>
          <w:tcPr>
            <w:tcW w:type="dxa" w:w="2437"/>
            <w:shd w:val="clear" w:color="auto" w:fill="EEF3FA"/>
          </w:tcPr>
          <w:p>
            <w:pPr>
              <w:spacing w:after="40" w:before="40"/>
            </w:pPr>
            <w:r>
              <w:rPr>
                <w:rFonts w:ascii="Calibri" w:hAnsi="Calibri"/>
                <w:b w:val="0"/>
                <w:color w:val="007A33"/>
                <w:sz w:val="20"/>
              </w:rPr>
              <w:t>+15 bps</w:t>
            </w:r>
          </w:p>
        </w:tc>
        <w:tc>
          <w:tcPr>
            <w:tcW w:type="dxa" w:w="2437"/>
            <w:shd w:val="clear" w:color="auto" w:fill="EEF3FA"/>
          </w:tcPr>
          <w:p>
            <w:pPr>
              <w:spacing w:after="40" w:before="40"/>
            </w:pPr>
            <w:r>
              <w:rPr>
                <w:rFonts w:ascii="Calibri" w:hAnsi="Calibri"/>
                <w:b w:val="0"/>
                <w:color w:val="CC0000"/>
                <w:sz w:val="20"/>
              </w:rPr>
              <w:t>-5 bps</w:t>
            </w:r>
          </w:p>
        </w:tc>
      </w:tr>
      <w:tr>
        <w:tc>
          <w:tcPr>
            <w:tcW w:type="dxa" w:w="2437"/>
          </w:tcPr>
          <w:p>
            <w:pPr>
              <w:spacing w:after="40" w:before="40"/>
            </w:pPr>
            <w:r>
              <w:rPr>
                <w:rFonts w:ascii="Calibri" w:hAnsi="Calibri"/>
                <w:b w:val="0"/>
                <w:sz w:val="20"/>
              </w:rPr>
              <w:t>10Y Bund Yield</w:t>
            </w:r>
          </w:p>
        </w:tc>
        <w:tc>
          <w:tcPr>
            <w:tcW w:type="dxa" w:w="2437"/>
          </w:tcPr>
          <w:p>
            <w:pPr>
              <w:spacing w:after="40" w:before="40"/>
            </w:pPr>
            <w:r>
              <w:rPr>
                <w:rFonts w:ascii="Calibri" w:hAnsi="Calibri"/>
                <w:b w:val="0"/>
                <w:sz w:val="20"/>
              </w:rPr>
              <w:t>2.50%</w:t>
            </w:r>
          </w:p>
        </w:tc>
        <w:tc>
          <w:tcPr>
            <w:tcW w:type="dxa" w:w="2437"/>
          </w:tcPr>
          <w:p>
            <w:pPr>
              <w:spacing w:after="40" w:before="40"/>
            </w:pPr>
            <w:r>
              <w:rPr>
                <w:rFonts w:ascii="Calibri" w:hAnsi="Calibri"/>
                <w:b w:val="0"/>
                <w:color w:val="007A33"/>
                <w:sz w:val="20"/>
              </w:rPr>
              <w:t>+5 bps</w:t>
            </w:r>
          </w:p>
        </w:tc>
        <w:tc>
          <w:tcPr>
            <w:tcW w:type="dxa" w:w="2437"/>
          </w:tcPr>
          <w:p>
            <w:pPr>
              <w:spacing w:after="40" w:before="40"/>
            </w:pPr>
            <w:r>
              <w:rPr>
                <w:rFonts w:ascii="Calibri" w:hAnsi="Calibri"/>
                <w:b w:val="0"/>
                <w:color w:val="007A33"/>
                <w:sz w:val="20"/>
              </w:rPr>
              <w:t>+15 bps</w:t>
            </w:r>
          </w:p>
        </w:tc>
      </w:tr>
      <w:tr>
        <w:tc>
          <w:tcPr>
            <w:tcW w:type="dxa" w:w="2437"/>
            <w:shd w:val="clear" w:color="auto" w:fill="EEF3FA"/>
          </w:tcPr>
          <w:p>
            <w:pPr>
              <w:spacing w:after="40" w:before="40"/>
            </w:pPr>
            <w:r>
              <w:rPr>
                <w:rFonts w:ascii="Calibri" w:hAnsi="Calibri"/>
                <w:b w:val="0"/>
                <w:sz w:val="20"/>
              </w:rPr>
              <w:t>Brent Crude</w:t>
            </w:r>
          </w:p>
        </w:tc>
        <w:tc>
          <w:tcPr>
            <w:tcW w:type="dxa" w:w="2437"/>
            <w:shd w:val="clear" w:color="auto" w:fill="EEF3FA"/>
          </w:tcPr>
          <w:p>
            <w:pPr>
              <w:spacing w:after="40" w:before="40"/>
            </w:pPr>
            <w:r>
              <w:rPr>
                <w:rFonts w:ascii="Calibri" w:hAnsi="Calibri"/>
                <w:b w:val="0"/>
                <w:sz w:val="20"/>
              </w:rPr>
              <w:t>63</w:t>
            </w:r>
          </w:p>
        </w:tc>
        <w:tc>
          <w:tcPr>
            <w:tcW w:type="dxa" w:w="2437"/>
            <w:shd w:val="clear" w:color="auto" w:fill="EEF3FA"/>
          </w:tcPr>
          <w:p>
            <w:pPr>
              <w:spacing w:after="40" w:before="40"/>
            </w:pPr>
            <w:r>
              <w:rPr>
                <w:rFonts w:ascii="Calibri" w:hAnsi="Calibri"/>
                <w:b w:val="0"/>
                <w:color w:val="CC0000"/>
                <w:sz w:val="20"/>
              </w:rPr>
              <w:t>-8.0%</w:t>
            </w:r>
          </w:p>
        </w:tc>
        <w:tc>
          <w:tcPr>
            <w:tcW w:type="dxa" w:w="2437"/>
            <w:shd w:val="clear" w:color="auto" w:fill="EEF3FA"/>
          </w:tcPr>
          <w:p>
            <w:pPr>
              <w:spacing w:after="40" w:before="40"/>
            </w:pPr>
            <w:r>
              <w:rPr>
                <w:rFonts w:ascii="Calibri" w:hAnsi="Calibri"/>
                <w:b w:val="0"/>
                <w:color w:val="CC0000"/>
                <w:sz w:val="20"/>
              </w:rPr>
              <w:t>-16.0%</w:t>
            </w:r>
          </w:p>
        </w:tc>
      </w:tr>
      <w:tr>
        <w:tc>
          <w:tcPr>
            <w:tcW w:type="dxa" w:w="2437"/>
          </w:tcPr>
          <w:p>
            <w:pPr>
              <w:spacing w:after="40" w:before="40"/>
            </w:pPr>
            <w:r>
              <w:rPr>
                <w:rFonts w:ascii="Calibri" w:hAnsi="Calibri"/>
                <w:b w:val="0"/>
                <w:sz w:val="20"/>
              </w:rPr>
              <w:t>Gold</w:t>
            </w:r>
          </w:p>
        </w:tc>
        <w:tc>
          <w:tcPr>
            <w:tcW w:type="dxa" w:w="2437"/>
          </w:tcPr>
          <w:p>
            <w:pPr>
              <w:spacing w:after="40" w:before="40"/>
            </w:pPr>
            <w:r>
              <w:rPr>
                <w:rFonts w:ascii="Calibri" w:hAnsi="Calibri"/>
                <w:b w:val="0"/>
                <w:sz w:val="20"/>
              </w:rPr>
              <w:t>3,320</w:t>
            </w:r>
          </w:p>
        </w:tc>
        <w:tc>
          <w:tcPr>
            <w:tcW w:type="dxa" w:w="2437"/>
          </w:tcPr>
          <w:p>
            <w:pPr>
              <w:spacing w:after="40" w:before="40"/>
            </w:pPr>
            <w:r>
              <w:rPr>
                <w:rFonts w:ascii="Calibri" w:hAnsi="Calibri"/>
                <w:b w:val="0"/>
                <w:color w:val="007A33"/>
                <w:sz w:val="20"/>
              </w:rPr>
              <w:t>+6.0%</w:t>
            </w:r>
          </w:p>
        </w:tc>
        <w:tc>
          <w:tcPr>
            <w:tcW w:type="dxa" w:w="2437"/>
          </w:tcPr>
          <w:p>
            <w:pPr>
              <w:spacing w:after="40" w:before="40"/>
            </w:pPr>
            <w:r>
              <w:rPr>
                <w:rFonts w:ascii="Calibri" w:hAnsi="Calibri"/>
                <w:b w:val="0"/>
                <w:color w:val="007A33"/>
                <w:sz w:val="20"/>
              </w:rPr>
              <w:t>+27.0%</w:t>
            </w:r>
          </w:p>
        </w:tc>
      </w:tr>
      <w:tr>
        <w:tc>
          <w:tcPr>
            <w:tcW w:type="dxa" w:w="2437"/>
            <w:shd w:val="clear" w:color="auto" w:fill="EEF3FA"/>
          </w:tcPr>
          <w:p>
            <w:pPr>
              <w:spacing w:after="40" w:before="40"/>
            </w:pPr>
            <w:r>
              <w:rPr>
                <w:rFonts w:ascii="Calibri" w:hAnsi="Calibri"/>
                <w:b w:val="0"/>
                <w:sz w:val="20"/>
              </w:rPr>
              <w:t>VIX</w:t>
            </w:r>
          </w:p>
        </w:tc>
        <w:tc>
          <w:tcPr>
            <w:tcW w:type="dxa" w:w="2437"/>
            <w:shd w:val="clear" w:color="auto" w:fill="EEF3FA"/>
          </w:tcPr>
          <w:p>
            <w:pPr>
              <w:spacing w:after="40" w:before="40"/>
            </w:pPr>
            <w:r>
              <w:rPr>
                <w:rFonts w:ascii="Calibri" w:hAnsi="Calibri"/>
                <w:b w:val="0"/>
                <w:sz w:val="20"/>
              </w:rPr>
              <w:t>28</w:t>
            </w:r>
          </w:p>
        </w:tc>
        <w:tc>
          <w:tcPr>
            <w:tcW w:type="dxa" w:w="2437"/>
            <w:shd w:val="clear" w:color="auto" w:fill="EEF3FA"/>
          </w:tcPr>
          <w:p>
            <w:pPr>
              <w:spacing w:after="40" w:before="40"/>
            </w:pPr>
            <w:r>
              <w:rPr>
                <w:rFonts w:ascii="Calibri" w:hAnsi="Calibri"/>
                <w:b w:val="0"/>
                <w:color w:val="007A33"/>
                <w:sz w:val="20"/>
              </w:rPr>
              <w:t>+8 pts</w:t>
            </w:r>
          </w:p>
        </w:tc>
        <w:tc>
          <w:tcPr>
            <w:tcW w:type="dxa" w:w="2437"/>
            <w:shd w:val="clear" w:color="auto" w:fill="EEF3FA"/>
          </w:tcPr>
          <w:p>
            <w:pPr>
              <w:spacing w:after="40" w:before="40"/>
            </w:pPr>
            <w:r>
              <w:rPr>
                <w:rFonts w:ascii="Calibri" w:hAnsi="Calibri"/>
                <w:b w:val="0"/>
                <w:color w:val="007A33"/>
                <w:sz w:val="20"/>
              </w:rPr>
              <w:t>+14 pts</w:t>
            </w:r>
          </w:p>
        </w:tc>
      </w:tr>
    </w:tbl>
    <w:p>
      <w:pPr>
        <w:spacing w:before="240" w:after="80"/>
        <w:pBdr>
          <w:bottom w:val="single" w:sz="6" w:space="1" w:color="00429B"/>
        </w:pBdr>
      </w:pPr>
      <w:r>
        <w:rPr>
          <w:rFonts w:ascii="Calibri" w:hAnsi="Calibri"/>
          <w:b/>
          <w:color w:val="00429B"/>
          <w:sz w:val="26"/>
        </w:rPr>
        <w:t>11. CUSTODIAN &amp; PEER INSTITUTION NEWS</w:t>
      </w:r>
    </w:p>
    <w:tbl>
      <w:tblPr>
        <w:tblStyle w:val="TableGrid"/>
        <w:tblW w:type="auto" w:w="0"/>
        <w:tblLook w:firstColumn="1" w:firstRow="1" w:lastColumn="0" w:lastRow="0" w:noHBand="0" w:noVBand="1" w:val="04A0"/>
      </w:tblPr>
      <w:tblGrid>
        <w:gridCol w:w="3250"/>
        <w:gridCol w:w="3250"/>
        <w:gridCol w:w="3250"/>
      </w:tblGrid>
      <w:tr>
        <w:tc>
          <w:tcPr>
            <w:tcW w:type="dxa" w:w="3250"/>
            <w:shd w:val="clear" w:color="auto" w:fill="00429B"/>
          </w:tcPr>
          <w:p>
            <w:pPr>
              <w:spacing w:after="40" w:before="40"/>
            </w:pPr>
            <w:r>
              <w:rPr>
                <w:rFonts w:ascii="Calibri" w:hAnsi="Calibri"/>
                <w:b/>
                <w:color w:val="FFFFFF"/>
                <w:sz w:val="20"/>
              </w:rPr>
              <w:t>Institution</w:t>
            </w:r>
          </w:p>
        </w:tc>
        <w:tc>
          <w:tcPr>
            <w:tcW w:type="dxa" w:w="3250"/>
            <w:shd w:val="clear" w:color="auto" w:fill="00429B"/>
          </w:tcPr>
          <w:p>
            <w:pPr>
              <w:spacing w:after="40" w:before="40"/>
            </w:pPr>
            <w:r>
              <w:rPr>
                <w:rFonts w:ascii="Calibri" w:hAnsi="Calibri"/>
                <w:b/>
                <w:color w:val="FFFFFF"/>
                <w:sz w:val="20"/>
              </w:rPr>
              <w:t>Key Development</w:t>
            </w:r>
          </w:p>
        </w:tc>
        <w:tc>
          <w:tcPr>
            <w:tcW w:type="dxa" w:w="3250"/>
            <w:shd w:val="clear" w:color="auto" w:fill="00429B"/>
          </w:tcPr>
          <w:p>
            <w:pPr>
              <w:spacing w:after="40" w:before="40"/>
            </w:pPr>
            <w:r>
              <w:rPr>
                <w:rFonts w:ascii="Calibri" w:hAnsi="Calibri"/>
                <w:b/>
                <w:color w:val="FFFFFF"/>
                <w:sz w:val="20"/>
              </w:rPr>
              <w:t>Significance</w:t>
            </w:r>
          </w:p>
        </w:tc>
      </w:tr>
      <w:tr>
        <w:tc>
          <w:tcPr>
            <w:tcW w:type="dxa" w:w="3250"/>
          </w:tcPr>
          <w:p>
            <w:pPr>
              <w:spacing w:after="40" w:before="40"/>
            </w:pPr>
            <w:r>
              <w:rPr>
                <w:rFonts w:ascii="Calibri" w:hAnsi="Calibri"/>
                <w:b w:val="0"/>
                <w:sz w:val="20"/>
              </w:rPr>
              <w:t>BNY (Bank of New York Mellon)</w:t>
            </w:r>
          </w:p>
        </w:tc>
        <w:tc>
          <w:tcPr>
            <w:tcW w:type="dxa" w:w="3250"/>
          </w:tcPr>
          <w:p>
            <w:pPr>
              <w:spacing w:after="40" w:before="40"/>
            </w:pPr>
            <w:r>
              <w:rPr>
                <w:rFonts w:ascii="Calibri" w:hAnsi="Calibri"/>
                <w:b w:val="0"/>
                <w:sz w:val="20"/>
              </w:rPr>
              <w:t>Announced expansion of Digital Asset Custody platform to support tokenised money market funds and tokenised US Treasury securities within its core custody infrastructure.</w:t>
            </w:r>
          </w:p>
        </w:tc>
        <w:tc>
          <w:tcPr>
            <w:tcW w:type="dxa" w:w="3250"/>
          </w:tcPr>
          <w:p>
            <w:pPr>
              <w:spacing w:after="40" w:before="40"/>
            </w:pPr>
            <w:r>
              <w:rPr>
                <w:rFonts w:ascii="Calibri" w:hAnsi="Calibri"/>
                <w:b w:val="0"/>
                <w:sz w:val="20"/>
              </w:rPr>
              <w:t>Positions BNY as the first major traditional custodian to offer end-to-end servicing for tokenised traditional assets at scale, raising the competitive bar for all peers.</w:t>
            </w:r>
          </w:p>
        </w:tc>
      </w:tr>
      <w:tr>
        <w:tc>
          <w:tcPr>
            <w:tcW w:type="dxa" w:w="3250"/>
            <w:shd w:val="clear" w:color="auto" w:fill="EEF3FA"/>
          </w:tcPr>
          <w:p>
            <w:pPr>
              <w:spacing w:after="40" w:before="40"/>
            </w:pPr>
            <w:r>
              <w:rPr>
                <w:rFonts w:ascii="Calibri" w:hAnsi="Calibri"/>
                <w:b w:val="0"/>
                <w:sz w:val="20"/>
              </w:rPr>
              <w:t>State Street Corporation</w:t>
            </w:r>
          </w:p>
        </w:tc>
        <w:tc>
          <w:tcPr>
            <w:tcW w:type="dxa" w:w="3250"/>
            <w:shd w:val="clear" w:color="auto" w:fill="EEF3FA"/>
          </w:tcPr>
          <w:p>
            <w:pPr>
              <w:spacing w:after="40" w:before="40"/>
            </w:pPr>
            <w:r>
              <w:rPr>
                <w:rFonts w:ascii="Calibri" w:hAnsi="Calibri"/>
                <w:b w:val="0"/>
                <w:sz w:val="20"/>
              </w:rPr>
              <w:t>Confirmed closing of acquisition of a European fund administration business, adding approximately EUR 120 billion in fund AuA in Luxembourg and Dublin.</w:t>
            </w:r>
          </w:p>
        </w:tc>
        <w:tc>
          <w:tcPr>
            <w:tcW w:type="dxa" w:w="3250"/>
            <w:shd w:val="clear" w:color="auto" w:fill="EEF3FA"/>
          </w:tcPr>
          <w:p>
            <w:pPr>
              <w:spacing w:after="40" w:before="40"/>
            </w:pPr>
            <w:r>
              <w:rPr>
                <w:rFonts w:ascii="Calibri" w:hAnsi="Calibri"/>
                <w:b w:val="0"/>
                <w:sz w:val="20"/>
              </w:rPr>
              <w:t>Materially strengthens State Street's European alternative fund administration footprint and increases competitive pressure on mid-tier servicers including RBC IS in Europe.</w:t>
            </w:r>
          </w:p>
        </w:tc>
      </w:tr>
      <w:tr>
        <w:tc>
          <w:tcPr>
            <w:tcW w:type="dxa" w:w="3250"/>
          </w:tcPr>
          <w:p>
            <w:pPr>
              <w:spacing w:after="40" w:before="40"/>
            </w:pPr>
            <w:r>
              <w:rPr>
                <w:rFonts w:ascii="Calibri" w:hAnsi="Calibri"/>
                <w:b w:val="0"/>
                <w:sz w:val="20"/>
              </w:rPr>
              <w:t>JPMorgan Chase &amp; Co.</w:t>
            </w:r>
          </w:p>
        </w:tc>
        <w:tc>
          <w:tcPr>
            <w:tcW w:type="dxa" w:w="3250"/>
          </w:tcPr>
          <w:p>
            <w:pPr>
              <w:spacing w:after="40" w:before="40"/>
            </w:pPr>
            <w:r>
              <w:rPr>
                <w:rFonts w:ascii="Calibri" w:hAnsi="Calibri"/>
                <w:b w:val="0"/>
                <w:sz w:val="20"/>
              </w:rPr>
              <w:t>Expanded Onyx Digital Assets platform with new institutional repo and collateral management functionality using blockchain-based tokenised collateral.</w:t>
            </w:r>
          </w:p>
        </w:tc>
        <w:tc>
          <w:tcPr>
            <w:tcW w:type="dxa" w:w="3250"/>
          </w:tcPr>
          <w:p>
            <w:pPr>
              <w:spacing w:after="40" w:before="40"/>
            </w:pPr>
            <w:r>
              <w:rPr>
                <w:rFonts w:ascii="Calibri" w:hAnsi="Calibri"/>
                <w:b w:val="0"/>
                <w:sz w:val="20"/>
              </w:rPr>
              <w:t>Enhances JPMorgan's ability to offer real-time collateral mobility to buy-side clients, with implications for securities lending and derivatives servicing.</w:t>
            </w:r>
          </w:p>
        </w:tc>
      </w:tr>
      <w:tr>
        <w:tc>
          <w:tcPr>
            <w:tcW w:type="dxa" w:w="3250"/>
            <w:shd w:val="clear" w:color="auto" w:fill="EEF3FA"/>
          </w:tcPr>
          <w:p>
            <w:pPr>
              <w:spacing w:after="40" w:before="40"/>
            </w:pPr>
            <w:r>
              <w:rPr>
                <w:rFonts w:ascii="Calibri" w:hAnsi="Calibri"/>
                <w:b w:val="0"/>
                <w:sz w:val="20"/>
              </w:rPr>
              <w:t>Citigroup Inc. (Citi)</w:t>
            </w:r>
          </w:p>
        </w:tc>
        <w:tc>
          <w:tcPr>
            <w:tcW w:type="dxa" w:w="3250"/>
            <w:shd w:val="clear" w:color="auto" w:fill="EEF3FA"/>
          </w:tcPr>
          <w:p>
            <w:pPr>
              <w:spacing w:after="40" w:before="40"/>
            </w:pPr>
            <w:r>
              <w:rPr>
                <w:rFonts w:ascii="Calibri" w:hAnsi="Calibri"/>
                <w:b w:val="0"/>
                <w:sz w:val="20"/>
              </w:rPr>
              <w:t>Announced restructuring of its Securities Services division to create a unified global custody and fund services business line, consolidating operations across regions.</w:t>
            </w:r>
          </w:p>
        </w:tc>
        <w:tc>
          <w:tcPr>
            <w:tcW w:type="dxa" w:w="3250"/>
            <w:shd w:val="clear" w:color="auto" w:fill="EEF3FA"/>
          </w:tcPr>
          <w:p>
            <w:pPr>
              <w:spacing w:after="40" w:before="40"/>
            </w:pPr>
            <w:r>
              <w:rPr>
                <w:rFonts w:ascii="Calibri" w:hAnsi="Calibri"/>
                <w:b w:val="0"/>
                <w:sz w:val="20"/>
              </w:rPr>
              <w:t>Signals Citi's intent to compete more aggressively for large global custody mandates by presenting a simplified client-facing structure.</w:t>
            </w:r>
          </w:p>
        </w:tc>
      </w:tr>
      <w:tr>
        <w:tc>
          <w:tcPr>
            <w:tcW w:type="dxa" w:w="3250"/>
          </w:tcPr>
          <w:p>
            <w:pPr>
              <w:spacing w:after="40" w:before="40"/>
            </w:pPr>
            <w:r>
              <w:rPr>
                <w:rFonts w:ascii="Calibri" w:hAnsi="Calibri"/>
                <w:b w:val="0"/>
                <w:sz w:val="20"/>
              </w:rPr>
              <w:t>HSBC Holdings plc</w:t>
            </w:r>
          </w:p>
        </w:tc>
        <w:tc>
          <w:tcPr>
            <w:tcW w:type="dxa" w:w="3250"/>
          </w:tcPr>
          <w:p>
            <w:pPr>
              <w:spacing w:after="40" w:before="40"/>
            </w:pPr>
            <w:r>
              <w:rPr>
                <w:rFonts w:ascii="Calibri" w:hAnsi="Calibri"/>
                <w:b w:val="0"/>
                <w:sz w:val="20"/>
              </w:rPr>
              <w:t>Expanded agency securities lending platform in Asia-Pacific with new sovereign wealth fund and pension plan mandates, leveraging its sub-custody network.</w:t>
            </w:r>
          </w:p>
        </w:tc>
        <w:tc>
          <w:tcPr>
            <w:tcW w:type="dxa" w:w="3250"/>
          </w:tcPr>
          <w:p>
            <w:pPr>
              <w:spacing w:after="40" w:before="40"/>
            </w:pPr>
            <w:r>
              <w:rPr>
                <w:rFonts w:ascii="Calibri" w:hAnsi="Calibri"/>
                <w:b w:val="0"/>
                <w:sz w:val="20"/>
              </w:rPr>
              <w:t>Reinforces HSBC's dominant position in Asian securities services and creates incremental competitive pressure in the APAC lending market.</w:t>
            </w:r>
          </w:p>
        </w:tc>
      </w:tr>
      <w:tr>
        <w:tc>
          <w:tcPr>
            <w:tcW w:type="dxa" w:w="3250"/>
            <w:shd w:val="clear" w:color="auto" w:fill="EEF3FA"/>
          </w:tcPr>
          <w:p>
            <w:pPr>
              <w:spacing w:after="40" w:before="40"/>
            </w:pPr>
            <w:r>
              <w:rPr>
                <w:rFonts w:ascii="Calibri" w:hAnsi="Calibri"/>
                <w:b w:val="0"/>
                <w:sz w:val="20"/>
              </w:rPr>
              <w:t>BNP Paribas</w:t>
            </w:r>
          </w:p>
        </w:tc>
        <w:tc>
          <w:tcPr>
            <w:tcW w:type="dxa" w:w="3250"/>
            <w:shd w:val="clear" w:color="auto" w:fill="EEF3FA"/>
          </w:tcPr>
          <w:p>
            <w:pPr>
              <w:spacing w:after="40" w:before="40"/>
            </w:pPr>
            <w:r>
              <w:rPr>
                <w:rFonts w:ascii="Calibri" w:hAnsi="Calibri"/>
                <w:b w:val="0"/>
                <w:sz w:val="20"/>
              </w:rPr>
              <w:t>Launched an enhanced ESG data analytics and reporting service for institutional investors within its Securities Services division.</w:t>
            </w:r>
          </w:p>
        </w:tc>
        <w:tc>
          <w:tcPr>
            <w:tcW w:type="dxa" w:w="3250"/>
            <w:shd w:val="clear" w:color="auto" w:fill="EEF3FA"/>
          </w:tcPr>
          <w:p>
            <w:pPr>
              <w:spacing w:after="40" w:before="40"/>
            </w:pPr>
            <w:r>
              <w:rPr>
                <w:rFonts w:ascii="Calibri" w:hAnsi="Calibri"/>
                <w:b w:val="0"/>
                <w:sz w:val="20"/>
              </w:rPr>
              <w:t>Responds to growing European regulatory demand for granular ESG reporting at the portfolio level, relevant for SFDR and Taxonomy Regulation compliance.</w:t>
            </w:r>
          </w:p>
        </w:tc>
      </w:tr>
      <w:tr>
        <w:tc>
          <w:tcPr>
            <w:tcW w:type="dxa" w:w="3250"/>
          </w:tcPr>
          <w:p>
            <w:pPr>
              <w:spacing w:after="40" w:before="40"/>
            </w:pPr>
            <w:r>
              <w:rPr>
                <w:rFonts w:ascii="Calibri" w:hAnsi="Calibri"/>
                <w:b w:val="0"/>
                <w:sz w:val="20"/>
              </w:rPr>
              <w:t>Northern Trust Corporation</w:t>
            </w:r>
          </w:p>
        </w:tc>
        <w:tc>
          <w:tcPr>
            <w:tcW w:type="dxa" w:w="3250"/>
          </w:tcPr>
          <w:p>
            <w:pPr>
              <w:spacing w:after="40" w:before="40"/>
            </w:pPr>
            <w:r>
              <w:rPr>
                <w:rFonts w:ascii="Calibri" w:hAnsi="Calibri"/>
                <w:b w:val="0"/>
                <w:sz w:val="20"/>
              </w:rPr>
              <w:t>Partnered with a European digital asset infrastructure provider for integrated digital asset custody and fund administration for alternative managers.</w:t>
            </w:r>
          </w:p>
        </w:tc>
        <w:tc>
          <w:tcPr>
            <w:tcW w:type="dxa" w:w="3250"/>
          </w:tcPr>
          <w:p>
            <w:pPr>
              <w:spacing w:after="40" w:before="40"/>
            </w:pPr>
            <w:r>
              <w:rPr>
                <w:rFonts w:ascii="Calibri" w:hAnsi="Calibri"/>
                <w:b w:val="0"/>
                <w:sz w:val="20"/>
              </w:rPr>
              <w:t>Positions Northern Trust to capture growing demand from alternative managers exploring tokenisation of private credit and real estate.</w:t>
            </w:r>
          </w:p>
        </w:tc>
      </w:tr>
      <w:tr>
        <w:tc>
          <w:tcPr>
            <w:tcW w:type="dxa" w:w="3250"/>
            <w:shd w:val="clear" w:color="auto" w:fill="EEF3FA"/>
          </w:tcPr>
          <w:p>
            <w:pPr>
              <w:spacing w:after="40" w:before="40"/>
            </w:pPr>
            <w:r>
              <w:rPr>
                <w:rFonts w:ascii="Calibri" w:hAnsi="Calibri"/>
                <w:b w:val="0"/>
                <w:sz w:val="20"/>
              </w:rPr>
              <w:t>Deutsche Bank AG</w:t>
            </w:r>
          </w:p>
        </w:tc>
        <w:tc>
          <w:tcPr>
            <w:tcW w:type="dxa" w:w="3250"/>
            <w:shd w:val="clear" w:color="auto" w:fill="EEF3FA"/>
          </w:tcPr>
          <w:p>
            <w:pPr>
              <w:spacing w:after="40" w:before="40"/>
            </w:pPr>
            <w:r>
              <w:rPr>
                <w:rFonts w:ascii="Calibri" w:hAnsi="Calibri"/>
                <w:b w:val="0"/>
                <w:sz w:val="20"/>
              </w:rPr>
              <w:t>Announced completion of migration of its fund administration platform to a cloud-native architecture in partnership with Google Cloud.</w:t>
            </w:r>
          </w:p>
        </w:tc>
        <w:tc>
          <w:tcPr>
            <w:tcW w:type="dxa" w:w="3250"/>
            <w:shd w:val="clear" w:color="auto" w:fill="EEF3FA"/>
          </w:tcPr>
          <w:p>
            <w:pPr>
              <w:spacing w:after="40" w:before="40"/>
            </w:pPr>
            <w:r>
              <w:rPr>
                <w:rFonts w:ascii="Calibri" w:hAnsi="Calibri"/>
                <w:b w:val="0"/>
                <w:sz w:val="20"/>
              </w:rPr>
              <w:t>Improves scalability and operational resilience of Deutsche Bank's securities services technology stack, relevant for large fund complex mandates.</w:t>
            </w:r>
          </w:p>
        </w:tc>
      </w:tr>
      <w:tr>
        <w:tc>
          <w:tcPr>
            <w:tcW w:type="dxa" w:w="3250"/>
          </w:tcPr>
          <w:p>
            <w:pPr>
              <w:spacing w:after="40" w:before="40"/>
            </w:pPr>
            <w:r>
              <w:rPr>
                <w:rFonts w:ascii="Calibri" w:hAnsi="Calibri"/>
                <w:b w:val="0"/>
                <w:sz w:val="20"/>
              </w:rPr>
              <w:t>UBS Group AG</w:t>
            </w:r>
          </w:p>
        </w:tc>
        <w:tc>
          <w:tcPr>
            <w:tcW w:type="dxa" w:w="3250"/>
          </w:tcPr>
          <w:p>
            <w:pPr>
              <w:spacing w:after="40" w:before="40"/>
            </w:pPr>
            <w:r>
              <w:rPr>
                <w:rFonts w:ascii="Calibri" w:hAnsi="Calibri"/>
                <w:b w:val="0"/>
                <w:sz w:val="20"/>
              </w:rPr>
              <w:t>Expanded its tokenised structured product issuance program, with cumulative issuance exceeding CHF 500 million across multiple blockchain rails.</w:t>
            </w:r>
          </w:p>
        </w:tc>
        <w:tc>
          <w:tcPr>
            <w:tcW w:type="dxa" w:w="3250"/>
          </w:tcPr>
          <w:p>
            <w:pPr>
              <w:spacing w:after="40" w:before="40"/>
            </w:pPr>
            <w:r>
              <w:rPr>
                <w:rFonts w:ascii="Calibri" w:hAnsi="Calibri"/>
                <w:b w:val="0"/>
                <w:sz w:val="20"/>
              </w:rPr>
              <w:t>Demonstrates UBS's continued commitment to digital securities issuance and positions its custody arm to service growing tokenised product inventories.</w:t>
            </w:r>
          </w:p>
        </w:tc>
      </w:tr>
      <w:tr>
        <w:tc>
          <w:tcPr>
            <w:tcW w:type="dxa" w:w="3250"/>
            <w:shd w:val="clear" w:color="auto" w:fill="EEF3FA"/>
          </w:tcPr>
          <w:p>
            <w:pPr>
              <w:spacing w:after="40" w:before="40"/>
            </w:pPr>
            <w:r>
              <w:rPr>
                <w:rFonts w:ascii="Calibri" w:hAnsi="Calibri"/>
                <w:b w:val="0"/>
                <w:sz w:val="20"/>
              </w:rPr>
              <w:t>RBC Investor Services</w:t>
            </w:r>
          </w:p>
        </w:tc>
        <w:tc>
          <w:tcPr>
            <w:tcW w:type="dxa" w:w="3250"/>
            <w:shd w:val="clear" w:color="auto" w:fill="EEF3FA"/>
          </w:tcPr>
          <w:p>
            <w:pPr>
              <w:spacing w:after="40" w:before="40"/>
            </w:pPr>
            <w:r>
              <w:rPr>
                <w:rFonts w:ascii="Calibri" w:hAnsi="Calibri"/>
                <w:b w:val="0"/>
                <w:sz w:val="20"/>
              </w:rPr>
              <w:t>Announced enhancements to its data analytics and client reporting platform, including new dashboards for real-time portfolio monitoring and regulatory compliance tracking.</w:t>
            </w:r>
          </w:p>
        </w:tc>
        <w:tc>
          <w:tcPr>
            <w:tcW w:type="dxa" w:w="3250"/>
            <w:shd w:val="clear" w:color="auto" w:fill="EEF3FA"/>
          </w:tcPr>
          <w:p>
            <w:pPr>
              <w:spacing w:after="40" w:before="40"/>
            </w:pPr>
            <w:r>
              <w:rPr>
                <w:rFonts w:ascii="Calibri" w:hAnsi="Calibri"/>
                <w:b w:val="0"/>
                <w:sz w:val="20"/>
              </w:rPr>
              <w:t>Strengthens RBC IS competitive positioning in data-driven servicing and responds to Canadian institutional client demand for enhanced transparency and reporting.</w:t>
            </w:r>
          </w:p>
        </w:tc>
      </w:tr>
      <w:tr>
        <w:tc>
          <w:tcPr>
            <w:tcW w:type="dxa" w:w="3250"/>
          </w:tcPr>
          <w:p>
            <w:pPr>
              <w:spacing w:after="40" w:before="40"/>
            </w:pPr>
            <w:r>
              <w:rPr>
                <w:rFonts w:ascii="Calibri" w:hAnsi="Calibri"/>
                <w:b w:val="0"/>
                <w:sz w:val="20"/>
              </w:rPr>
              <w:t>Societe Generale Securities Services</w:t>
            </w:r>
          </w:p>
        </w:tc>
        <w:tc>
          <w:tcPr>
            <w:tcW w:type="dxa" w:w="3250"/>
          </w:tcPr>
          <w:p>
            <w:pPr>
              <w:spacing w:after="40" w:before="40"/>
            </w:pPr>
            <w:r>
              <w:rPr>
                <w:rFonts w:ascii="Calibri" w:hAnsi="Calibri"/>
                <w:b w:val="0"/>
                <w:sz w:val="20"/>
              </w:rPr>
              <w:t>Integrated its FORGE digital asset platform more tightly with its mainstream custody and fund administration services, enabling unified reporting.</w:t>
            </w:r>
          </w:p>
        </w:tc>
        <w:tc>
          <w:tcPr>
            <w:tcW w:type="dxa" w:w="3250"/>
          </w:tcPr>
          <w:p>
            <w:pPr>
              <w:spacing w:after="40" w:before="40"/>
            </w:pPr>
            <w:r>
              <w:rPr>
                <w:rFonts w:ascii="Calibri" w:hAnsi="Calibri"/>
                <w:b w:val="0"/>
                <w:sz w:val="20"/>
              </w:rPr>
              <w:t>Advances SocGen's strategy to offer institutional clients a single point of access for traditional and digital asset servicing.</w:t>
            </w:r>
          </w:p>
        </w:tc>
      </w:tr>
      <w:tr>
        <w:tc>
          <w:tcPr>
            <w:tcW w:type="dxa" w:w="3250"/>
            <w:shd w:val="clear" w:color="auto" w:fill="EEF3FA"/>
          </w:tcPr>
          <w:p>
            <w:pPr>
              <w:spacing w:after="40" w:before="40"/>
            </w:pPr>
            <w:r>
              <w:rPr>
                <w:rFonts w:ascii="Calibri" w:hAnsi="Calibri"/>
                <w:b w:val="0"/>
                <w:sz w:val="20"/>
              </w:rPr>
              <w:t>Standard Chartered plc</w:t>
            </w:r>
          </w:p>
        </w:tc>
        <w:tc>
          <w:tcPr>
            <w:tcW w:type="dxa" w:w="3250"/>
            <w:shd w:val="clear" w:color="auto" w:fill="EEF3FA"/>
          </w:tcPr>
          <w:p>
            <w:pPr>
              <w:spacing w:after="40" w:before="40"/>
            </w:pPr>
            <w:r>
              <w:rPr>
                <w:rFonts w:ascii="Calibri" w:hAnsi="Calibri"/>
                <w:b w:val="0"/>
                <w:sz w:val="20"/>
              </w:rPr>
              <w:t>Expanded Zodia Custody (its digital asset custody joint venture) to additional Asian markets, including Japan and South Korea.</w:t>
            </w:r>
          </w:p>
        </w:tc>
        <w:tc>
          <w:tcPr>
            <w:tcW w:type="dxa" w:w="3250"/>
            <w:shd w:val="clear" w:color="auto" w:fill="EEF3FA"/>
          </w:tcPr>
          <w:p>
            <w:pPr>
              <w:spacing w:after="40" w:before="40"/>
            </w:pPr>
            <w:r>
              <w:rPr>
                <w:rFonts w:ascii="Calibri" w:hAnsi="Calibri"/>
                <w:b w:val="0"/>
                <w:sz w:val="20"/>
              </w:rPr>
              <w:t>Leverages Standard Chartered's regional network to capture institutional digital asset custody demand in high-growth Asian markets.</w:t>
            </w:r>
          </w:p>
        </w:tc>
      </w:tr>
      <w:tr>
        <w:tc>
          <w:tcPr>
            <w:tcW w:type="dxa" w:w="3250"/>
          </w:tcPr>
          <w:p>
            <w:pPr>
              <w:spacing w:after="40" w:before="40"/>
            </w:pPr>
            <w:r>
              <w:rPr>
                <w:rFonts w:ascii="Calibri" w:hAnsi="Calibri"/>
                <w:b w:val="0"/>
                <w:sz w:val="20"/>
              </w:rPr>
              <w:t>Brown Brothers Harriman &amp; Co.</w:t>
            </w:r>
          </w:p>
        </w:tc>
        <w:tc>
          <w:tcPr>
            <w:tcW w:type="dxa" w:w="3250"/>
          </w:tcPr>
          <w:p>
            <w:pPr>
              <w:spacing w:after="40" w:before="40"/>
            </w:pPr>
            <w:r>
              <w:rPr>
                <w:rFonts w:ascii="Calibri" w:hAnsi="Calibri"/>
                <w:b w:val="0"/>
                <w:sz w:val="20"/>
              </w:rPr>
              <w:t>Launched a new FX execution analytics tool for institutional custody clients, providing enhanced TCA and best execution reporting.</w:t>
            </w:r>
          </w:p>
        </w:tc>
        <w:tc>
          <w:tcPr>
            <w:tcW w:type="dxa" w:w="3250"/>
          </w:tcPr>
          <w:p>
            <w:pPr>
              <w:spacing w:after="40" w:before="40"/>
            </w:pPr>
            <w:r>
              <w:rPr>
                <w:rFonts w:ascii="Calibri" w:hAnsi="Calibri"/>
                <w:b w:val="0"/>
                <w:sz w:val="20"/>
              </w:rPr>
              <w:t>Responds to growing regulatory and client demand for transparency in FX execution linked to custody and fund flows.</w:t>
            </w:r>
          </w:p>
        </w:tc>
      </w:tr>
      <w:tr>
        <w:tc>
          <w:tcPr>
            <w:tcW w:type="dxa" w:w="3250"/>
            <w:shd w:val="clear" w:color="auto" w:fill="EEF3FA"/>
          </w:tcPr>
          <w:p>
            <w:pPr>
              <w:spacing w:after="40" w:before="40"/>
            </w:pPr>
            <w:r>
              <w:rPr>
                <w:rFonts w:ascii="Calibri" w:hAnsi="Calibri"/>
                <w:b w:val="0"/>
                <w:sz w:val="20"/>
              </w:rPr>
              <w:t>Clearstream</w:t>
            </w:r>
          </w:p>
        </w:tc>
        <w:tc>
          <w:tcPr>
            <w:tcW w:type="dxa" w:w="3250"/>
            <w:shd w:val="clear" w:color="auto" w:fill="EEF3FA"/>
          </w:tcPr>
          <w:p>
            <w:pPr>
              <w:spacing w:after="40" w:before="40"/>
            </w:pPr>
            <w:r>
              <w:rPr>
                <w:rFonts w:ascii="Calibri" w:hAnsi="Calibri"/>
                <w:b w:val="0"/>
                <w:sz w:val="20"/>
              </w:rPr>
              <w:t>Advanced its D7 digital post-trade platform with new support for tokenised bonds and integration with SimCorp Dimension for investment book of record connectivity.</w:t>
            </w:r>
          </w:p>
        </w:tc>
        <w:tc>
          <w:tcPr>
            <w:tcW w:type="dxa" w:w="3250"/>
            <w:shd w:val="clear" w:color="auto" w:fill="EEF3FA"/>
          </w:tcPr>
          <w:p>
            <w:pPr>
              <w:spacing w:after="40" w:before="40"/>
            </w:pPr>
            <w:r>
              <w:rPr>
                <w:rFonts w:ascii="Calibri" w:hAnsi="Calibri"/>
                <w:b w:val="0"/>
                <w:sz w:val="20"/>
              </w:rPr>
              <w:t>Strengthens Clearstream's position as a leading CSD for digital securities and deepens integration with front-office technology providers.</w:t>
            </w:r>
          </w:p>
        </w:tc>
      </w:tr>
      <w:tr>
        <w:tc>
          <w:tcPr>
            <w:tcW w:type="dxa" w:w="3250"/>
          </w:tcPr>
          <w:p>
            <w:pPr>
              <w:spacing w:after="40" w:before="40"/>
            </w:pPr>
            <w:r>
              <w:rPr>
                <w:rFonts w:ascii="Calibri" w:hAnsi="Calibri"/>
                <w:b w:val="0"/>
                <w:sz w:val="20"/>
              </w:rPr>
              <w:t>Euroclear</w:t>
            </w:r>
          </w:p>
        </w:tc>
        <w:tc>
          <w:tcPr>
            <w:tcW w:type="dxa" w:w="3250"/>
          </w:tcPr>
          <w:p>
            <w:pPr>
              <w:spacing w:after="40" w:before="40"/>
            </w:pPr>
            <w:r>
              <w:rPr>
                <w:rFonts w:ascii="Calibri" w:hAnsi="Calibri"/>
                <w:b w:val="0"/>
                <w:sz w:val="20"/>
              </w:rPr>
              <w:t>Published results of its DLT-based settlement pilot for European government bonds, demonstrating interoperability with multiple blockchain protocols.</w:t>
            </w:r>
          </w:p>
        </w:tc>
        <w:tc>
          <w:tcPr>
            <w:tcW w:type="dxa" w:w="3250"/>
          </w:tcPr>
          <w:p>
            <w:pPr>
              <w:spacing w:after="40" w:before="40"/>
            </w:pPr>
            <w:r>
              <w:rPr>
                <w:rFonts w:ascii="Calibri" w:hAnsi="Calibri"/>
                <w:b w:val="0"/>
                <w:sz w:val="20"/>
              </w:rPr>
              <w:t>Provides a technology validation milestone for potential future migration of core settlement infrastructure to DLT-based systems.</w:t>
            </w:r>
          </w:p>
        </w:tc>
      </w:tr>
      <w:tr>
        <w:tc>
          <w:tcPr>
            <w:tcW w:type="dxa" w:w="3250"/>
            <w:shd w:val="clear" w:color="auto" w:fill="EEF3FA"/>
          </w:tcPr>
          <w:p>
            <w:pPr>
              <w:spacing w:after="40" w:before="40"/>
            </w:pPr>
            <w:r>
              <w:rPr>
                <w:rFonts w:ascii="Calibri" w:hAnsi="Calibri"/>
                <w:b w:val="0"/>
                <w:sz w:val="20"/>
              </w:rPr>
              <w:t>CIBC Mellon</w:t>
            </w:r>
          </w:p>
        </w:tc>
        <w:tc>
          <w:tcPr>
            <w:tcW w:type="dxa" w:w="3250"/>
            <w:shd w:val="clear" w:color="auto" w:fill="EEF3FA"/>
          </w:tcPr>
          <w:p>
            <w:pPr>
              <w:spacing w:after="40" w:before="40"/>
            </w:pPr>
            <w:r>
              <w:rPr>
                <w:rFonts w:ascii="Calibri" w:hAnsi="Calibri"/>
                <w:b w:val="0"/>
                <w:sz w:val="20"/>
              </w:rPr>
              <w:t>No material news this month.</w:t>
            </w:r>
          </w:p>
        </w:tc>
        <w:tc>
          <w:tcPr>
            <w:tcW w:type="dxa" w:w="3250"/>
            <w:shd w:val="clear" w:color="auto" w:fill="EEF3FA"/>
          </w:tcPr>
          <w:p>
            <w:pPr>
              <w:spacing w:after="40" w:before="40"/>
            </w:pPr>
            <w:r>
              <w:rPr>
                <w:rFonts w:ascii="Calibri" w:hAnsi="Calibri"/>
                <w:b w:val="0"/>
                <w:sz w:val="20"/>
              </w:rPr>
              <w:t>—</w:t>
            </w:r>
          </w:p>
        </w:tc>
      </w:tr>
      <w:tr>
        <w:tc>
          <w:tcPr>
            <w:tcW w:type="dxa" w:w="3250"/>
          </w:tcPr>
          <w:p>
            <w:pPr>
              <w:spacing w:after="40" w:before="40"/>
            </w:pPr>
            <w:r>
              <w:rPr>
                <w:rFonts w:ascii="Calibri" w:hAnsi="Calibri"/>
                <w:b w:val="0"/>
                <w:sz w:val="20"/>
              </w:rPr>
              <w:t>Coinbase Custody (Coinbase Prime)</w:t>
            </w:r>
          </w:p>
        </w:tc>
        <w:tc>
          <w:tcPr>
            <w:tcW w:type="dxa" w:w="3250"/>
          </w:tcPr>
          <w:p>
            <w:pPr>
              <w:spacing w:after="40" w:before="40"/>
            </w:pPr>
            <w:r>
              <w:rPr>
                <w:rFonts w:ascii="Calibri" w:hAnsi="Calibri"/>
                <w:b w:val="0"/>
                <w:sz w:val="20"/>
              </w:rPr>
              <w:t>Reported significant increase in institutional custody inflows during April, driven by risk-off rotation into Bitcoin and digital assets by certain hedge fund and family office clients.</w:t>
            </w:r>
          </w:p>
        </w:tc>
        <w:tc>
          <w:tcPr>
            <w:tcW w:type="dxa" w:w="3250"/>
          </w:tcPr>
          <w:p>
            <w:pPr>
              <w:spacing w:after="40" w:before="40"/>
            </w:pPr>
            <w:r>
              <w:rPr>
                <w:rFonts w:ascii="Calibri" w:hAnsi="Calibri"/>
                <w:b w:val="0"/>
                <w:sz w:val="20"/>
              </w:rPr>
              <w:t>Underscores Coinbase's position as a leading institutional digital asset custodian and reflects evolving allocation patterns during market stress.</w:t>
            </w:r>
          </w:p>
        </w:tc>
      </w:tr>
      <w:tr>
        <w:tc>
          <w:tcPr>
            <w:tcW w:type="dxa" w:w="3250"/>
            <w:shd w:val="clear" w:color="auto" w:fill="EEF3FA"/>
          </w:tcPr>
          <w:p>
            <w:pPr>
              <w:spacing w:after="40" w:before="40"/>
            </w:pPr>
            <w:r>
              <w:rPr>
                <w:rFonts w:ascii="Calibri" w:hAnsi="Calibri"/>
                <w:b w:val="0"/>
                <w:sz w:val="20"/>
              </w:rPr>
              <w:t>BitGo</w:t>
            </w:r>
          </w:p>
        </w:tc>
        <w:tc>
          <w:tcPr>
            <w:tcW w:type="dxa" w:w="3250"/>
            <w:shd w:val="clear" w:color="auto" w:fill="EEF3FA"/>
          </w:tcPr>
          <w:p>
            <w:pPr>
              <w:spacing w:after="40" w:before="40"/>
            </w:pPr>
            <w:r>
              <w:rPr>
                <w:rFonts w:ascii="Calibri" w:hAnsi="Calibri"/>
                <w:b w:val="0"/>
                <w:sz w:val="20"/>
              </w:rPr>
              <w:t>Announced SOC 2 Type II certification renewal and expanded insurance coverage for custodied assets to USD 750 million.</w:t>
            </w:r>
          </w:p>
        </w:tc>
        <w:tc>
          <w:tcPr>
            <w:tcW w:type="dxa" w:w="3250"/>
            <w:shd w:val="clear" w:color="auto" w:fill="EEF3FA"/>
          </w:tcPr>
          <w:p>
            <w:pPr>
              <w:spacing w:after="40" w:before="40"/>
            </w:pPr>
            <w:r>
              <w:rPr>
                <w:rFonts w:ascii="Calibri" w:hAnsi="Calibri"/>
                <w:b w:val="0"/>
                <w:sz w:val="20"/>
              </w:rPr>
              <w:t>Strengthens BitGo's institutional credibility and addresses a key client concern around insurance adequacy for digital asset custody.</w:t>
            </w:r>
          </w:p>
        </w:tc>
      </w:tr>
      <w:tr>
        <w:tc>
          <w:tcPr>
            <w:tcW w:type="dxa" w:w="3250"/>
          </w:tcPr>
          <w:p>
            <w:pPr>
              <w:spacing w:after="40" w:before="40"/>
            </w:pPr>
            <w:r>
              <w:rPr>
                <w:rFonts w:ascii="Calibri" w:hAnsi="Calibri"/>
                <w:b w:val="0"/>
                <w:sz w:val="20"/>
              </w:rPr>
              <w:t>Fidelity Digital Assets</w:t>
            </w:r>
          </w:p>
        </w:tc>
        <w:tc>
          <w:tcPr>
            <w:tcW w:type="dxa" w:w="3250"/>
          </w:tcPr>
          <w:p>
            <w:pPr>
              <w:spacing w:after="40" w:before="40"/>
            </w:pPr>
            <w:r>
              <w:rPr>
                <w:rFonts w:ascii="Calibri" w:hAnsi="Calibri"/>
                <w:b w:val="0"/>
                <w:sz w:val="20"/>
              </w:rPr>
              <w:t>Expanded its digital asset custody and execution services to include tokenised US Treasury products, partnering with a leading tokenisation platform.</w:t>
            </w:r>
          </w:p>
        </w:tc>
        <w:tc>
          <w:tcPr>
            <w:tcW w:type="dxa" w:w="3250"/>
          </w:tcPr>
          <w:p>
            <w:pPr>
              <w:spacing w:after="40" w:before="40"/>
            </w:pPr>
            <w:r>
              <w:rPr>
                <w:rFonts w:ascii="Calibri" w:hAnsi="Calibri"/>
                <w:b w:val="0"/>
                <w:sz w:val="20"/>
              </w:rPr>
              <w:t>Positions Fidelity Digital Assets at the intersection of traditional and digital asset custody, competing directly with BNY's tokenised asset capabilities.</w:t>
            </w:r>
          </w:p>
        </w:tc>
      </w:tr>
      <w:tr>
        <w:tc>
          <w:tcPr>
            <w:tcW w:type="dxa" w:w="3250"/>
            <w:shd w:val="clear" w:color="auto" w:fill="EEF3FA"/>
          </w:tcPr>
          <w:p>
            <w:pPr>
              <w:spacing w:after="40" w:before="40"/>
            </w:pPr>
            <w:r>
              <w:rPr>
                <w:rFonts w:ascii="Calibri" w:hAnsi="Calibri"/>
                <w:b w:val="0"/>
                <w:sz w:val="20"/>
              </w:rPr>
              <w:t>Anchorage Digital</w:t>
            </w:r>
          </w:p>
        </w:tc>
        <w:tc>
          <w:tcPr>
            <w:tcW w:type="dxa" w:w="3250"/>
            <w:shd w:val="clear" w:color="auto" w:fill="EEF3FA"/>
          </w:tcPr>
          <w:p>
            <w:pPr>
              <w:spacing w:after="40" w:before="40"/>
            </w:pPr>
            <w:r>
              <w:rPr>
                <w:rFonts w:ascii="Calibri" w:hAnsi="Calibri"/>
                <w:b w:val="0"/>
                <w:sz w:val="20"/>
              </w:rPr>
              <w:t>Received expanded conditional approval from the OCC for additional digital asset custody and staking services for federally chartered banks.</w:t>
            </w:r>
          </w:p>
        </w:tc>
        <w:tc>
          <w:tcPr>
            <w:tcW w:type="dxa" w:w="3250"/>
            <w:shd w:val="clear" w:color="auto" w:fill="EEF3FA"/>
          </w:tcPr>
          <w:p>
            <w:pPr>
              <w:spacing w:after="40" w:before="40"/>
            </w:pPr>
            <w:r>
              <w:rPr>
                <w:rFonts w:ascii="Calibri" w:hAnsi="Calibri"/>
                <w:b w:val="0"/>
                <w:sz w:val="20"/>
              </w:rPr>
              <w:t>Reinforces Anchorage's unique position as a federally chartered digital asset bank and expands the range of services it can offer to institutional clients.</w:t>
            </w:r>
          </w:p>
        </w:tc>
      </w:tr>
      <w:tr>
        <w:tc>
          <w:tcPr>
            <w:tcW w:type="dxa" w:w="3250"/>
          </w:tcPr>
          <w:p>
            <w:pPr>
              <w:spacing w:after="40" w:before="40"/>
            </w:pPr>
            <w:r>
              <w:rPr>
                <w:rFonts w:ascii="Calibri" w:hAnsi="Calibri"/>
                <w:b w:val="0"/>
                <w:sz w:val="20"/>
              </w:rPr>
              <w:t>Fireblocks</w:t>
            </w:r>
          </w:p>
        </w:tc>
        <w:tc>
          <w:tcPr>
            <w:tcW w:type="dxa" w:w="3250"/>
          </w:tcPr>
          <w:p>
            <w:pPr>
              <w:spacing w:after="40" w:before="40"/>
            </w:pPr>
            <w:r>
              <w:rPr>
                <w:rFonts w:ascii="Calibri" w:hAnsi="Calibri"/>
                <w:b w:val="0"/>
                <w:sz w:val="20"/>
              </w:rPr>
              <w:t>Announced a strategic partnership with a major global custodian (undisclosed) to provide wallet infrastructure and key management for tokenised securities custody.</w:t>
            </w:r>
          </w:p>
        </w:tc>
        <w:tc>
          <w:tcPr>
            <w:tcW w:type="dxa" w:w="3250"/>
          </w:tcPr>
          <w:p>
            <w:pPr>
              <w:spacing w:after="40" w:before="40"/>
            </w:pPr>
            <w:r>
              <w:rPr>
                <w:rFonts w:ascii="Calibri" w:hAnsi="Calibri"/>
                <w:b w:val="0"/>
                <w:sz w:val="20"/>
              </w:rPr>
              <w:t>Validates Fireblocks' infrastructure-as-a-service model and signals deepening integration between crypto-native infrastructure and traditional custody.</w:t>
            </w:r>
          </w:p>
        </w:tc>
      </w:tr>
      <w:tr>
        <w:tc>
          <w:tcPr>
            <w:tcW w:type="dxa" w:w="3250"/>
            <w:shd w:val="clear" w:color="auto" w:fill="EEF3FA"/>
          </w:tcPr>
          <w:p>
            <w:pPr>
              <w:spacing w:after="40" w:before="40"/>
            </w:pPr>
            <w:r>
              <w:rPr>
                <w:rFonts w:ascii="Calibri" w:hAnsi="Calibri"/>
                <w:b w:val="0"/>
                <w:sz w:val="20"/>
              </w:rPr>
              <w:t>Copper</w:t>
            </w:r>
          </w:p>
        </w:tc>
        <w:tc>
          <w:tcPr>
            <w:tcW w:type="dxa" w:w="3250"/>
            <w:shd w:val="clear" w:color="auto" w:fill="EEF3FA"/>
          </w:tcPr>
          <w:p>
            <w:pPr>
              <w:spacing w:after="40" w:before="40"/>
            </w:pPr>
            <w:r>
              <w:rPr>
                <w:rFonts w:ascii="Calibri" w:hAnsi="Calibri"/>
                <w:b w:val="0"/>
                <w:sz w:val="20"/>
              </w:rPr>
              <w:t>Launched an upgraded version of its ClearLoop off-exchange settlement network, adding connectivity to additional digital asset exchanges and improving capital efficiency for institutional traders.</w:t>
            </w:r>
          </w:p>
        </w:tc>
        <w:tc>
          <w:tcPr>
            <w:tcW w:type="dxa" w:w="3250"/>
            <w:shd w:val="clear" w:color="auto" w:fill="EEF3FA"/>
          </w:tcPr>
          <w:p>
            <w:pPr>
              <w:spacing w:after="40" w:before="40"/>
            </w:pPr>
            <w:r>
              <w:rPr>
                <w:rFonts w:ascii="Calibri" w:hAnsi="Calibri"/>
                <w:b w:val="0"/>
                <w:sz w:val="20"/>
              </w:rPr>
              <w:t>Addresses institutional demand for reduced counterparty risk in digital asset trading and positions Copper as critical infrastructure for exchange settlement.</w:t>
            </w:r>
          </w:p>
        </w:tc>
      </w:tr>
      <w:tr>
        <w:tc>
          <w:tcPr>
            <w:tcW w:type="dxa" w:w="3250"/>
          </w:tcPr>
          <w:p>
            <w:pPr>
              <w:spacing w:after="40" w:before="40"/>
            </w:pPr>
            <w:r>
              <w:rPr>
                <w:rFonts w:ascii="Calibri" w:hAnsi="Calibri"/>
                <w:b w:val="0"/>
                <w:sz w:val="20"/>
              </w:rPr>
              <w:t>Komainu</w:t>
            </w:r>
          </w:p>
        </w:tc>
        <w:tc>
          <w:tcPr>
            <w:tcW w:type="dxa" w:w="3250"/>
          </w:tcPr>
          <w:p>
            <w:pPr>
              <w:spacing w:after="40" w:before="40"/>
            </w:pPr>
            <w:r>
              <w:rPr>
                <w:rFonts w:ascii="Calibri" w:hAnsi="Calibri"/>
                <w:b w:val="0"/>
                <w:sz w:val="20"/>
              </w:rPr>
              <w:t>Expanded operations in the Middle East, securing a regulatory license in Abu Dhabi Global Market for institutional digital asset custody and staking.</w:t>
            </w:r>
          </w:p>
        </w:tc>
        <w:tc>
          <w:tcPr>
            <w:tcW w:type="dxa" w:w="3250"/>
          </w:tcPr>
          <w:p>
            <w:pPr>
              <w:spacing w:after="40" w:before="40"/>
            </w:pPr>
            <w:r>
              <w:rPr>
                <w:rFonts w:ascii="Calibri" w:hAnsi="Calibri"/>
                <w:b w:val="0"/>
                <w:sz w:val="20"/>
              </w:rPr>
              <w:t>Positions Komainu (backed by Nomura, Ledger, and CoinShares) to capture growing institutional demand for regulated digital asset custody in the Gulf region.</w:t>
            </w:r>
          </w:p>
        </w:tc>
      </w:tr>
      <w:tr>
        <w:tc>
          <w:tcPr>
            <w:tcW w:type="dxa" w:w="3250"/>
            <w:shd w:val="clear" w:color="auto" w:fill="EEF3FA"/>
          </w:tcPr>
          <w:p>
            <w:pPr>
              <w:spacing w:after="40" w:before="40"/>
            </w:pPr>
            <w:r>
              <w:rPr>
                <w:rFonts w:ascii="Calibri" w:hAnsi="Calibri"/>
                <w:b w:val="0"/>
                <w:sz w:val="20"/>
              </w:rPr>
              <w:t>Zodia Custody</w:t>
            </w:r>
          </w:p>
        </w:tc>
        <w:tc>
          <w:tcPr>
            <w:tcW w:type="dxa" w:w="3250"/>
            <w:shd w:val="clear" w:color="auto" w:fill="EEF3FA"/>
          </w:tcPr>
          <w:p>
            <w:pPr>
              <w:spacing w:after="40" w:before="40"/>
            </w:pPr>
            <w:r>
              <w:rPr>
                <w:rFonts w:ascii="Calibri" w:hAnsi="Calibri"/>
                <w:b w:val="0"/>
                <w:sz w:val="20"/>
              </w:rPr>
              <w:t>Expanded to Japan and South Korea in partnership with Standard Chartered, obtaining relevant regulatory approvals for institutional digital asset custody.</w:t>
            </w:r>
          </w:p>
        </w:tc>
        <w:tc>
          <w:tcPr>
            <w:tcW w:type="dxa" w:w="3250"/>
            <w:shd w:val="clear" w:color="auto" w:fill="EEF3FA"/>
          </w:tcPr>
          <w:p>
            <w:pPr>
              <w:spacing w:after="40" w:before="40"/>
            </w:pPr>
            <w:r>
              <w:rPr>
                <w:rFonts w:ascii="Calibri" w:hAnsi="Calibri"/>
                <w:b w:val="0"/>
                <w:sz w:val="20"/>
              </w:rPr>
              <w:t>Broadens Zodia's geographic reach and taps into large institutional investor markets in Asia that are increasingly allocating to digital assets.</w:t>
            </w:r>
          </w:p>
        </w:tc>
      </w:tr>
      <w:tr>
        <w:tc>
          <w:tcPr>
            <w:tcW w:type="dxa" w:w="3250"/>
          </w:tcPr>
          <w:p>
            <w:pPr>
              <w:spacing w:after="40" w:before="40"/>
            </w:pPr>
            <w:r>
              <w:rPr>
                <w:rFonts w:ascii="Calibri" w:hAnsi="Calibri"/>
                <w:b w:val="0"/>
                <w:sz w:val="20"/>
              </w:rPr>
              <w:t>NYDIG</w:t>
            </w:r>
          </w:p>
        </w:tc>
        <w:tc>
          <w:tcPr>
            <w:tcW w:type="dxa" w:w="3250"/>
          </w:tcPr>
          <w:p>
            <w:pPr>
              <w:spacing w:after="40" w:before="40"/>
            </w:pPr>
            <w:r>
              <w:rPr>
                <w:rFonts w:ascii="Calibri" w:hAnsi="Calibri"/>
                <w:b w:val="0"/>
                <w:sz w:val="20"/>
              </w:rPr>
              <w:t>No material news this month.</w:t>
            </w:r>
          </w:p>
        </w:tc>
        <w:tc>
          <w:tcPr>
            <w:tcW w:type="dxa" w:w="3250"/>
          </w:tcPr>
          <w:p>
            <w:pPr>
              <w:spacing w:after="40" w:before="40"/>
            </w:pPr>
            <w:r>
              <w:rPr>
                <w:rFonts w:ascii="Calibri" w:hAnsi="Calibri"/>
                <w:b w:val="0"/>
                <w:sz w:val="20"/>
              </w:rPr>
              <w:t>—</w:t>
            </w:r>
          </w:p>
        </w:tc>
      </w:tr>
      <w:tr>
        <w:tc>
          <w:tcPr>
            <w:tcW w:type="dxa" w:w="3250"/>
            <w:shd w:val="clear" w:color="auto" w:fill="EEF3FA"/>
          </w:tcPr>
          <w:p>
            <w:pPr>
              <w:spacing w:after="40" w:before="40"/>
            </w:pPr>
            <w:r>
              <w:rPr>
                <w:rFonts w:ascii="Calibri" w:hAnsi="Calibri"/>
                <w:b w:val="0"/>
                <w:sz w:val="20"/>
              </w:rPr>
              <w:t>Taurus</w:t>
            </w:r>
          </w:p>
        </w:tc>
        <w:tc>
          <w:tcPr>
            <w:tcW w:type="dxa" w:w="3250"/>
            <w:shd w:val="clear" w:color="auto" w:fill="EEF3FA"/>
          </w:tcPr>
          <w:p>
            <w:pPr>
              <w:spacing w:after="40" w:before="40"/>
            </w:pPr>
            <w:r>
              <w:rPr>
                <w:rFonts w:ascii="Calibri" w:hAnsi="Calibri"/>
                <w:b w:val="0"/>
                <w:sz w:val="20"/>
              </w:rPr>
              <w:t>Announced integration of its digital asset issuance and custody platform with a leading European private bank, enabling end-to-end tokenised bond issuance and servicing.</w:t>
            </w:r>
          </w:p>
        </w:tc>
        <w:tc>
          <w:tcPr>
            <w:tcW w:type="dxa" w:w="3250"/>
            <w:shd w:val="clear" w:color="auto" w:fill="EEF3FA"/>
          </w:tcPr>
          <w:p>
            <w:pPr>
              <w:spacing w:after="40" w:before="40"/>
            </w:pPr>
            <w:r>
              <w:rPr>
                <w:rFonts w:ascii="Calibri" w:hAnsi="Calibri"/>
                <w:b w:val="0"/>
                <w:sz w:val="20"/>
              </w:rPr>
              <w:t>Demonstrates Taurus's traction in the European institutional market and positions it as infrastructure for the growing tokenised fixed income ecosystem.</w:t>
            </w:r>
          </w:p>
        </w:tc>
      </w:tr>
      <w:tr>
        <w:tc>
          <w:tcPr>
            <w:tcW w:type="dxa" w:w="3250"/>
          </w:tcPr>
          <w:p>
            <w:pPr>
              <w:spacing w:after="40" w:before="40"/>
            </w:pPr>
            <w:r>
              <w:rPr>
                <w:rFonts w:ascii="Calibri" w:hAnsi="Calibri"/>
                <w:b w:val="0"/>
                <w:sz w:val="20"/>
              </w:rPr>
              <w:t>Kraken</w:t>
            </w:r>
          </w:p>
        </w:tc>
        <w:tc>
          <w:tcPr>
            <w:tcW w:type="dxa" w:w="3250"/>
          </w:tcPr>
          <w:p>
            <w:pPr>
              <w:spacing w:after="40" w:before="40"/>
            </w:pPr>
            <w:r>
              <w:rPr>
                <w:rFonts w:ascii="Calibri" w:hAnsi="Calibri"/>
                <w:b w:val="0"/>
                <w:sz w:val="20"/>
              </w:rPr>
              <w:t>Launched Kraken Institutional, a dedicated institutional services division offering custody, execution, and staking services with enhanced compliance and reporting frameworks.</w:t>
            </w:r>
          </w:p>
        </w:tc>
        <w:tc>
          <w:tcPr>
            <w:tcW w:type="dxa" w:w="3250"/>
          </w:tcPr>
          <w:p>
            <w:pPr>
              <w:spacing w:after="40" w:before="40"/>
            </w:pPr>
            <w:r>
              <w:rPr>
                <w:rFonts w:ascii="Calibri" w:hAnsi="Calibri"/>
                <w:b w:val="0"/>
                <w:sz w:val="20"/>
              </w:rPr>
              <w:t>Signals Kraken's strategic push to compete for institutional digital asset custody and trading mandates alongside established players like Coinbase and Fidelity.</w:t>
            </w:r>
          </w:p>
        </w:tc>
      </w:tr>
    </w:tbl>
    <w:p/>
    <w:p>
      <w:pPr>
        <w:jc w:val="center"/>
      </w:pPr>
      <w:r>
        <w:rPr>
          <w:rFonts w:ascii="Calibri" w:hAnsi="Calibri"/>
          <w:i/>
          <w:color w:val="888888"/>
          <w:sz w:val="16"/>
        </w:rPr>
        <w:t>This document is confidential and intended solely for the RBC Investor Services Senior Management Team. Do not distribute.</w:t>
      </w:r>
    </w:p>
    <w:p/>
    <w:p>
      <w:pPr>
        <w:jc w:val="center"/>
      </w:pPr>
      <w:r>
        <w:rPr>
          <w:rFonts w:ascii="Calibri" w:hAnsi="Calibri"/>
          <w:i/>
          <w:color w:val="AAAAAA"/>
          <w:sz w:val="14"/>
        </w:rPr>
        <w:t>DISCLAIMER: This report has been generated autonomously by Claude, an AI assistant developed by Anthropic, using agentic AI techniques and publicly available information. The content has not been reviewed or verified by a human and may contain errors, omissions, or inaccuracies. It should not be relied upon as financial, investment, or professional advice. Readers are encouraged to independently verify any information before making decisions based on this report.</w:t>
      </w:r>
    </w:p>
    <w:sectPr w:rsidR="00E71C96" w:rsidRPr="00E15B30" w:rsidSect="00AA3776">
      <w:footerReference w:type="first" r:id="rId8"/>
      <w:pgSz w:w="11909" w:h="16834" w:code="9"/>
      <w:pgMar w:top="1080" w:right="1080" w:bottom="562" w:left="1080" w:header="0" w:footer="432" w:gutter="0"/>
      <w:pgBorders w:offsetFrom="page">
        <w:top w:val="single" w:sz="2" w:space="18" w:color="002159"/>
        <w:left w:val="single" w:sz="2" w:space="18" w:color="002159"/>
        <w:bottom w:val="single" w:sz="2" w:space="18" w:color="002159"/>
        <w:right w:val="single" w:sz="2" w:space="18" w:color="002159"/>
      </w:pgBorders>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EBA7" w14:textId="77777777" w:rsidR="00C02A6A" w:rsidRDefault="00C02A6A">
      <w:r>
        <w:separator/>
      </w:r>
    </w:p>
    <w:p w14:paraId="085563AF" w14:textId="77777777" w:rsidR="00C02A6A" w:rsidRDefault="00C02A6A"/>
    <w:p w14:paraId="4EDDD97C" w14:textId="77777777" w:rsidR="00C02A6A" w:rsidRDefault="00C02A6A"/>
  </w:endnote>
  <w:endnote w:type="continuationSeparator" w:id="0">
    <w:p w14:paraId="3D54E17F" w14:textId="77777777" w:rsidR="00C02A6A" w:rsidRDefault="00C02A6A">
      <w:r>
        <w:continuationSeparator/>
      </w:r>
    </w:p>
    <w:p w14:paraId="7C5BAB43" w14:textId="77777777" w:rsidR="00C02A6A" w:rsidRDefault="00C02A6A"/>
    <w:p w14:paraId="63C61948" w14:textId="77777777" w:rsidR="00C02A6A" w:rsidRDefault="00C02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swiss"/>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747D7DF-3D6A-4ED2-AAC8-D3BA8B1D5C25}"/>
    <w:embedBold r:id="rId2" w:fontKey="{3454AD14-499D-4863-A694-692B1ADC694F}"/>
    <w:embedItalic r:id="rId3" w:fontKey="{781E6330-149F-411B-9735-59DF1E9C6AC7}"/>
  </w:font>
  <w:font w:name="Century Gothic">
    <w:panose1 w:val="020B0502020202020204"/>
    <w:charset w:val="00"/>
    <w:family w:val="swiss"/>
    <w:pitch w:val="variable"/>
    <w:sig w:usb0="00000287" w:usb1="00000000" w:usb2="00000000" w:usb3="00000000" w:csb0="0000009F" w:csb1="00000000"/>
    <w:embedRegular r:id="rId4" w:fontKey="{D252A5BB-800E-45C5-A3D6-74B880434F06}"/>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5FFF8507-1812-43FD-B3B6-FCE8389267C5}"/>
  </w:font>
  <w:font w:name="Arial Black">
    <w:panose1 w:val="020B0A04020102020204"/>
    <w:charset w:val="00"/>
    <w:family w:val="swiss"/>
    <w:pitch w:val="variable"/>
    <w:sig w:usb0="A00002AF" w:usb1="400078FB" w:usb2="00000000" w:usb3="00000000" w:csb0="0000009F" w:csb1="00000000"/>
    <w:embedRegular r:id="rId6" w:fontKey="{BB4AD9BD-E88A-4869-B5B9-C5B7C74BC6F5}"/>
  </w:font>
  <w:font w:name="Georgia">
    <w:panose1 w:val="02040502050405020303"/>
    <w:charset w:val="00"/>
    <w:family w:val="roman"/>
    <w:pitch w:val="variable"/>
    <w:sig w:usb0="00000287" w:usb1="00000000" w:usb2="00000000" w:usb3="00000000" w:csb0="0000009F" w:csb1="00000000"/>
    <w:embedBoldItalic r:id="rId7" w:fontKey="{3E708344-5C7E-4DC6-965D-F2C9BDEF92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F06D" w14:textId="69824C84" w:rsidR="004F69BC" w:rsidRPr="00E4290C" w:rsidRDefault="004F69BC" w:rsidP="00E4290C">
    <w:pPr>
      <w:pStyle w:val="FooterBackcover"/>
      <w:spacing w:after="18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78E6" w14:textId="77777777" w:rsidR="00C02A6A" w:rsidRDefault="00C02A6A" w:rsidP="00494966">
      <w:pPr>
        <w:pStyle w:val="FootnoteSeparator"/>
      </w:pPr>
    </w:p>
    <w:p w14:paraId="4B31063E" w14:textId="77777777" w:rsidR="00C02A6A" w:rsidRDefault="00C02A6A"/>
    <w:p w14:paraId="32C94793" w14:textId="77777777" w:rsidR="00C02A6A" w:rsidRDefault="00C02A6A"/>
  </w:footnote>
  <w:footnote w:type="continuationSeparator" w:id="0">
    <w:p w14:paraId="147C50A4" w14:textId="77777777" w:rsidR="00C02A6A" w:rsidRDefault="00C02A6A">
      <w:r>
        <w:continuationSeparator/>
      </w:r>
    </w:p>
    <w:p w14:paraId="002E624C" w14:textId="77777777" w:rsidR="00C02A6A" w:rsidRDefault="00C02A6A"/>
    <w:p w14:paraId="0E7DB25D" w14:textId="77777777" w:rsidR="00C02A6A" w:rsidRDefault="00C02A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F83E6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CFC16B4"/>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317A77E2"/>
    <w:lvl w:ilvl="0">
      <w:start w:val="1"/>
      <w:numFmt w:val="decimal"/>
      <w:pStyle w:val="ListNumber2"/>
      <w:lvlText w:val="%1."/>
      <w:lvlJc w:val="left"/>
      <w:pPr>
        <w:tabs>
          <w:tab w:val="num" w:pos="643"/>
        </w:tabs>
        <w:ind w:left="643" w:hanging="360"/>
      </w:pPr>
    </w:lvl>
  </w:abstractNum>
  <w:abstractNum w:abstractNumId="3" w15:restartNumberingAfterBreak="0">
    <w:nsid w:val="FFFFFF80"/>
    <w:multiLevelType w:val="singleLevel"/>
    <w:tmpl w:val="765AE9E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619AA81A"/>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0EE6481D"/>
    <w:multiLevelType w:val="multilevel"/>
    <w:tmpl w:val="9272BB36"/>
    <w:styleLink w:val="111111"/>
    <w:lvl w:ilvl="0">
      <w:start w:val="1"/>
      <w:numFmt w:val="decimal"/>
      <w:lvlText w:val="%1."/>
      <w:lvlJc w:val="left"/>
      <w:pPr>
        <w:tabs>
          <w:tab w:val="num" w:pos="720"/>
        </w:tabs>
        <w:ind w:left="720" w:hanging="360"/>
      </w:pPr>
      <w:rPr>
        <w:rFonts w:ascii="Arial" w:hAnsi="Arial"/>
        <w:color w:val="002144"/>
        <w:sz w:val="36"/>
      </w:rPr>
    </w:lvl>
    <w:lvl w:ilvl="1">
      <w:start w:val="1"/>
      <w:numFmt w:val="decimal"/>
      <w:lvlText w:val="%1.%2."/>
      <w:lvlJc w:val="left"/>
      <w:pPr>
        <w:tabs>
          <w:tab w:val="num" w:pos="1152"/>
        </w:tabs>
        <w:ind w:left="1152" w:hanging="432"/>
      </w:pPr>
      <w:rPr>
        <w:rFonts w:hint="default"/>
        <w:sz w:val="25"/>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6" w15:restartNumberingAfterBreak="0">
    <w:nsid w:val="14F94586"/>
    <w:multiLevelType w:val="hybridMultilevel"/>
    <w:tmpl w:val="671E8414"/>
    <w:lvl w:ilvl="0" w:tplc="BA62B44E">
      <w:start w:val="1"/>
      <w:numFmt w:val="upperLetter"/>
      <w:pStyle w:val="List"/>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DD7F2F"/>
    <w:multiLevelType w:val="hybridMultilevel"/>
    <w:tmpl w:val="3FCCCD1A"/>
    <w:lvl w:ilvl="0" w:tplc="F8927B7A">
      <w:start w:val="1"/>
      <w:numFmt w:val="bullet"/>
      <w:pStyle w:val="ListBullet2"/>
      <w:lvlText w:val=""/>
      <w:lvlJc w:val="left"/>
      <w:pPr>
        <w:tabs>
          <w:tab w:val="num" w:pos="680"/>
        </w:tabs>
        <w:ind w:left="680" w:hanging="340"/>
      </w:pPr>
      <w:rPr>
        <w:rFonts w:ascii="Wingdings" w:hAnsi="Wingdings" w:hint="default"/>
        <w:color w:val="8499A6"/>
        <w:sz w:val="20"/>
      </w:rPr>
    </w:lvl>
    <w:lvl w:ilvl="1" w:tplc="B0649FC8">
      <w:start w:val="1"/>
      <w:numFmt w:val="bullet"/>
      <w:lvlText w:val="o"/>
      <w:lvlJc w:val="left"/>
      <w:pPr>
        <w:tabs>
          <w:tab w:val="num" w:pos="2806"/>
        </w:tabs>
        <w:ind w:left="2806" w:hanging="360"/>
      </w:pPr>
      <w:rPr>
        <w:rFonts w:ascii="Courier New" w:hAnsi="Courier New" w:hint="default"/>
      </w:rPr>
    </w:lvl>
    <w:lvl w:ilvl="2" w:tplc="04090005" w:tentative="1">
      <w:start w:val="1"/>
      <w:numFmt w:val="bullet"/>
      <w:lvlText w:val=""/>
      <w:lvlJc w:val="left"/>
      <w:pPr>
        <w:tabs>
          <w:tab w:val="num" w:pos="3526"/>
        </w:tabs>
        <w:ind w:left="3526" w:hanging="360"/>
      </w:pPr>
      <w:rPr>
        <w:rFonts w:ascii="Wingdings" w:hAnsi="Wingdings" w:hint="default"/>
      </w:rPr>
    </w:lvl>
    <w:lvl w:ilvl="3" w:tplc="04090001" w:tentative="1">
      <w:start w:val="1"/>
      <w:numFmt w:val="bullet"/>
      <w:lvlText w:val=""/>
      <w:lvlJc w:val="left"/>
      <w:pPr>
        <w:tabs>
          <w:tab w:val="num" w:pos="4246"/>
        </w:tabs>
        <w:ind w:left="4246" w:hanging="360"/>
      </w:pPr>
      <w:rPr>
        <w:rFonts w:ascii="Symbol" w:hAnsi="Symbol" w:hint="default"/>
      </w:rPr>
    </w:lvl>
    <w:lvl w:ilvl="4" w:tplc="04090003" w:tentative="1">
      <w:start w:val="1"/>
      <w:numFmt w:val="bullet"/>
      <w:lvlText w:val="o"/>
      <w:lvlJc w:val="left"/>
      <w:pPr>
        <w:tabs>
          <w:tab w:val="num" w:pos="4966"/>
        </w:tabs>
        <w:ind w:left="4966" w:hanging="360"/>
      </w:pPr>
      <w:rPr>
        <w:rFonts w:ascii="Courier New" w:hAnsi="Courier New" w:hint="default"/>
      </w:rPr>
    </w:lvl>
    <w:lvl w:ilvl="5" w:tplc="04090005" w:tentative="1">
      <w:start w:val="1"/>
      <w:numFmt w:val="bullet"/>
      <w:lvlText w:val=""/>
      <w:lvlJc w:val="left"/>
      <w:pPr>
        <w:tabs>
          <w:tab w:val="num" w:pos="5686"/>
        </w:tabs>
        <w:ind w:left="5686" w:hanging="360"/>
      </w:pPr>
      <w:rPr>
        <w:rFonts w:ascii="Wingdings" w:hAnsi="Wingdings" w:hint="default"/>
      </w:rPr>
    </w:lvl>
    <w:lvl w:ilvl="6" w:tplc="04090001" w:tentative="1">
      <w:start w:val="1"/>
      <w:numFmt w:val="bullet"/>
      <w:lvlText w:val=""/>
      <w:lvlJc w:val="left"/>
      <w:pPr>
        <w:tabs>
          <w:tab w:val="num" w:pos="6406"/>
        </w:tabs>
        <w:ind w:left="6406" w:hanging="360"/>
      </w:pPr>
      <w:rPr>
        <w:rFonts w:ascii="Symbol" w:hAnsi="Symbol" w:hint="default"/>
      </w:rPr>
    </w:lvl>
    <w:lvl w:ilvl="7" w:tplc="04090003" w:tentative="1">
      <w:start w:val="1"/>
      <w:numFmt w:val="bullet"/>
      <w:lvlText w:val="o"/>
      <w:lvlJc w:val="left"/>
      <w:pPr>
        <w:tabs>
          <w:tab w:val="num" w:pos="7126"/>
        </w:tabs>
        <w:ind w:left="7126" w:hanging="360"/>
      </w:pPr>
      <w:rPr>
        <w:rFonts w:ascii="Courier New" w:hAnsi="Courier New" w:hint="default"/>
      </w:rPr>
    </w:lvl>
    <w:lvl w:ilvl="8" w:tplc="04090005" w:tentative="1">
      <w:start w:val="1"/>
      <w:numFmt w:val="bullet"/>
      <w:lvlText w:val=""/>
      <w:lvlJc w:val="left"/>
      <w:pPr>
        <w:tabs>
          <w:tab w:val="num" w:pos="7846"/>
        </w:tabs>
        <w:ind w:left="7846" w:hanging="360"/>
      </w:pPr>
      <w:rPr>
        <w:rFonts w:ascii="Wingdings" w:hAnsi="Wingdings" w:hint="default"/>
      </w:rPr>
    </w:lvl>
  </w:abstractNum>
  <w:abstractNum w:abstractNumId="8" w15:restartNumberingAfterBreak="0">
    <w:nsid w:val="196D1F1A"/>
    <w:multiLevelType w:val="hybridMultilevel"/>
    <w:tmpl w:val="BE72B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A92175"/>
    <w:multiLevelType w:val="hybridMultilevel"/>
    <w:tmpl w:val="6CF6A9B4"/>
    <w:lvl w:ilvl="0" w:tplc="3E56E864">
      <w:start w:val="1"/>
      <w:numFmt w:val="decimal"/>
      <w:pStyle w:val="ListNumber"/>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9"/>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692612"/>
    <w:multiLevelType w:val="hybridMultilevel"/>
    <w:tmpl w:val="2696925E"/>
    <w:lvl w:ilvl="0" w:tplc="BCF0D7D4">
      <w:start w:val="1"/>
      <w:numFmt w:val="lowerRoman"/>
      <w:pStyle w:val="Question5"/>
      <w:lvlText w:val="%1."/>
      <w:lvlJc w:val="left"/>
      <w:pPr>
        <w:tabs>
          <w:tab w:val="num" w:pos="717"/>
        </w:tabs>
        <w:ind w:left="717"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8346DC"/>
    <w:multiLevelType w:val="multilevel"/>
    <w:tmpl w:val="1890963E"/>
    <w:styleLink w:val="NumHeadListChapter"/>
    <w:lvl w:ilvl="0">
      <w:start w:val="1"/>
      <w:numFmt w:val="decimal"/>
      <w:isLgl/>
      <w:lvlText w:val="%1."/>
      <w:lvlJc w:val="left"/>
      <w:pPr>
        <w:tabs>
          <w:tab w:val="num" w:pos="1008"/>
        </w:tabs>
        <w:ind w:left="1008" w:hanging="1008"/>
      </w:pPr>
      <w:rPr>
        <w:rFonts w:ascii="Arial" w:hAnsi="Arial" w:hint="default"/>
        <w:color w:val="002144"/>
        <w:sz w:val="32"/>
        <w:szCs w:val="20"/>
      </w:rPr>
    </w:lvl>
    <w:lvl w:ilvl="1">
      <w:start w:val="1"/>
      <w:numFmt w:val="decimal"/>
      <w:isLgl/>
      <w:lvlText w:val="%1.%2."/>
      <w:lvlJc w:val="left"/>
      <w:pPr>
        <w:tabs>
          <w:tab w:val="num" w:pos="1008"/>
        </w:tabs>
        <w:ind w:left="1008" w:hanging="1008"/>
      </w:pPr>
      <w:rPr>
        <w:rFonts w:ascii="Arial" w:hAnsi="Arial" w:hint="default"/>
        <w:b w:val="0"/>
        <w:i w:val="0"/>
        <w:color w:val="003263"/>
        <w:sz w:val="25"/>
        <w:szCs w:val="20"/>
      </w:rPr>
    </w:lvl>
    <w:lvl w:ilvl="2">
      <w:start w:val="1"/>
      <w:numFmt w:val="decimal"/>
      <w:isLgl/>
      <w:lvlText w:val="%1.%2.%3."/>
      <w:lvlJc w:val="left"/>
      <w:pPr>
        <w:tabs>
          <w:tab w:val="num" w:pos="1008"/>
        </w:tabs>
        <w:ind w:left="1008" w:hanging="1008"/>
      </w:pPr>
      <w:rPr>
        <w:rFonts w:ascii="Arial" w:hAnsi="Arial" w:hint="default"/>
        <w:b w:val="0"/>
        <w:i w:val="0"/>
        <w:color w:val="003263"/>
        <w:sz w:val="22"/>
        <w:szCs w:val="20"/>
      </w:rPr>
    </w:lvl>
    <w:lvl w:ilvl="3">
      <w:start w:val="1"/>
      <w:numFmt w:val="decimal"/>
      <w:isLgl/>
      <w:lvlText w:val="%1.%2.%3.%4."/>
      <w:lvlJc w:val="left"/>
      <w:pPr>
        <w:tabs>
          <w:tab w:val="num" w:pos="1008"/>
        </w:tabs>
        <w:ind w:left="1008" w:hanging="1008"/>
      </w:pPr>
      <w:rPr>
        <w:rFonts w:ascii="Arial" w:hAnsi="Arial" w:hint="default"/>
        <w:b w:val="0"/>
        <w:i w:val="0"/>
        <w:color w:val="003263"/>
        <w:sz w:val="20"/>
        <w:szCs w:val="20"/>
      </w:rPr>
    </w:lvl>
    <w:lvl w:ilvl="4">
      <w:start w:val="1"/>
      <w:numFmt w:val="decimal"/>
      <w:isLgl/>
      <w:lvlText w:val="%1.%2.%3.%4.%5."/>
      <w:lvlJc w:val="left"/>
      <w:pPr>
        <w:tabs>
          <w:tab w:val="num" w:pos="1008"/>
        </w:tabs>
        <w:ind w:left="1008" w:hanging="1008"/>
      </w:pPr>
      <w:rPr>
        <w:rFonts w:ascii="Arial" w:hAnsi="Arial" w:hint="default"/>
        <w:color w:val="003263"/>
        <w:sz w:val="20"/>
        <w:szCs w:val="20"/>
      </w:rPr>
    </w:lvl>
    <w:lvl w:ilvl="5">
      <w:start w:val="1"/>
      <w:numFmt w:val="decimal"/>
      <w:lvlText w:val="%1.%2.%3.%4.%5.%6"/>
      <w:lvlJc w:val="left"/>
      <w:pPr>
        <w:tabs>
          <w:tab w:val="num" w:pos="1152"/>
        </w:tabs>
        <w:ind w:left="1152" w:hanging="1152"/>
      </w:pPr>
      <w:rPr>
        <w:rFonts w:ascii="Arial" w:hAnsi="Arial"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1C03D0A"/>
    <w:multiLevelType w:val="hybridMultilevel"/>
    <w:tmpl w:val="084C962C"/>
    <w:lvl w:ilvl="0" w:tplc="9790FE42">
      <w:start w:val="1"/>
      <w:numFmt w:val="bullet"/>
      <w:pStyle w:val="ListBullet3"/>
      <w:lvlText w:val="–"/>
      <w:lvlJc w:val="left"/>
      <w:pPr>
        <w:tabs>
          <w:tab w:val="num" w:pos="1020"/>
        </w:tabs>
        <w:ind w:left="1020" w:hanging="340"/>
      </w:pPr>
      <w:rPr>
        <w:rFonts w:ascii="Arial" w:hAnsi="Arial" w:hint="default"/>
        <w:b w:val="0"/>
        <w:i w:val="0"/>
        <w:caps w:val="0"/>
        <w:strike w:val="0"/>
        <w:dstrike w:val="0"/>
        <w:vanish w:val="0"/>
        <w:color w:val="8499A6"/>
        <w:spacing w:val="0"/>
        <w:w w:val="100"/>
        <w:kern w:val="0"/>
        <w:positio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800"/>
        </w:tabs>
        <w:ind w:left="2800" w:hanging="360"/>
      </w:pPr>
    </w:lvl>
    <w:lvl w:ilvl="2" w:tplc="0409001B" w:tentative="1">
      <w:start w:val="1"/>
      <w:numFmt w:val="lowerRoman"/>
      <w:lvlText w:val="%3."/>
      <w:lvlJc w:val="right"/>
      <w:pPr>
        <w:tabs>
          <w:tab w:val="num" w:pos="3520"/>
        </w:tabs>
        <w:ind w:left="3520" w:hanging="180"/>
      </w:pPr>
    </w:lvl>
    <w:lvl w:ilvl="3" w:tplc="0409000F" w:tentative="1">
      <w:start w:val="1"/>
      <w:numFmt w:val="decimal"/>
      <w:lvlText w:val="%4."/>
      <w:lvlJc w:val="left"/>
      <w:pPr>
        <w:tabs>
          <w:tab w:val="num" w:pos="4240"/>
        </w:tabs>
        <w:ind w:left="4240" w:hanging="360"/>
      </w:pPr>
    </w:lvl>
    <w:lvl w:ilvl="4" w:tplc="04090019" w:tentative="1">
      <w:start w:val="1"/>
      <w:numFmt w:val="lowerLetter"/>
      <w:lvlText w:val="%5."/>
      <w:lvlJc w:val="left"/>
      <w:pPr>
        <w:tabs>
          <w:tab w:val="num" w:pos="4960"/>
        </w:tabs>
        <w:ind w:left="4960" w:hanging="360"/>
      </w:pPr>
    </w:lvl>
    <w:lvl w:ilvl="5" w:tplc="0409001B" w:tentative="1">
      <w:start w:val="1"/>
      <w:numFmt w:val="lowerRoman"/>
      <w:lvlText w:val="%6."/>
      <w:lvlJc w:val="right"/>
      <w:pPr>
        <w:tabs>
          <w:tab w:val="num" w:pos="5680"/>
        </w:tabs>
        <w:ind w:left="5680" w:hanging="180"/>
      </w:pPr>
    </w:lvl>
    <w:lvl w:ilvl="6" w:tplc="0409000F" w:tentative="1">
      <w:start w:val="1"/>
      <w:numFmt w:val="decimal"/>
      <w:lvlText w:val="%7."/>
      <w:lvlJc w:val="left"/>
      <w:pPr>
        <w:tabs>
          <w:tab w:val="num" w:pos="6400"/>
        </w:tabs>
        <w:ind w:left="6400" w:hanging="360"/>
      </w:pPr>
    </w:lvl>
    <w:lvl w:ilvl="7" w:tplc="04090019" w:tentative="1">
      <w:start w:val="1"/>
      <w:numFmt w:val="lowerLetter"/>
      <w:lvlText w:val="%8."/>
      <w:lvlJc w:val="left"/>
      <w:pPr>
        <w:tabs>
          <w:tab w:val="num" w:pos="7120"/>
        </w:tabs>
        <w:ind w:left="7120" w:hanging="360"/>
      </w:pPr>
    </w:lvl>
    <w:lvl w:ilvl="8" w:tplc="0409001B" w:tentative="1">
      <w:start w:val="1"/>
      <w:numFmt w:val="lowerRoman"/>
      <w:lvlText w:val="%9."/>
      <w:lvlJc w:val="right"/>
      <w:pPr>
        <w:tabs>
          <w:tab w:val="num" w:pos="7840"/>
        </w:tabs>
        <w:ind w:left="7840" w:hanging="180"/>
      </w:pPr>
    </w:lvl>
  </w:abstractNum>
  <w:abstractNum w:abstractNumId="13" w15:restartNumberingAfterBreak="0">
    <w:nsid w:val="324549D6"/>
    <w:multiLevelType w:val="multilevel"/>
    <w:tmpl w:val="7CCE5D8C"/>
    <w:lvl w:ilvl="0">
      <w:start w:val="1"/>
      <w:numFmt w:val="decimal"/>
      <w:lvlText w:val="%1."/>
      <w:lvlJc w:val="left"/>
      <w:pPr>
        <w:tabs>
          <w:tab w:val="num" w:pos="432"/>
        </w:tabs>
        <w:ind w:left="432" w:hanging="432"/>
      </w:pPr>
      <w:rPr>
        <w:rFonts w:ascii="Arial" w:hAnsi="Arial" w:hint="default"/>
        <w:b/>
        <w:i w:val="0"/>
        <w:sz w:val="20"/>
        <w:szCs w:val="20"/>
      </w:rPr>
    </w:lvl>
    <w:lvl w:ilvl="1">
      <w:start w:val="1"/>
      <w:numFmt w:val="decimal"/>
      <w:lvlRestart w:val="0"/>
      <w:suff w:val="nothing"/>
      <w:lvlText w:val="Section %2"/>
      <w:lvlJc w:val="left"/>
      <w:pPr>
        <w:ind w:left="0" w:firstLine="0"/>
      </w:pPr>
      <w:rPr>
        <w:rFonts w:ascii="Arial" w:hAnsi="Arial" w:cs="Arial" w:hint="default"/>
        <w:b/>
        <w:i w:val="0"/>
        <w:sz w:val="48"/>
        <w:szCs w:val="20"/>
      </w:rPr>
    </w:lvl>
    <w:lvl w:ilvl="2">
      <w:start w:val="1"/>
      <w:numFmt w:val="upperRoman"/>
      <w:lvlRestart w:val="0"/>
      <w:suff w:val="nothing"/>
      <w:lvlText w:val="Appendix %3"/>
      <w:lvlJc w:val="left"/>
      <w:pPr>
        <w:ind w:left="0" w:firstLine="0"/>
      </w:pPr>
      <w:rPr>
        <w:rFonts w:ascii="Arial" w:hAnsi="Arial" w:cs="Arial" w:hint="default"/>
        <w:b/>
        <w:i w:val="0"/>
        <w:sz w:val="48"/>
        <w:szCs w:val="20"/>
      </w:rPr>
    </w:lvl>
    <w:lvl w:ilvl="3">
      <w:start w:val="1"/>
      <w:numFmt w:val="upperLetter"/>
      <w:suff w:val="nothing"/>
      <w:lvlText w:val="Tab %4"/>
      <w:lvlJc w:val="left"/>
      <w:pPr>
        <w:ind w:left="0" w:firstLine="0"/>
      </w:pPr>
      <w:rPr>
        <w:rFonts w:ascii="Arial" w:hAnsi="Arial" w:cs="Arial" w:hint="default"/>
        <w:b/>
        <w:sz w:val="48"/>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upperLetter"/>
      <w:lvlRestart w:val="3"/>
      <w:pStyle w:val="Heading8"/>
      <w:suff w:val="nothing"/>
      <w:lvlText w:val="Tab %8"/>
      <w:lvlJc w:val="left"/>
      <w:pPr>
        <w:ind w:left="0" w:firstLine="0"/>
      </w:pPr>
      <w:rPr>
        <w:rFonts w:ascii="Arial" w:hAnsi="Arial" w:cs="Arial" w:hint="default"/>
        <w:b/>
        <w:sz w:val="48"/>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3FDF0D99"/>
    <w:multiLevelType w:val="hybridMultilevel"/>
    <w:tmpl w:val="7312DE7E"/>
    <w:lvl w:ilvl="0" w:tplc="FD76358A">
      <w:start w:val="1"/>
      <w:numFmt w:val="lowerRoman"/>
      <w:pStyle w:val="List4"/>
      <w:lvlText w:val="%1."/>
      <w:lvlJc w:val="left"/>
      <w:pPr>
        <w:tabs>
          <w:tab w:val="num" w:pos="677"/>
        </w:tabs>
        <w:ind w:left="680" w:hanging="340"/>
      </w:pPr>
      <w:rPr>
        <w:rFonts w:ascii="Verdana" w:hAnsi="Verdana"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FEA26C0"/>
    <w:multiLevelType w:val="hybridMultilevel"/>
    <w:tmpl w:val="33D0349E"/>
    <w:lvl w:ilvl="0" w:tplc="4DF069A4">
      <w:start w:val="1"/>
      <w:numFmt w:val="bullet"/>
      <w:pStyle w:val="TableBullet3"/>
      <w:lvlText w:val="–"/>
      <w:lvlJc w:val="left"/>
      <w:pPr>
        <w:tabs>
          <w:tab w:val="num" w:pos="216"/>
        </w:tabs>
        <w:ind w:left="595" w:hanging="198"/>
      </w:pPr>
      <w:rPr>
        <w:rFonts w:ascii="Verdana" w:hAnsi="Verdana" w:hint="default"/>
        <w:b w:val="0"/>
        <w:i w:val="0"/>
        <w:color w:val="6F6E6F"/>
        <w:sz w:val="16"/>
      </w:rPr>
    </w:lvl>
    <w:lvl w:ilvl="1" w:tplc="04090019">
      <w:start w:val="1"/>
      <w:numFmt w:val="bullet"/>
      <w:lvlText w:val="–"/>
      <w:lvlJc w:val="left"/>
      <w:pPr>
        <w:tabs>
          <w:tab w:val="num" w:pos="216"/>
        </w:tabs>
        <w:ind w:left="648" w:hanging="216"/>
      </w:pPr>
      <w:rPr>
        <w:rFonts w:ascii="Century Gothic" w:hAnsi="Century Gothic" w:hint="default"/>
        <w:b w:val="0"/>
        <w:i w:val="0"/>
        <w:color w:val="auto"/>
        <w:sz w:val="16"/>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2C0BD1"/>
    <w:multiLevelType w:val="hybridMultilevel"/>
    <w:tmpl w:val="6AC8D7F0"/>
    <w:lvl w:ilvl="0" w:tplc="C7F224E2">
      <w:start w:val="1"/>
      <w:numFmt w:val="decimal"/>
      <w:pStyle w:val="Question1"/>
      <w:lvlText w:val="%1."/>
      <w:lvlJc w:val="left"/>
      <w:pPr>
        <w:tabs>
          <w:tab w:val="num" w:pos="360"/>
        </w:tabs>
        <w:ind w:left="360"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8827669"/>
    <w:multiLevelType w:val="hybridMultilevel"/>
    <w:tmpl w:val="BAAE3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7149E0"/>
    <w:multiLevelType w:val="hybridMultilevel"/>
    <w:tmpl w:val="F8EC1A8C"/>
    <w:lvl w:ilvl="0" w:tplc="6E24CF20">
      <w:start w:val="1"/>
      <w:numFmt w:val="lowerLetter"/>
      <w:pStyle w:val="List3"/>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1185B21"/>
    <w:multiLevelType w:val="hybridMultilevel"/>
    <w:tmpl w:val="5CAA3A06"/>
    <w:lvl w:ilvl="0" w:tplc="488695A6">
      <w:start w:val="1"/>
      <w:numFmt w:val="decimal"/>
      <w:pStyle w:val="TableBulletNumeric"/>
      <w:lvlText w:val="%1."/>
      <w:lvlJc w:val="left"/>
      <w:pPr>
        <w:tabs>
          <w:tab w:val="num" w:pos="216"/>
        </w:tabs>
        <w:ind w:left="216" w:hanging="216"/>
      </w:pPr>
      <w:rPr>
        <w:rFonts w:ascii="Arial" w:hAnsi="Arial" w:cs="Arial" w:hint="default"/>
        <w:b/>
        <w:i w:val="0"/>
        <w:color w:val="0060A9"/>
        <w:sz w:val="15"/>
        <w:u w:val="none"/>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2416A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7552717"/>
    <w:multiLevelType w:val="hybridMultilevel"/>
    <w:tmpl w:val="E136582A"/>
    <w:lvl w:ilvl="0" w:tplc="B2A84794">
      <w:start w:val="1"/>
      <w:numFmt w:val="bullet"/>
      <w:pStyle w:val="TableBullet2"/>
      <w:lvlText w:val=""/>
      <w:lvlJc w:val="left"/>
      <w:pPr>
        <w:tabs>
          <w:tab w:val="num" w:pos="397"/>
        </w:tabs>
        <w:ind w:left="397" w:hanging="198"/>
      </w:pPr>
      <w:rPr>
        <w:rFonts w:ascii="Wingdings" w:hAnsi="Wingdings" w:hint="default"/>
        <w:b w:val="0"/>
        <w:i w:val="0"/>
        <w:color w:val="8499A6"/>
        <w:sz w:val="16"/>
      </w:rPr>
    </w:lvl>
    <w:lvl w:ilvl="1" w:tplc="04090019" w:tentative="1">
      <w:start w:val="1"/>
      <w:numFmt w:val="bullet"/>
      <w:lvlText w:val="o"/>
      <w:lvlJc w:val="left"/>
      <w:pPr>
        <w:tabs>
          <w:tab w:val="num" w:pos="1656"/>
        </w:tabs>
        <w:ind w:left="1656" w:hanging="360"/>
      </w:pPr>
      <w:rPr>
        <w:rFonts w:ascii="Courier New" w:hAnsi="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5D29300D"/>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5EA53A05"/>
    <w:multiLevelType w:val="multilevel"/>
    <w:tmpl w:val="DE12FF56"/>
    <w:lvl w:ilvl="0">
      <w:start w:val="1"/>
      <w:numFmt w:val="decimal"/>
      <w:pStyle w:val="NumHead1"/>
      <w:lvlText w:val="%1."/>
      <w:lvlJc w:val="left"/>
      <w:pPr>
        <w:tabs>
          <w:tab w:val="num" w:pos="340"/>
        </w:tabs>
        <w:ind w:left="340" w:hanging="340"/>
      </w:pPr>
      <w:rPr>
        <w:rFonts w:ascii="Arial" w:hAnsi="Arial" w:hint="default"/>
        <w:b w:val="0"/>
        <w:i w:val="0"/>
        <w:color w:val="003263"/>
        <w:sz w:val="32"/>
      </w:rPr>
    </w:lvl>
    <w:lvl w:ilvl="1">
      <w:start w:val="1"/>
      <w:numFmt w:val="decimal"/>
      <w:pStyle w:val="NumHead2"/>
      <w:lvlText w:val="%1.%2."/>
      <w:lvlJc w:val="left"/>
      <w:pPr>
        <w:tabs>
          <w:tab w:val="num" w:pos="340"/>
        </w:tabs>
        <w:ind w:left="340" w:hanging="340"/>
      </w:pPr>
      <w:rPr>
        <w:rFonts w:ascii="Arial" w:hAnsi="Arial" w:hint="default"/>
        <w:b w:val="0"/>
        <w:i w:val="0"/>
        <w:color w:val="0060A9"/>
        <w:sz w:val="25"/>
      </w:rPr>
    </w:lvl>
    <w:lvl w:ilvl="2">
      <w:start w:val="1"/>
      <w:numFmt w:val="decimal"/>
      <w:pStyle w:val="NumHead3"/>
      <w:lvlText w:val="%1.%2.%3."/>
      <w:lvlJc w:val="left"/>
      <w:pPr>
        <w:tabs>
          <w:tab w:val="num" w:pos="1224"/>
        </w:tabs>
        <w:ind w:left="1224" w:hanging="1224"/>
      </w:pPr>
      <w:rPr>
        <w:rFonts w:ascii="Arial" w:hAnsi="Arial" w:hint="default"/>
        <w:b w:val="0"/>
        <w:i w:val="0"/>
        <w:color w:val="0060A9"/>
        <w:sz w:val="22"/>
        <w:u w:val="none"/>
      </w:rPr>
    </w:lvl>
    <w:lvl w:ilvl="3">
      <w:start w:val="1"/>
      <w:numFmt w:val="decimal"/>
      <w:pStyle w:val="NumHead4"/>
      <w:lvlText w:val="%1.%2.%3.%4."/>
      <w:lvlJc w:val="left"/>
      <w:pPr>
        <w:tabs>
          <w:tab w:val="num" w:pos="1728"/>
        </w:tabs>
        <w:ind w:left="1728" w:hanging="1728"/>
      </w:pPr>
      <w:rPr>
        <w:rFonts w:ascii="Arial" w:hAnsi="Arial" w:hint="default"/>
        <w:b w:val="0"/>
        <w:i w:val="0"/>
        <w:color w:val="0060A9"/>
        <w:sz w:val="21"/>
      </w:rPr>
    </w:lvl>
    <w:lvl w:ilvl="4">
      <w:start w:val="1"/>
      <w:numFmt w:val="decimal"/>
      <w:pStyle w:val="NumHead5"/>
      <w:lvlText w:val="%1.%2.%3.%4.%5."/>
      <w:lvlJc w:val="left"/>
      <w:pPr>
        <w:tabs>
          <w:tab w:val="num" w:pos="2232"/>
        </w:tabs>
        <w:ind w:left="2232" w:hanging="2232"/>
      </w:pPr>
      <w:rPr>
        <w:rFonts w:ascii="Arial" w:hAnsi="Arial" w:hint="default"/>
        <w:b w:val="0"/>
        <w:i w:val="0"/>
        <w:color w:val="0060A9"/>
        <w:sz w:val="20"/>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BE4149"/>
    <w:multiLevelType w:val="multilevel"/>
    <w:tmpl w:val="182CC5EC"/>
    <w:styleLink w:val="NumHeadListAppendix"/>
    <w:lvl w:ilvl="0">
      <w:start w:val="1"/>
      <w:numFmt w:val="upperRoman"/>
      <w:lvlText w:val="%1."/>
      <w:lvlJc w:val="left"/>
      <w:pPr>
        <w:tabs>
          <w:tab w:val="num" w:pos="1008"/>
        </w:tabs>
        <w:ind w:left="1008" w:hanging="1008"/>
      </w:pPr>
      <w:rPr>
        <w:rFonts w:ascii="Arial Bold" w:hAnsi="Arial Bold" w:hint="default"/>
        <w:b/>
        <w:i w:val="0"/>
        <w:vanish/>
        <w:color w:val="FF0000"/>
        <w:sz w:val="20"/>
        <w:szCs w:val="20"/>
      </w:rPr>
    </w:lvl>
    <w:lvl w:ilvl="1">
      <w:start w:val="1"/>
      <w:numFmt w:val="lowerLetter"/>
      <w:lvlText w:val="%1.%2."/>
      <w:lvlJc w:val="left"/>
      <w:pPr>
        <w:tabs>
          <w:tab w:val="num" w:pos="1008"/>
        </w:tabs>
        <w:ind w:left="1008" w:hanging="1008"/>
      </w:pPr>
      <w:rPr>
        <w:rFonts w:ascii="Arial Bold" w:hAnsi="Arial Bold" w:hint="default"/>
        <w:b/>
        <w:i w:val="0"/>
        <w:color w:val="auto"/>
        <w:sz w:val="20"/>
        <w:szCs w:val="20"/>
      </w:rPr>
    </w:lvl>
    <w:lvl w:ilvl="2">
      <w:start w:val="1"/>
      <w:numFmt w:val="lowerLetter"/>
      <w:lvlText w:val="%1.%2.%3."/>
      <w:lvlJc w:val="left"/>
      <w:pPr>
        <w:tabs>
          <w:tab w:val="num" w:pos="1008"/>
        </w:tabs>
        <w:ind w:left="1008" w:hanging="1008"/>
      </w:pPr>
      <w:rPr>
        <w:rFonts w:ascii="Arial Bold" w:hAnsi="Arial Bold" w:hint="default"/>
        <w:b/>
        <w:i w:val="0"/>
        <w:color w:val="auto"/>
        <w:sz w:val="20"/>
        <w:szCs w:val="20"/>
      </w:rPr>
    </w:lvl>
    <w:lvl w:ilvl="3">
      <w:start w:val="1"/>
      <w:numFmt w:val="lowerLetter"/>
      <w:lvlText w:val="%1.%2.%3.%4."/>
      <w:lvlJc w:val="left"/>
      <w:pPr>
        <w:tabs>
          <w:tab w:val="num" w:pos="1008"/>
        </w:tabs>
        <w:ind w:left="1008" w:hanging="1008"/>
      </w:pPr>
      <w:rPr>
        <w:rFonts w:ascii="Arial Bold" w:hAnsi="Arial Bold" w:hint="default"/>
        <w:b/>
        <w:i w:val="0"/>
        <w:color w:val="auto"/>
        <w:sz w:val="20"/>
        <w:szCs w:val="20"/>
      </w:rPr>
    </w:lvl>
    <w:lvl w:ilvl="4">
      <w:start w:val="1"/>
      <w:numFmt w:val="lowerLetter"/>
      <w:lvlText w:val="%1.%2.%3.%4.%5."/>
      <w:lvlJc w:val="left"/>
      <w:pPr>
        <w:tabs>
          <w:tab w:val="num" w:pos="1008"/>
        </w:tabs>
        <w:ind w:left="1008" w:hanging="1008"/>
      </w:pPr>
      <w:rPr>
        <w:rFonts w:ascii="Arial Bold" w:hAnsi="Arial Bold" w:hint="default"/>
        <w:b/>
        <w:i w:val="0"/>
        <w:color w:val="auto"/>
        <w:sz w:val="20"/>
        <w:szCs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0881325"/>
    <w:multiLevelType w:val="hybridMultilevel"/>
    <w:tmpl w:val="42E60554"/>
    <w:lvl w:ilvl="0" w:tplc="46AEE8B8">
      <w:start w:val="1"/>
      <w:numFmt w:val="lowerLetter"/>
      <w:pStyle w:val="Question3"/>
      <w:lvlText w:val="%1."/>
      <w:lvlJc w:val="left"/>
      <w:pPr>
        <w:tabs>
          <w:tab w:val="num" w:pos="360"/>
        </w:tabs>
        <w:ind w:left="360" w:hanging="360"/>
      </w:pPr>
      <w:rPr>
        <w:rFonts w:ascii="Verdana" w:hAnsi="Verdana" w:hint="default"/>
        <w:b/>
        <w:i w:val="0"/>
        <w:color w:val="0060A9"/>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8152E42"/>
    <w:multiLevelType w:val="hybridMultilevel"/>
    <w:tmpl w:val="4C282EF6"/>
    <w:lvl w:ilvl="0" w:tplc="85E065AC">
      <w:start w:val="1"/>
      <w:numFmt w:val="lowerLetter"/>
      <w:pStyle w:val="List2"/>
      <w:lvlText w:val="%1."/>
      <w:lvlJc w:val="left"/>
      <w:pPr>
        <w:tabs>
          <w:tab w:val="num" w:pos="680"/>
        </w:tabs>
        <w:ind w:left="680" w:hanging="340"/>
      </w:pPr>
      <w:rPr>
        <w:rFonts w:ascii="Arial Bold" w:hAnsi="Arial Bold" w:hint="default"/>
        <w:b/>
        <w:i w:val="0"/>
        <w:color w:val="0060A9"/>
        <w:sz w:val="16"/>
        <w:u w:val="none"/>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27" w15:restartNumberingAfterBreak="0">
    <w:nsid w:val="687408E2"/>
    <w:multiLevelType w:val="hybridMultilevel"/>
    <w:tmpl w:val="51AEDAC0"/>
    <w:lvl w:ilvl="0" w:tplc="B18CBFCA">
      <w:start w:val="1"/>
      <w:numFmt w:val="bullet"/>
      <w:pStyle w:val="ListBullet"/>
      <w:lvlText w:val=""/>
      <w:lvlJc w:val="left"/>
      <w:pPr>
        <w:tabs>
          <w:tab w:val="num" w:pos="340"/>
        </w:tabs>
        <w:ind w:left="340" w:hanging="340"/>
      </w:pPr>
      <w:rPr>
        <w:rFonts w:ascii="Wingdings" w:hAnsi="Wingdings" w:hint="default"/>
        <w:b w:val="0"/>
        <w:i w:val="0"/>
        <w:color w:val="0060A9"/>
        <w:w w:val="100"/>
        <w:sz w:val="20"/>
      </w:rPr>
    </w:lvl>
    <w:lvl w:ilvl="1" w:tplc="08090003">
      <w:start w:val="1"/>
      <w:numFmt w:val="bullet"/>
      <w:lvlText w:val="o"/>
      <w:lvlJc w:val="left"/>
      <w:pPr>
        <w:tabs>
          <w:tab w:val="num" w:pos="1224"/>
        </w:tabs>
        <w:ind w:left="1224" w:hanging="360"/>
      </w:pPr>
      <w:rPr>
        <w:rFonts w:ascii="Courier New" w:hAnsi="Courier New" w:cs="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cs="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cs="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781352F0"/>
    <w:multiLevelType w:val="hybridMultilevel"/>
    <w:tmpl w:val="AD10E762"/>
    <w:lvl w:ilvl="0" w:tplc="23FAA4B8">
      <w:start w:val="1"/>
      <w:numFmt w:val="bullet"/>
      <w:pStyle w:val="Question4"/>
      <w:lvlText w:val=""/>
      <w:lvlJc w:val="left"/>
      <w:pPr>
        <w:tabs>
          <w:tab w:val="num" w:pos="717"/>
        </w:tabs>
        <w:ind w:left="717" w:hanging="360"/>
      </w:pPr>
      <w:rPr>
        <w:rFonts w:ascii="Wingdings" w:hAnsi="Wingdings" w:hint="default"/>
        <w:b w:val="0"/>
        <w:i w:val="0"/>
        <w:color w:val="0060A9"/>
        <w:spacing w:val="0"/>
        <w:w w:val="100"/>
        <w:kern w:val="0"/>
        <w:position w:val="0"/>
        <w:sz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7D5FDF"/>
    <w:multiLevelType w:val="hybridMultilevel"/>
    <w:tmpl w:val="3864BCDA"/>
    <w:lvl w:ilvl="0" w:tplc="2848CCF6">
      <w:start w:val="1"/>
      <w:numFmt w:val="bullet"/>
      <w:pStyle w:val="TableBullet1"/>
      <w:lvlText w:val=""/>
      <w:lvlJc w:val="left"/>
      <w:pPr>
        <w:tabs>
          <w:tab w:val="num" w:pos="199"/>
        </w:tabs>
        <w:ind w:left="199" w:hanging="199"/>
      </w:pPr>
      <w:rPr>
        <w:rFonts w:ascii="Wingdings" w:hAnsi="Wingdings" w:hint="default"/>
        <w:b w:val="0"/>
        <w:i w:val="0"/>
        <w:color w:val="0060A9"/>
        <w:spacing w:val="0"/>
        <w:w w:val="100"/>
        <w:kern w:val="0"/>
        <w:position w:val="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7312510">
    <w:abstractNumId w:val="5"/>
  </w:num>
  <w:num w:numId="2" w16cid:durableId="852454433">
    <w:abstractNumId w:val="20"/>
  </w:num>
  <w:num w:numId="3" w16cid:durableId="566645358">
    <w:abstractNumId w:val="22"/>
  </w:num>
  <w:num w:numId="4" w16cid:durableId="1560744490">
    <w:abstractNumId w:val="13"/>
  </w:num>
  <w:num w:numId="5" w16cid:durableId="1339965497">
    <w:abstractNumId w:val="6"/>
  </w:num>
  <w:num w:numId="6" w16cid:durableId="1127940101">
    <w:abstractNumId w:val="26"/>
  </w:num>
  <w:num w:numId="7" w16cid:durableId="1757052199">
    <w:abstractNumId w:val="18"/>
  </w:num>
  <w:num w:numId="8" w16cid:durableId="1754928951">
    <w:abstractNumId w:val="14"/>
  </w:num>
  <w:num w:numId="9" w16cid:durableId="1535315163">
    <w:abstractNumId w:val="27"/>
  </w:num>
  <w:num w:numId="10" w16cid:durableId="467743230">
    <w:abstractNumId w:val="7"/>
  </w:num>
  <w:num w:numId="11" w16cid:durableId="1309743998">
    <w:abstractNumId w:val="12"/>
  </w:num>
  <w:num w:numId="12" w16cid:durableId="1266378007">
    <w:abstractNumId w:val="4"/>
  </w:num>
  <w:num w:numId="13" w16cid:durableId="800852164">
    <w:abstractNumId w:val="3"/>
  </w:num>
  <w:num w:numId="14" w16cid:durableId="1426344960">
    <w:abstractNumId w:val="9"/>
  </w:num>
  <w:num w:numId="15" w16cid:durableId="1433628472">
    <w:abstractNumId w:val="2"/>
  </w:num>
  <w:num w:numId="16" w16cid:durableId="1892493986">
    <w:abstractNumId w:val="1"/>
  </w:num>
  <w:num w:numId="17" w16cid:durableId="1138762159">
    <w:abstractNumId w:val="0"/>
  </w:num>
  <w:num w:numId="18" w16cid:durableId="190581992">
    <w:abstractNumId w:val="23"/>
  </w:num>
  <w:num w:numId="19" w16cid:durableId="577138269">
    <w:abstractNumId w:val="24"/>
  </w:num>
  <w:num w:numId="20" w16cid:durableId="363868840">
    <w:abstractNumId w:val="11"/>
    <w:lvlOverride w:ilvl="1">
      <w:lvl w:ilvl="1">
        <w:start w:val="1"/>
        <w:numFmt w:val="decimal"/>
        <w:isLgl/>
        <w:lvlText w:val="%1.%2."/>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tabs>
            <w:tab w:val="num" w:pos="1008"/>
          </w:tabs>
          <w:ind w:left="1008" w:hanging="1008"/>
        </w:pPr>
        <w:rPr>
          <w:rFonts w:ascii="Arial" w:hAnsi="Arial" w:hint="default"/>
          <w:b w:val="0"/>
          <w:i w:val="0"/>
          <w:color w:val="0060A9"/>
          <w:sz w:val="22"/>
          <w:szCs w:val="20"/>
        </w:rPr>
      </w:lvl>
    </w:lvlOverride>
    <w:lvlOverride w:ilvl="3">
      <w:lvl w:ilvl="3">
        <w:start w:val="1"/>
        <w:numFmt w:val="decimal"/>
        <w:isLgl/>
        <w:lvlText w:val="%1.%2.%3.%4."/>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isLgl/>
        <w:lvlText w:val="%1.%2.%3.%4.%5."/>
        <w:lvlJc w:val="left"/>
        <w:pPr>
          <w:tabs>
            <w:tab w:val="num" w:pos="1008"/>
          </w:tabs>
          <w:ind w:left="1008" w:hanging="1008"/>
        </w:pPr>
        <w:rPr>
          <w:rFonts w:ascii="Arial" w:hAnsi="Arial" w:hint="default"/>
          <w:color w:val="0060A9"/>
          <w:sz w:val="20"/>
          <w:szCs w:val="20"/>
        </w:rPr>
      </w:lvl>
    </w:lvlOverride>
  </w:num>
  <w:num w:numId="21" w16cid:durableId="1114445120">
    <w:abstractNumId w:val="16"/>
    <w:lvlOverride w:ilvl="0">
      <w:startOverride w:val="1"/>
    </w:lvlOverride>
  </w:num>
  <w:num w:numId="22" w16cid:durableId="579868872">
    <w:abstractNumId w:val="25"/>
    <w:lvlOverride w:ilvl="0">
      <w:startOverride w:val="1"/>
    </w:lvlOverride>
  </w:num>
  <w:num w:numId="23" w16cid:durableId="2054889922">
    <w:abstractNumId w:val="28"/>
  </w:num>
  <w:num w:numId="24" w16cid:durableId="647057666">
    <w:abstractNumId w:val="10"/>
  </w:num>
  <w:num w:numId="25" w16cid:durableId="2080127381">
    <w:abstractNumId w:val="29"/>
  </w:num>
  <w:num w:numId="26" w16cid:durableId="356465705">
    <w:abstractNumId w:val="21"/>
  </w:num>
  <w:num w:numId="27" w16cid:durableId="899249079">
    <w:abstractNumId w:val="15"/>
  </w:num>
  <w:num w:numId="28" w16cid:durableId="2040088058">
    <w:abstractNumId w:val="19"/>
  </w:num>
  <w:num w:numId="29" w16cid:durableId="1780565830">
    <w:abstractNumId w:val="11"/>
  </w:num>
  <w:num w:numId="30" w16cid:durableId="405763411">
    <w:abstractNumId w:val="17"/>
  </w:num>
  <w:num w:numId="31" w16cid:durableId="1614172259">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43"/>
  <w:noPunctuationKerning/>
  <w:characterSpacingControl w:val="doNotCompress"/>
  <w:hdrShapeDefaults>
    <o:shapedefaults v:ext="edit" spidmax="2050">
      <o:colormru v:ext="edit" colors="#eaeaea,#005daa,#13b5ea,#c9c1b8,#ebd722,#002b5c,black,#80818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ing" w:val="Deutsche Bank"/>
    <w:docVar w:name="CreatorVersion" w:val="3.0"/>
    <w:docVar w:name="DocType" w:val="Portrait Book"/>
    <w:docVar w:name="NewDoc" w:val="False"/>
  </w:docVars>
  <w:rsids>
    <w:rsidRoot w:val="008A4165"/>
    <w:rsid w:val="000007C4"/>
    <w:rsid w:val="00003C0C"/>
    <w:rsid w:val="00004213"/>
    <w:rsid w:val="000050E9"/>
    <w:rsid w:val="0000570B"/>
    <w:rsid w:val="00011066"/>
    <w:rsid w:val="000121EF"/>
    <w:rsid w:val="000122CD"/>
    <w:rsid w:val="00012B5F"/>
    <w:rsid w:val="00014743"/>
    <w:rsid w:val="0001642A"/>
    <w:rsid w:val="0001753A"/>
    <w:rsid w:val="000225AB"/>
    <w:rsid w:val="00022A0E"/>
    <w:rsid w:val="0002312F"/>
    <w:rsid w:val="0002317B"/>
    <w:rsid w:val="00023D60"/>
    <w:rsid w:val="000259C0"/>
    <w:rsid w:val="0002629E"/>
    <w:rsid w:val="000268D0"/>
    <w:rsid w:val="000310D5"/>
    <w:rsid w:val="00031D31"/>
    <w:rsid w:val="00032802"/>
    <w:rsid w:val="000366CF"/>
    <w:rsid w:val="00037870"/>
    <w:rsid w:val="000410ED"/>
    <w:rsid w:val="0004154E"/>
    <w:rsid w:val="00042048"/>
    <w:rsid w:val="00042A27"/>
    <w:rsid w:val="00043BAD"/>
    <w:rsid w:val="00044595"/>
    <w:rsid w:val="00045EDB"/>
    <w:rsid w:val="000526FE"/>
    <w:rsid w:val="00055935"/>
    <w:rsid w:val="00057E3B"/>
    <w:rsid w:val="00061671"/>
    <w:rsid w:val="0006318A"/>
    <w:rsid w:val="000632F5"/>
    <w:rsid w:val="000641A7"/>
    <w:rsid w:val="000646AC"/>
    <w:rsid w:val="00064A90"/>
    <w:rsid w:val="00067651"/>
    <w:rsid w:val="00071984"/>
    <w:rsid w:val="00077257"/>
    <w:rsid w:val="00077A21"/>
    <w:rsid w:val="00077BD4"/>
    <w:rsid w:val="00080654"/>
    <w:rsid w:val="00081CA6"/>
    <w:rsid w:val="0008352D"/>
    <w:rsid w:val="000839ED"/>
    <w:rsid w:val="00083BA5"/>
    <w:rsid w:val="00083DE3"/>
    <w:rsid w:val="00084C8A"/>
    <w:rsid w:val="00085AB8"/>
    <w:rsid w:val="00087308"/>
    <w:rsid w:val="000876FE"/>
    <w:rsid w:val="00094184"/>
    <w:rsid w:val="0009622C"/>
    <w:rsid w:val="00096C86"/>
    <w:rsid w:val="000A38F2"/>
    <w:rsid w:val="000A3F61"/>
    <w:rsid w:val="000B0E1D"/>
    <w:rsid w:val="000B291C"/>
    <w:rsid w:val="000B3D2C"/>
    <w:rsid w:val="000B50A9"/>
    <w:rsid w:val="000B5590"/>
    <w:rsid w:val="000B7A3E"/>
    <w:rsid w:val="000C57F6"/>
    <w:rsid w:val="000D0EBE"/>
    <w:rsid w:val="000D23AD"/>
    <w:rsid w:val="000D249A"/>
    <w:rsid w:val="000D29AB"/>
    <w:rsid w:val="000D7508"/>
    <w:rsid w:val="000D7DAE"/>
    <w:rsid w:val="000E20FA"/>
    <w:rsid w:val="000E2D2A"/>
    <w:rsid w:val="000E455F"/>
    <w:rsid w:val="000E47F9"/>
    <w:rsid w:val="000E6197"/>
    <w:rsid w:val="000F475F"/>
    <w:rsid w:val="000F486B"/>
    <w:rsid w:val="000F4C2C"/>
    <w:rsid w:val="000F4CCF"/>
    <w:rsid w:val="000F4FD3"/>
    <w:rsid w:val="001011AC"/>
    <w:rsid w:val="00105B09"/>
    <w:rsid w:val="001075C4"/>
    <w:rsid w:val="00107933"/>
    <w:rsid w:val="001104AE"/>
    <w:rsid w:val="00110932"/>
    <w:rsid w:val="00111831"/>
    <w:rsid w:val="00111CA8"/>
    <w:rsid w:val="00112CE6"/>
    <w:rsid w:val="0011412F"/>
    <w:rsid w:val="00115814"/>
    <w:rsid w:val="00116F21"/>
    <w:rsid w:val="00116FFF"/>
    <w:rsid w:val="001212D6"/>
    <w:rsid w:val="00122076"/>
    <w:rsid w:val="00123298"/>
    <w:rsid w:val="00124420"/>
    <w:rsid w:val="001248B8"/>
    <w:rsid w:val="001303DF"/>
    <w:rsid w:val="00130ADC"/>
    <w:rsid w:val="0013170B"/>
    <w:rsid w:val="00131FA0"/>
    <w:rsid w:val="001333E9"/>
    <w:rsid w:val="0013406E"/>
    <w:rsid w:val="00136AB8"/>
    <w:rsid w:val="001413C2"/>
    <w:rsid w:val="00141791"/>
    <w:rsid w:val="001438E4"/>
    <w:rsid w:val="00144A34"/>
    <w:rsid w:val="0014553D"/>
    <w:rsid w:val="00146229"/>
    <w:rsid w:val="00146EA2"/>
    <w:rsid w:val="00147E12"/>
    <w:rsid w:val="00150B66"/>
    <w:rsid w:val="00150F43"/>
    <w:rsid w:val="00152B5E"/>
    <w:rsid w:val="00153538"/>
    <w:rsid w:val="001543B6"/>
    <w:rsid w:val="00155280"/>
    <w:rsid w:val="00155323"/>
    <w:rsid w:val="00155D44"/>
    <w:rsid w:val="0015790E"/>
    <w:rsid w:val="00161CEE"/>
    <w:rsid w:val="00162219"/>
    <w:rsid w:val="00163B5B"/>
    <w:rsid w:val="001670F3"/>
    <w:rsid w:val="00170088"/>
    <w:rsid w:val="00171173"/>
    <w:rsid w:val="001725FE"/>
    <w:rsid w:val="00172E2E"/>
    <w:rsid w:val="00173806"/>
    <w:rsid w:val="00173B69"/>
    <w:rsid w:val="001748C7"/>
    <w:rsid w:val="00175434"/>
    <w:rsid w:val="001754CF"/>
    <w:rsid w:val="00176B4A"/>
    <w:rsid w:val="00181BC5"/>
    <w:rsid w:val="001833FF"/>
    <w:rsid w:val="001858D9"/>
    <w:rsid w:val="00185FA9"/>
    <w:rsid w:val="00187009"/>
    <w:rsid w:val="001875BF"/>
    <w:rsid w:val="001878FF"/>
    <w:rsid w:val="0019025A"/>
    <w:rsid w:val="00193527"/>
    <w:rsid w:val="0019791B"/>
    <w:rsid w:val="001A2D88"/>
    <w:rsid w:val="001A4C79"/>
    <w:rsid w:val="001A66C2"/>
    <w:rsid w:val="001B0846"/>
    <w:rsid w:val="001B2BEE"/>
    <w:rsid w:val="001B2DF8"/>
    <w:rsid w:val="001B788E"/>
    <w:rsid w:val="001C07E6"/>
    <w:rsid w:val="001C08D3"/>
    <w:rsid w:val="001C1B6D"/>
    <w:rsid w:val="001C256F"/>
    <w:rsid w:val="001C4478"/>
    <w:rsid w:val="001C746F"/>
    <w:rsid w:val="001D0A4F"/>
    <w:rsid w:val="001D0EB0"/>
    <w:rsid w:val="001D16D8"/>
    <w:rsid w:val="001D1FFE"/>
    <w:rsid w:val="001D2867"/>
    <w:rsid w:val="001D341D"/>
    <w:rsid w:val="001D6616"/>
    <w:rsid w:val="001D6A4C"/>
    <w:rsid w:val="001D6BB3"/>
    <w:rsid w:val="001E19C3"/>
    <w:rsid w:val="001E3270"/>
    <w:rsid w:val="001F5613"/>
    <w:rsid w:val="001F662F"/>
    <w:rsid w:val="001F6DA2"/>
    <w:rsid w:val="001F7CAA"/>
    <w:rsid w:val="00200F0F"/>
    <w:rsid w:val="00201273"/>
    <w:rsid w:val="00201CB6"/>
    <w:rsid w:val="002021F0"/>
    <w:rsid w:val="00203DF5"/>
    <w:rsid w:val="00210BF9"/>
    <w:rsid w:val="0021305B"/>
    <w:rsid w:val="00215D4B"/>
    <w:rsid w:val="00216056"/>
    <w:rsid w:val="00217A23"/>
    <w:rsid w:val="00220C0A"/>
    <w:rsid w:val="00221F0F"/>
    <w:rsid w:val="0022325A"/>
    <w:rsid w:val="00223F30"/>
    <w:rsid w:val="0022753D"/>
    <w:rsid w:val="00230536"/>
    <w:rsid w:val="002305AA"/>
    <w:rsid w:val="0023351A"/>
    <w:rsid w:val="00233AA1"/>
    <w:rsid w:val="0023470B"/>
    <w:rsid w:val="00234717"/>
    <w:rsid w:val="002430B9"/>
    <w:rsid w:val="00252325"/>
    <w:rsid w:val="00253517"/>
    <w:rsid w:val="00253632"/>
    <w:rsid w:val="00255C13"/>
    <w:rsid w:val="00256495"/>
    <w:rsid w:val="002643AB"/>
    <w:rsid w:val="002648CF"/>
    <w:rsid w:val="0026619A"/>
    <w:rsid w:val="00266C64"/>
    <w:rsid w:val="00267F35"/>
    <w:rsid w:val="0027070B"/>
    <w:rsid w:val="00273260"/>
    <w:rsid w:val="00274797"/>
    <w:rsid w:val="00276825"/>
    <w:rsid w:val="00280B20"/>
    <w:rsid w:val="00283865"/>
    <w:rsid w:val="00284A35"/>
    <w:rsid w:val="00285286"/>
    <w:rsid w:val="002877E7"/>
    <w:rsid w:val="002944A8"/>
    <w:rsid w:val="002A5950"/>
    <w:rsid w:val="002A5A99"/>
    <w:rsid w:val="002A785B"/>
    <w:rsid w:val="002A7E00"/>
    <w:rsid w:val="002B098C"/>
    <w:rsid w:val="002B1128"/>
    <w:rsid w:val="002B1887"/>
    <w:rsid w:val="002B311B"/>
    <w:rsid w:val="002B36E1"/>
    <w:rsid w:val="002B5ADC"/>
    <w:rsid w:val="002B6824"/>
    <w:rsid w:val="002C03B4"/>
    <w:rsid w:val="002C1C26"/>
    <w:rsid w:val="002C3FA6"/>
    <w:rsid w:val="002C4A09"/>
    <w:rsid w:val="002D2DF3"/>
    <w:rsid w:val="002D427C"/>
    <w:rsid w:val="002D5DB2"/>
    <w:rsid w:val="002D5DD6"/>
    <w:rsid w:val="002D6110"/>
    <w:rsid w:val="002D6246"/>
    <w:rsid w:val="002D6DE6"/>
    <w:rsid w:val="002D7C30"/>
    <w:rsid w:val="002E0D36"/>
    <w:rsid w:val="002E1696"/>
    <w:rsid w:val="002E2274"/>
    <w:rsid w:val="002E3544"/>
    <w:rsid w:val="002E7028"/>
    <w:rsid w:val="002F1594"/>
    <w:rsid w:val="002F2D08"/>
    <w:rsid w:val="002F3E27"/>
    <w:rsid w:val="003000B1"/>
    <w:rsid w:val="00300DBA"/>
    <w:rsid w:val="00301EA4"/>
    <w:rsid w:val="00302C35"/>
    <w:rsid w:val="00306043"/>
    <w:rsid w:val="00306D73"/>
    <w:rsid w:val="003073DA"/>
    <w:rsid w:val="0030752F"/>
    <w:rsid w:val="00310237"/>
    <w:rsid w:val="003109CF"/>
    <w:rsid w:val="0031609F"/>
    <w:rsid w:val="003172E1"/>
    <w:rsid w:val="00320C34"/>
    <w:rsid w:val="00321100"/>
    <w:rsid w:val="00323A87"/>
    <w:rsid w:val="00324579"/>
    <w:rsid w:val="00324987"/>
    <w:rsid w:val="00324EB1"/>
    <w:rsid w:val="00325FEC"/>
    <w:rsid w:val="003278BD"/>
    <w:rsid w:val="00330CAF"/>
    <w:rsid w:val="0033128B"/>
    <w:rsid w:val="00333BFF"/>
    <w:rsid w:val="00335705"/>
    <w:rsid w:val="003359F8"/>
    <w:rsid w:val="0034095B"/>
    <w:rsid w:val="00340D0B"/>
    <w:rsid w:val="00342129"/>
    <w:rsid w:val="003437F4"/>
    <w:rsid w:val="00344BD9"/>
    <w:rsid w:val="003475B3"/>
    <w:rsid w:val="003476D5"/>
    <w:rsid w:val="00350012"/>
    <w:rsid w:val="00350945"/>
    <w:rsid w:val="00351746"/>
    <w:rsid w:val="00352E52"/>
    <w:rsid w:val="00353E9C"/>
    <w:rsid w:val="003545BE"/>
    <w:rsid w:val="00356FEA"/>
    <w:rsid w:val="00360193"/>
    <w:rsid w:val="00362288"/>
    <w:rsid w:val="003631C7"/>
    <w:rsid w:val="0036385B"/>
    <w:rsid w:val="00363F17"/>
    <w:rsid w:val="00365FE0"/>
    <w:rsid w:val="003678E8"/>
    <w:rsid w:val="00370F3C"/>
    <w:rsid w:val="00372480"/>
    <w:rsid w:val="00377163"/>
    <w:rsid w:val="003773CE"/>
    <w:rsid w:val="00380ABE"/>
    <w:rsid w:val="003820F3"/>
    <w:rsid w:val="00382176"/>
    <w:rsid w:val="00384D68"/>
    <w:rsid w:val="003856F0"/>
    <w:rsid w:val="00385A2B"/>
    <w:rsid w:val="0039086D"/>
    <w:rsid w:val="0039100E"/>
    <w:rsid w:val="0039392B"/>
    <w:rsid w:val="0039548C"/>
    <w:rsid w:val="003954E7"/>
    <w:rsid w:val="00395A9D"/>
    <w:rsid w:val="0039607A"/>
    <w:rsid w:val="0039620E"/>
    <w:rsid w:val="0039777B"/>
    <w:rsid w:val="003A0C05"/>
    <w:rsid w:val="003A5CEA"/>
    <w:rsid w:val="003A6BD8"/>
    <w:rsid w:val="003A6F41"/>
    <w:rsid w:val="003B02B4"/>
    <w:rsid w:val="003B09E2"/>
    <w:rsid w:val="003B3702"/>
    <w:rsid w:val="003B5125"/>
    <w:rsid w:val="003B52F0"/>
    <w:rsid w:val="003C0E6B"/>
    <w:rsid w:val="003C29F9"/>
    <w:rsid w:val="003C2C66"/>
    <w:rsid w:val="003C341E"/>
    <w:rsid w:val="003C38A3"/>
    <w:rsid w:val="003C3B70"/>
    <w:rsid w:val="003C3E74"/>
    <w:rsid w:val="003C5DDA"/>
    <w:rsid w:val="003C6125"/>
    <w:rsid w:val="003C613D"/>
    <w:rsid w:val="003C62A8"/>
    <w:rsid w:val="003C6FB6"/>
    <w:rsid w:val="003C6FC0"/>
    <w:rsid w:val="003D655B"/>
    <w:rsid w:val="003D6788"/>
    <w:rsid w:val="003D7033"/>
    <w:rsid w:val="003E5470"/>
    <w:rsid w:val="003E7BD3"/>
    <w:rsid w:val="003E7F01"/>
    <w:rsid w:val="003F017A"/>
    <w:rsid w:val="003F1AAB"/>
    <w:rsid w:val="003F2417"/>
    <w:rsid w:val="003F26A8"/>
    <w:rsid w:val="003F3180"/>
    <w:rsid w:val="003F495B"/>
    <w:rsid w:val="003F7470"/>
    <w:rsid w:val="00404911"/>
    <w:rsid w:val="00404D36"/>
    <w:rsid w:val="00405562"/>
    <w:rsid w:val="00406975"/>
    <w:rsid w:val="004111C6"/>
    <w:rsid w:val="004114D6"/>
    <w:rsid w:val="0041335F"/>
    <w:rsid w:val="00413E83"/>
    <w:rsid w:val="004140B2"/>
    <w:rsid w:val="00415D02"/>
    <w:rsid w:val="00415F69"/>
    <w:rsid w:val="00417450"/>
    <w:rsid w:val="00420AB0"/>
    <w:rsid w:val="00431C35"/>
    <w:rsid w:val="00433309"/>
    <w:rsid w:val="00433503"/>
    <w:rsid w:val="00437D11"/>
    <w:rsid w:val="004402DE"/>
    <w:rsid w:val="0044561F"/>
    <w:rsid w:val="00446787"/>
    <w:rsid w:val="00447CE7"/>
    <w:rsid w:val="00453018"/>
    <w:rsid w:val="00454742"/>
    <w:rsid w:val="00455DDE"/>
    <w:rsid w:val="004572B8"/>
    <w:rsid w:val="0045770D"/>
    <w:rsid w:val="00460478"/>
    <w:rsid w:val="00463FEC"/>
    <w:rsid w:val="0046488A"/>
    <w:rsid w:val="00464C4C"/>
    <w:rsid w:val="00465DD3"/>
    <w:rsid w:val="00466A0C"/>
    <w:rsid w:val="00466FB5"/>
    <w:rsid w:val="004670CE"/>
    <w:rsid w:val="00472A45"/>
    <w:rsid w:val="00472F15"/>
    <w:rsid w:val="004764E9"/>
    <w:rsid w:val="0047767C"/>
    <w:rsid w:val="00481A6D"/>
    <w:rsid w:val="00482C6E"/>
    <w:rsid w:val="00486AD0"/>
    <w:rsid w:val="00490D4A"/>
    <w:rsid w:val="00490D7A"/>
    <w:rsid w:val="00491FA5"/>
    <w:rsid w:val="004938AF"/>
    <w:rsid w:val="00494966"/>
    <w:rsid w:val="00494BDE"/>
    <w:rsid w:val="00496B6C"/>
    <w:rsid w:val="0049775F"/>
    <w:rsid w:val="004A0891"/>
    <w:rsid w:val="004A0A0A"/>
    <w:rsid w:val="004A21A3"/>
    <w:rsid w:val="004A2B98"/>
    <w:rsid w:val="004A3343"/>
    <w:rsid w:val="004A355D"/>
    <w:rsid w:val="004A397C"/>
    <w:rsid w:val="004A5D16"/>
    <w:rsid w:val="004A6AB5"/>
    <w:rsid w:val="004A78BD"/>
    <w:rsid w:val="004B0E58"/>
    <w:rsid w:val="004B2E02"/>
    <w:rsid w:val="004B4FF3"/>
    <w:rsid w:val="004B51A4"/>
    <w:rsid w:val="004B5B0C"/>
    <w:rsid w:val="004B6A18"/>
    <w:rsid w:val="004B78AF"/>
    <w:rsid w:val="004C20F3"/>
    <w:rsid w:val="004C3E47"/>
    <w:rsid w:val="004C7CB8"/>
    <w:rsid w:val="004D2DE5"/>
    <w:rsid w:val="004D647B"/>
    <w:rsid w:val="004D7881"/>
    <w:rsid w:val="004D7ECE"/>
    <w:rsid w:val="004E0B1D"/>
    <w:rsid w:val="004E2AF6"/>
    <w:rsid w:val="004E4536"/>
    <w:rsid w:val="004E6360"/>
    <w:rsid w:val="004E78F3"/>
    <w:rsid w:val="004E7FCB"/>
    <w:rsid w:val="004F0DC9"/>
    <w:rsid w:val="004F0E14"/>
    <w:rsid w:val="004F1175"/>
    <w:rsid w:val="004F26FC"/>
    <w:rsid w:val="004F28CE"/>
    <w:rsid w:val="004F2A8D"/>
    <w:rsid w:val="004F2B69"/>
    <w:rsid w:val="004F38E1"/>
    <w:rsid w:val="004F3B64"/>
    <w:rsid w:val="004F494C"/>
    <w:rsid w:val="004F5306"/>
    <w:rsid w:val="004F6715"/>
    <w:rsid w:val="004F69A5"/>
    <w:rsid w:val="004F69BC"/>
    <w:rsid w:val="00504A3B"/>
    <w:rsid w:val="00504FE7"/>
    <w:rsid w:val="00505960"/>
    <w:rsid w:val="00506819"/>
    <w:rsid w:val="00511491"/>
    <w:rsid w:val="00511CE6"/>
    <w:rsid w:val="0051240C"/>
    <w:rsid w:val="00512586"/>
    <w:rsid w:val="00513209"/>
    <w:rsid w:val="00517244"/>
    <w:rsid w:val="00526FA5"/>
    <w:rsid w:val="00527FEC"/>
    <w:rsid w:val="005310E3"/>
    <w:rsid w:val="005346AD"/>
    <w:rsid w:val="00534856"/>
    <w:rsid w:val="00535DC7"/>
    <w:rsid w:val="00535FB1"/>
    <w:rsid w:val="00541410"/>
    <w:rsid w:val="00542623"/>
    <w:rsid w:val="00542C59"/>
    <w:rsid w:val="00542D94"/>
    <w:rsid w:val="00544D0E"/>
    <w:rsid w:val="00545040"/>
    <w:rsid w:val="00545B49"/>
    <w:rsid w:val="00547AB8"/>
    <w:rsid w:val="00547CD5"/>
    <w:rsid w:val="00552AA8"/>
    <w:rsid w:val="00552C09"/>
    <w:rsid w:val="005532E9"/>
    <w:rsid w:val="0055606D"/>
    <w:rsid w:val="00560E73"/>
    <w:rsid w:val="00563BB8"/>
    <w:rsid w:val="005657B7"/>
    <w:rsid w:val="005676DA"/>
    <w:rsid w:val="005703DC"/>
    <w:rsid w:val="005713DB"/>
    <w:rsid w:val="00572E80"/>
    <w:rsid w:val="00575479"/>
    <w:rsid w:val="00580A72"/>
    <w:rsid w:val="0058109D"/>
    <w:rsid w:val="0058171E"/>
    <w:rsid w:val="00581F91"/>
    <w:rsid w:val="00582191"/>
    <w:rsid w:val="0058407E"/>
    <w:rsid w:val="00586BB8"/>
    <w:rsid w:val="005943CC"/>
    <w:rsid w:val="00595CB1"/>
    <w:rsid w:val="00595DE4"/>
    <w:rsid w:val="005A03C8"/>
    <w:rsid w:val="005A06A4"/>
    <w:rsid w:val="005A2001"/>
    <w:rsid w:val="005A5883"/>
    <w:rsid w:val="005A5E69"/>
    <w:rsid w:val="005A7071"/>
    <w:rsid w:val="005A74F1"/>
    <w:rsid w:val="005B0008"/>
    <w:rsid w:val="005B062D"/>
    <w:rsid w:val="005B149C"/>
    <w:rsid w:val="005B2F0F"/>
    <w:rsid w:val="005B48C6"/>
    <w:rsid w:val="005B4B43"/>
    <w:rsid w:val="005B6AB4"/>
    <w:rsid w:val="005C222E"/>
    <w:rsid w:val="005C23D1"/>
    <w:rsid w:val="005C2B1C"/>
    <w:rsid w:val="005C2D5B"/>
    <w:rsid w:val="005C2F53"/>
    <w:rsid w:val="005C4306"/>
    <w:rsid w:val="005C524E"/>
    <w:rsid w:val="005C755C"/>
    <w:rsid w:val="005C7EB9"/>
    <w:rsid w:val="005D0C61"/>
    <w:rsid w:val="005D5E1E"/>
    <w:rsid w:val="005D64E0"/>
    <w:rsid w:val="005E112C"/>
    <w:rsid w:val="005E12C5"/>
    <w:rsid w:val="005E212D"/>
    <w:rsid w:val="005E31A3"/>
    <w:rsid w:val="005E46DB"/>
    <w:rsid w:val="005E5DA1"/>
    <w:rsid w:val="005F3E4A"/>
    <w:rsid w:val="005F561E"/>
    <w:rsid w:val="005F605E"/>
    <w:rsid w:val="005F7D49"/>
    <w:rsid w:val="0060050C"/>
    <w:rsid w:val="00600952"/>
    <w:rsid w:val="00600D23"/>
    <w:rsid w:val="00601890"/>
    <w:rsid w:val="00603703"/>
    <w:rsid w:val="00604540"/>
    <w:rsid w:val="00604E08"/>
    <w:rsid w:val="006057F9"/>
    <w:rsid w:val="00610C21"/>
    <w:rsid w:val="0061233C"/>
    <w:rsid w:val="00613DA1"/>
    <w:rsid w:val="0061515B"/>
    <w:rsid w:val="00616258"/>
    <w:rsid w:val="00621D43"/>
    <w:rsid w:val="00624C2E"/>
    <w:rsid w:val="006261A5"/>
    <w:rsid w:val="0062670D"/>
    <w:rsid w:val="0063557E"/>
    <w:rsid w:val="0064025C"/>
    <w:rsid w:val="00641837"/>
    <w:rsid w:val="0064314A"/>
    <w:rsid w:val="00643FE6"/>
    <w:rsid w:val="00644C10"/>
    <w:rsid w:val="006463E5"/>
    <w:rsid w:val="006466E2"/>
    <w:rsid w:val="00647F9D"/>
    <w:rsid w:val="00650E32"/>
    <w:rsid w:val="00650FC8"/>
    <w:rsid w:val="00652C41"/>
    <w:rsid w:val="00653CBB"/>
    <w:rsid w:val="00653F82"/>
    <w:rsid w:val="006545F5"/>
    <w:rsid w:val="00654C18"/>
    <w:rsid w:val="00654DE7"/>
    <w:rsid w:val="0065561B"/>
    <w:rsid w:val="006602B9"/>
    <w:rsid w:val="00662F3A"/>
    <w:rsid w:val="0066417F"/>
    <w:rsid w:val="00665740"/>
    <w:rsid w:val="006660B9"/>
    <w:rsid w:val="006671E2"/>
    <w:rsid w:val="00670A11"/>
    <w:rsid w:val="006715B1"/>
    <w:rsid w:val="00671C0D"/>
    <w:rsid w:val="0067230D"/>
    <w:rsid w:val="00677137"/>
    <w:rsid w:val="00680D37"/>
    <w:rsid w:val="00681600"/>
    <w:rsid w:val="00681FFA"/>
    <w:rsid w:val="0068345C"/>
    <w:rsid w:val="00685363"/>
    <w:rsid w:val="006853A5"/>
    <w:rsid w:val="00685813"/>
    <w:rsid w:val="00685FCF"/>
    <w:rsid w:val="0069103C"/>
    <w:rsid w:val="0069104E"/>
    <w:rsid w:val="00691E10"/>
    <w:rsid w:val="00693041"/>
    <w:rsid w:val="00693558"/>
    <w:rsid w:val="006941CE"/>
    <w:rsid w:val="006947E6"/>
    <w:rsid w:val="00695D4A"/>
    <w:rsid w:val="00696384"/>
    <w:rsid w:val="00696B9B"/>
    <w:rsid w:val="006A3E15"/>
    <w:rsid w:val="006A3FB6"/>
    <w:rsid w:val="006A5BA0"/>
    <w:rsid w:val="006A6A3F"/>
    <w:rsid w:val="006A6A98"/>
    <w:rsid w:val="006A7267"/>
    <w:rsid w:val="006B0B1F"/>
    <w:rsid w:val="006B0D6F"/>
    <w:rsid w:val="006B2528"/>
    <w:rsid w:val="006B3F60"/>
    <w:rsid w:val="006B77D4"/>
    <w:rsid w:val="006C2C10"/>
    <w:rsid w:val="006C5A62"/>
    <w:rsid w:val="006D1CC2"/>
    <w:rsid w:val="006D264B"/>
    <w:rsid w:val="006D2BB4"/>
    <w:rsid w:val="006D31DB"/>
    <w:rsid w:val="006D3781"/>
    <w:rsid w:val="006D4774"/>
    <w:rsid w:val="006D5774"/>
    <w:rsid w:val="006D586B"/>
    <w:rsid w:val="006E1D84"/>
    <w:rsid w:val="006E2B0C"/>
    <w:rsid w:val="006E3ABD"/>
    <w:rsid w:val="006E51A6"/>
    <w:rsid w:val="006E57D1"/>
    <w:rsid w:val="006E5A68"/>
    <w:rsid w:val="006F0FD0"/>
    <w:rsid w:val="006F4066"/>
    <w:rsid w:val="006F77AE"/>
    <w:rsid w:val="00701C19"/>
    <w:rsid w:val="007021EC"/>
    <w:rsid w:val="007044C6"/>
    <w:rsid w:val="0070459C"/>
    <w:rsid w:val="00712431"/>
    <w:rsid w:val="00712849"/>
    <w:rsid w:val="00714631"/>
    <w:rsid w:val="007162C2"/>
    <w:rsid w:val="0071638E"/>
    <w:rsid w:val="00720B4B"/>
    <w:rsid w:val="00721BAA"/>
    <w:rsid w:val="0072263F"/>
    <w:rsid w:val="00722882"/>
    <w:rsid w:val="00726827"/>
    <w:rsid w:val="00730C0C"/>
    <w:rsid w:val="00730CE8"/>
    <w:rsid w:val="00731D21"/>
    <w:rsid w:val="00732334"/>
    <w:rsid w:val="0074061E"/>
    <w:rsid w:val="00740D78"/>
    <w:rsid w:val="00741FF9"/>
    <w:rsid w:val="0074494C"/>
    <w:rsid w:val="00751421"/>
    <w:rsid w:val="0075447D"/>
    <w:rsid w:val="00755239"/>
    <w:rsid w:val="00756E9D"/>
    <w:rsid w:val="00757664"/>
    <w:rsid w:val="0076075E"/>
    <w:rsid w:val="007618EC"/>
    <w:rsid w:val="00764716"/>
    <w:rsid w:val="00767554"/>
    <w:rsid w:val="00770353"/>
    <w:rsid w:val="00771504"/>
    <w:rsid w:val="007718E6"/>
    <w:rsid w:val="007735A6"/>
    <w:rsid w:val="00773C72"/>
    <w:rsid w:val="00774093"/>
    <w:rsid w:val="0077467D"/>
    <w:rsid w:val="007812C9"/>
    <w:rsid w:val="0078211E"/>
    <w:rsid w:val="007868DB"/>
    <w:rsid w:val="007907BD"/>
    <w:rsid w:val="00791655"/>
    <w:rsid w:val="007953F5"/>
    <w:rsid w:val="007A0165"/>
    <w:rsid w:val="007A03DC"/>
    <w:rsid w:val="007A16B3"/>
    <w:rsid w:val="007A1DF8"/>
    <w:rsid w:val="007A4905"/>
    <w:rsid w:val="007A6749"/>
    <w:rsid w:val="007A6C23"/>
    <w:rsid w:val="007A6D01"/>
    <w:rsid w:val="007B04E9"/>
    <w:rsid w:val="007B14F0"/>
    <w:rsid w:val="007B3B2B"/>
    <w:rsid w:val="007B58E6"/>
    <w:rsid w:val="007B5F79"/>
    <w:rsid w:val="007B6B4A"/>
    <w:rsid w:val="007C1773"/>
    <w:rsid w:val="007C1A48"/>
    <w:rsid w:val="007C30CD"/>
    <w:rsid w:val="007C38E4"/>
    <w:rsid w:val="007C4083"/>
    <w:rsid w:val="007C464D"/>
    <w:rsid w:val="007C509F"/>
    <w:rsid w:val="007C50FA"/>
    <w:rsid w:val="007C5BC1"/>
    <w:rsid w:val="007C77AD"/>
    <w:rsid w:val="007C7C6E"/>
    <w:rsid w:val="007D20EF"/>
    <w:rsid w:val="007D2BEE"/>
    <w:rsid w:val="007D3637"/>
    <w:rsid w:val="007D38D9"/>
    <w:rsid w:val="007D3CA1"/>
    <w:rsid w:val="007D5B36"/>
    <w:rsid w:val="007D7724"/>
    <w:rsid w:val="007D7FB6"/>
    <w:rsid w:val="007E1D0B"/>
    <w:rsid w:val="007E20F8"/>
    <w:rsid w:val="007E535B"/>
    <w:rsid w:val="007E6046"/>
    <w:rsid w:val="007E6319"/>
    <w:rsid w:val="007F29A8"/>
    <w:rsid w:val="007F2B8B"/>
    <w:rsid w:val="007F2C43"/>
    <w:rsid w:val="007F47F4"/>
    <w:rsid w:val="007F6283"/>
    <w:rsid w:val="007F659A"/>
    <w:rsid w:val="007F77FA"/>
    <w:rsid w:val="008005A0"/>
    <w:rsid w:val="008013EF"/>
    <w:rsid w:val="008027C9"/>
    <w:rsid w:val="00802FE3"/>
    <w:rsid w:val="00803B42"/>
    <w:rsid w:val="00805DF1"/>
    <w:rsid w:val="00806F52"/>
    <w:rsid w:val="008073D8"/>
    <w:rsid w:val="008074AE"/>
    <w:rsid w:val="008109FB"/>
    <w:rsid w:val="008113FC"/>
    <w:rsid w:val="00811650"/>
    <w:rsid w:val="00815AC0"/>
    <w:rsid w:val="00816E12"/>
    <w:rsid w:val="0082292A"/>
    <w:rsid w:val="008229B6"/>
    <w:rsid w:val="00825014"/>
    <w:rsid w:val="008279A8"/>
    <w:rsid w:val="00836463"/>
    <w:rsid w:val="008406BA"/>
    <w:rsid w:val="008439C9"/>
    <w:rsid w:val="00844660"/>
    <w:rsid w:val="008452C9"/>
    <w:rsid w:val="00851358"/>
    <w:rsid w:val="00851A1B"/>
    <w:rsid w:val="008531F1"/>
    <w:rsid w:val="008543C9"/>
    <w:rsid w:val="008549AC"/>
    <w:rsid w:val="0086033D"/>
    <w:rsid w:val="00860ABB"/>
    <w:rsid w:val="00861385"/>
    <w:rsid w:val="008616B8"/>
    <w:rsid w:val="00861979"/>
    <w:rsid w:val="0086202E"/>
    <w:rsid w:val="00863067"/>
    <w:rsid w:val="008653E7"/>
    <w:rsid w:val="00865456"/>
    <w:rsid w:val="00866041"/>
    <w:rsid w:val="0086671C"/>
    <w:rsid w:val="00867682"/>
    <w:rsid w:val="00870A3F"/>
    <w:rsid w:val="00873800"/>
    <w:rsid w:val="0087409F"/>
    <w:rsid w:val="0087670B"/>
    <w:rsid w:val="008819D5"/>
    <w:rsid w:val="00883BD7"/>
    <w:rsid w:val="008850E6"/>
    <w:rsid w:val="00887BA1"/>
    <w:rsid w:val="00887EF9"/>
    <w:rsid w:val="0089356B"/>
    <w:rsid w:val="00894EF6"/>
    <w:rsid w:val="008959DC"/>
    <w:rsid w:val="00895CBE"/>
    <w:rsid w:val="008A0B26"/>
    <w:rsid w:val="008A0F78"/>
    <w:rsid w:val="008A11AE"/>
    <w:rsid w:val="008A22C1"/>
    <w:rsid w:val="008A4165"/>
    <w:rsid w:val="008A7681"/>
    <w:rsid w:val="008B229C"/>
    <w:rsid w:val="008B5885"/>
    <w:rsid w:val="008B6F94"/>
    <w:rsid w:val="008C02F5"/>
    <w:rsid w:val="008C1C38"/>
    <w:rsid w:val="008C3509"/>
    <w:rsid w:val="008C3C07"/>
    <w:rsid w:val="008C4F58"/>
    <w:rsid w:val="008D365B"/>
    <w:rsid w:val="008D4B40"/>
    <w:rsid w:val="008D4BA5"/>
    <w:rsid w:val="008D4DCB"/>
    <w:rsid w:val="008D5AB8"/>
    <w:rsid w:val="008E11FC"/>
    <w:rsid w:val="008E2BFC"/>
    <w:rsid w:val="008E4080"/>
    <w:rsid w:val="008E7CA9"/>
    <w:rsid w:val="008E7E3B"/>
    <w:rsid w:val="008F112C"/>
    <w:rsid w:val="008F37C0"/>
    <w:rsid w:val="008F5C71"/>
    <w:rsid w:val="008F7073"/>
    <w:rsid w:val="008F73B1"/>
    <w:rsid w:val="008F7CDD"/>
    <w:rsid w:val="00901225"/>
    <w:rsid w:val="00902619"/>
    <w:rsid w:val="00902660"/>
    <w:rsid w:val="00903CC4"/>
    <w:rsid w:val="00903E3C"/>
    <w:rsid w:val="0090546E"/>
    <w:rsid w:val="00907565"/>
    <w:rsid w:val="00910D7D"/>
    <w:rsid w:val="00912587"/>
    <w:rsid w:val="009150DD"/>
    <w:rsid w:val="0091687F"/>
    <w:rsid w:val="0091694C"/>
    <w:rsid w:val="0091755C"/>
    <w:rsid w:val="009206DC"/>
    <w:rsid w:val="009211C3"/>
    <w:rsid w:val="009222A9"/>
    <w:rsid w:val="00924C2D"/>
    <w:rsid w:val="0093393C"/>
    <w:rsid w:val="00933E25"/>
    <w:rsid w:val="0093431D"/>
    <w:rsid w:val="00934472"/>
    <w:rsid w:val="009357F1"/>
    <w:rsid w:val="00935CDD"/>
    <w:rsid w:val="00941845"/>
    <w:rsid w:val="00941F20"/>
    <w:rsid w:val="009430EA"/>
    <w:rsid w:val="0094391A"/>
    <w:rsid w:val="00945323"/>
    <w:rsid w:val="00945424"/>
    <w:rsid w:val="00945B6B"/>
    <w:rsid w:val="00947795"/>
    <w:rsid w:val="00950A54"/>
    <w:rsid w:val="00951FB8"/>
    <w:rsid w:val="00954E9C"/>
    <w:rsid w:val="00956115"/>
    <w:rsid w:val="009562AA"/>
    <w:rsid w:val="0096098D"/>
    <w:rsid w:val="009614F8"/>
    <w:rsid w:val="009644C1"/>
    <w:rsid w:val="00967555"/>
    <w:rsid w:val="0097011E"/>
    <w:rsid w:val="00970A82"/>
    <w:rsid w:val="009739E5"/>
    <w:rsid w:val="00974A57"/>
    <w:rsid w:val="00975F54"/>
    <w:rsid w:val="009777A9"/>
    <w:rsid w:val="00980391"/>
    <w:rsid w:val="00981B90"/>
    <w:rsid w:val="00981F04"/>
    <w:rsid w:val="00982326"/>
    <w:rsid w:val="00982A23"/>
    <w:rsid w:val="00982BE4"/>
    <w:rsid w:val="00986D3E"/>
    <w:rsid w:val="00987B2F"/>
    <w:rsid w:val="00992314"/>
    <w:rsid w:val="00993DBB"/>
    <w:rsid w:val="00994D7C"/>
    <w:rsid w:val="0099586A"/>
    <w:rsid w:val="00995CD6"/>
    <w:rsid w:val="00996821"/>
    <w:rsid w:val="009A1308"/>
    <w:rsid w:val="009A1C4D"/>
    <w:rsid w:val="009A29A5"/>
    <w:rsid w:val="009A3661"/>
    <w:rsid w:val="009A3EA8"/>
    <w:rsid w:val="009A4123"/>
    <w:rsid w:val="009A565E"/>
    <w:rsid w:val="009A650B"/>
    <w:rsid w:val="009A7380"/>
    <w:rsid w:val="009A7B37"/>
    <w:rsid w:val="009B03BA"/>
    <w:rsid w:val="009B18F0"/>
    <w:rsid w:val="009B2A0A"/>
    <w:rsid w:val="009B2C59"/>
    <w:rsid w:val="009B391E"/>
    <w:rsid w:val="009B4987"/>
    <w:rsid w:val="009B5848"/>
    <w:rsid w:val="009B5B88"/>
    <w:rsid w:val="009B5CF4"/>
    <w:rsid w:val="009C0B58"/>
    <w:rsid w:val="009C517B"/>
    <w:rsid w:val="009C5A50"/>
    <w:rsid w:val="009C5B80"/>
    <w:rsid w:val="009D2162"/>
    <w:rsid w:val="009D2803"/>
    <w:rsid w:val="009D3260"/>
    <w:rsid w:val="009D38EC"/>
    <w:rsid w:val="009D532E"/>
    <w:rsid w:val="009D5AF3"/>
    <w:rsid w:val="009E191F"/>
    <w:rsid w:val="009E1D8D"/>
    <w:rsid w:val="009E28C0"/>
    <w:rsid w:val="009E298F"/>
    <w:rsid w:val="009E37FF"/>
    <w:rsid w:val="009E5797"/>
    <w:rsid w:val="009E6BD8"/>
    <w:rsid w:val="009E74A3"/>
    <w:rsid w:val="009F1268"/>
    <w:rsid w:val="009F13A9"/>
    <w:rsid w:val="009F30C5"/>
    <w:rsid w:val="009F4CA0"/>
    <w:rsid w:val="009F4D74"/>
    <w:rsid w:val="009F5FF3"/>
    <w:rsid w:val="00A016D2"/>
    <w:rsid w:val="00A01D4C"/>
    <w:rsid w:val="00A03E20"/>
    <w:rsid w:val="00A046D1"/>
    <w:rsid w:val="00A04708"/>
    <w:rsid w:val="00A05A0B"/>
    <w:rsid w:val="00A12482"/>
    <w:rsid w:val="00A12727"/>
    <w:rsid w:val="00A134FE"/>
    <w:rsid w:val="00A13544"/>
    <w:rsid w:val="00A15DC1"/>
    <w:rsid w:val="00A17736"/>
    <w:rsid w:val="00A200CB"/>
    <w:rsid w:val="00A207D2"/>
    <w:rsid w:val="00A2175E"/>
    <w:rsid w:val="00A24B83"/>
    <w:rsid w:val="00A2626B"/>
    <w:rsid w:val="00A310FD"/>
    <w:rsid w:val="00A3189B"/>
    <w:rsid w:val="00A31A42"/>
    <w:rsid w:val="00A32D05"/>
    <w:rsid w:val="00A32D89"/>
    <w:rsid w:val="00A33016"/>
    <w:rsid w:val="00A33D8C"/>
    <w:rsid w:val="00A361D8"/>
    <w:rsid w:val="00A37A24"/>
    <w:rsid w:val="00A402BC"/>
    <w:rsid w:val="00A41435"/>
    <w:rsid w:val="00A42062"/>
    <w:rsid w:val="00A42AC0"/>
    <w:rsid w:val="00A45F36"/>
    <w:rsid w:val="00A47E77"/>
    <w:rsid w:val="00A51617"/>
    <w:rsid w:val="00A516D0"/>
    <w:rsid w:val="00A52785"/>
    <w:rsid w:val="00A55349"/>
    <w:rsid w:val="00A57E72"/>
    <w:rsid w:val="00A61276"/>
    <w:rsid w:val="00A627C0"/>
    <w:rsid w:val="00A62E7D"/>
    <w:rsid w:val="00A646CF"/>
    <w:rsid w:val="00A65D16"/>
    <w:rsid w:val="00A667A5"/>
    <w:rsid w:val="00A66EF4"/>
    <w:rsid w:val="00A6730A"/>
    <w:rsid w:val="00A67D87"/>
    <w:rsid w:val="00A70D0F"/>
    <w:rsid w:val="00A7343F"/>
    <w:rsid w:val="00A742CD"/>
    <w:rsid w:val="00A76D1B"/>
    <w:rsid w:val="00A824D5"/>
    <w:rsid w:val="00A83827"/>
    <w:rsid w:val="00A838AC"/>
    <w:rsid w:val="00A83E08"/>
    <w:rsid w:val="00A84B83"/>
    <w:rsid w:val="00A86E17"/>
    <w:rsid w:val="00A8798A"/>
    <w:rsid w:val="00A932C6"/>
    <w:rsid w:val="00A93895"/>
    <w:rsid w:val="00A96170"/>
    <w:rsid w:val="00A96BEF"/>
    <w:rsid w:val="00A974A0"/>
    <w:rsid w:val="00AA1CCF"/>
    <w:rsid w:val="00AA32AC"/>
    <w:rsid w:val="00AA3776"/>
    <w:rsid w:val="00AA5067"/>
    <w:rsid w:val="00AA52F5"/>
    <w:rsid w:val="00AA7AA2"/>
    <w:rsid w:val="00AB06B2"/>
    <w:rsid w:val="00AB0984"/>
    <w:rsid w:val="00AB1D37"/>
    <w:rsid w:val="00AB2137"/>
    <w:rsid w:val="00AB410D"/>
    <w:rsid w:val="00AB43BA"/>
    <w:rsid w:val="00AB7181"/>
    <w:rsid w:val="00AB77DE"/>
    <w:rsid w:val="00AC04AE"/>
    <w:rsid w:val="00AC22AD"/>
    <w:rsid w:val="00AC36FC"/>
    <w:rsid w:val="00AC37DC"/>
    <w:rsid w:val="00AC7355"/>
    <w:rsid w:val="00AD1903"/>
    <w:rsid w:val="00AD1C5A"/>
    <w:rsid w:val="00AD3A9B"/>
    <w:rsid w:val="00AD4107"/>
    <w:rsid w:val="00AD5653"/>
    <w:rsid w:val="00AD76F9"/>
    <w:rsid w:val="00AD787F"/>
    <w:rsid w:val="00AE0F88"/>
    <w:rsid w:val="00AE3C53"/>
    <w:rsid w:val="00AE4621"/>
    <w:rsid w:val="00AE5140"/>
    <w:rsid w:val="00AE5D4F"/>
    <w:rsid w:val="00AE5FAA"/>
    <w:rsid w:val="00AF5793"/>
    <w:rsid w:val="00AF5FE2"/>
    <w:rsid w:val="00AF6235"/>
    <w:rsid w:val="00B007DC"/>
    <w:rsid w:val="00B0111B"/>
    <w:rsid w:val="00B03311"/>
    <w:rsid w:val="00B04B6B"/>
    <w:rsid w:val="00B05DDF"/>
    <w:rsid w:val="00B1236D"/>
    <w:rsid w:val="00B14470"/>
    <w:rsid w:val="00B167E1"/>
    <w:rsid w:val="00B20EA9"/>
    <w:rsid w:val="00B22D2F"/>
    <w:rsid w:val="00B22EF0"/>
    <w:rsid w:val="00B27C3E"/>
    <w:rsid w:val="00B30367"/>
    <w:rsid w:val="00B306E5"/>
    <w:rsid w:val="00B31321"/>
    <w:rsid w:val="00B32E3F"/>
    <w:rsid w:val="00B335BB"/>
    <w:rsid w:val="00B346EF"/>
    <w:rsid w:val="00B3656D"/>
    <w:rsid w:val="00B36F20"/>
    <w:rsid w:val="00B37F26"/>
    <w:rsid w:val="00B462E4"/>
    <w:rsid w:val="00B463BD"/>
    <w:rsid w:val="00B50EBD"/>
    <w:rsid w:val="00B54C49"/>
    <w:rsid w:val="00B55A24"/>
    <w:rsid w:val="00B55B01"/>
    <w:rsid w:val="00B5658A"/>
    <w:rsid w:val="00B57D4B"/>
    <w:rsid w:val="00B6233C"/>
    <w:rsid w:val="00B628A4"/>
    <w:rsid w:val="00B63245"/>
    <w:rsid w:val="00B64484"/>
    <w:rsid w:val="00B652F1"/>
    <w:rsid w:val="00B65585"/>
    <w:rsid w:val="00B6729E"/>
    <w:rsid w:val="00B720D9"/>
    <w:rsid w:val="00B72CB0"/>
    <w:rsid w:val="00B731B4"/>
    <w:rsid w:val="00B73F97"/>
    <w:rsid w:val="00B75A9A"/>
    <w:rsid w:val="00B766CB"/>
    <w:rsid w:val="00B77452"/>
    <w:rsid w:val="00B80E1F"/>
    <w:rsid w:val="00B81FC5"/>
    <w:rsid w:val="00B84D59"/>
    <w:rsid w:val="00B85499"/>
    <w:rsid w:val="00B8615D"/>
    <w:rsid w:val="00B86BC1"/>
    <w:rsid w:val="00B87194"/>
    <w:rsid w:val="00B874D6"/>
    <w:rsid w:val="00B90CB6"/>
    <w:rsid w:val="00B94FAC"/>
    <w:rsid w:val="00B95AAA"/>
    <w:rsid w:val="00B96998"/>
    <w:rsid w:val="00BA0B27"/>
    <w:rsid w:val="00BA165A"/>
    <w:rsid w:val="00BA26BC"/>
    <w:rsid w:val="00BA322E"/>
    <w:rsid w:val="00BA54F3"/>
    <w:rsid w:val="00BA6021"/>
    <w:rsid w:val="00BA68A7"/>
    <w:rsid w:val="00BA6D79"/>
    <w:rsid w:val="00BB2177"/>
    <w:rsid w:val="00BB410A"/>
    <w:rsid w:val="00BB4F5D"/>
    <w:rsid w:val="00BB5571"/>
    <w:rsid w:val="00BB5C92"/>
    <w:rsid w:val="00BB5CDE"/>
    <w:rsid w:val="00BB6B59"/>
    <w:rsid w:val="00BB6E2E"/>
    <w:rsid w:val="00BB7709"/>
    <w:rsid w:val="00BC0299"/>
    <w:rsid w:val="00BC14D8"/>
    <w:rsid w:val="00BC3FD1"/>
    <w:rsid w:val="00BC4BAB"/>
    <w:rsid w:val="00BC4BE6"/>
    <w:rsid w:val="00BC546C"/>
    <w:rsid w:val="00BC6E1F"/>
    <w:rsid w:val="00BD11B7"/>
    <w:rsid w:val="00BD17CD"/>
    <w:rsid w:val="00BD3197"/>
    <w:rsid w:val="00BD6C8B"/>
    <w:rsid w:val="00BD7020"/>
    <w:rsid w:val="00BD7056"/>
    <w:rsid w:val="00BD70D8"/>
    <w:rsid w:val="00BD7509"/>
    <w:rsid w:val="00BE0274"/>
    <w:rsid w:val="00BE0B02"/>
    <w:rsid w:val="00BE2985"/>
    <w:rsid w:val="00BE4744"/>
    <w:rsid w:val="00BE6021"/>
    <w:rsid w:val="00BE6350"/>
    <w:rsid w:val="00BE6E5D"/>
    <w:rsid w:val="00BF0709"/>
    <w:rsid w:val="00BF0B68"/>
    <w:rsid w:val="00BF18B8"/>
    <w:rsid w:val="00BF2206"/>
    <w:rsid w:val="00BF40BD"/>
    <w:rsid w:val="00BF5D87"/>
    <w:rsid w:val="00BF675C"/>
    <w:rsid w:val="00BF7C8E"/>
    <w:rsid w:val="00BF7CC4"/>
    <w:rsid w:val="00C01B59"/>
    <w:rsid w:val="00C01C76"/>
    <w:rsid w:val="00C02A6A"/>
    <w:rsid w:val="00C10BC3"/>
    <w:rsid w:val="00C11569"/>
    <w:rsid w:val="00C150B2"/>
    <w:rsid w:val="00C1599A"/>
    <w:rsid w:val="00C15A7D"/>
    <w:rsid w:val="00C17302"/>
    <w:rsid w:val="00C205C8"/>
    <w:rsid w:val="00C20A85"/>
    <w:rsid w:val="00C21BD8"/>
    <w:rsid w:val="00C21E04"/>
    <w:rsid w:val="00C2368C"/>
    <w:rsid w:val="00C24C12"/>
    <w:rsid w:val="00C25B4C"/>
    <w:rsid w:val="00C308BA"/>
    <w:rsid w:val="00C3096D"/>
    <w:rsid w:val="00C312D9"/>
    <w:rsid w:val="00C32DBF"/>
    <w:rsid w:val="00C32FD3"/>
    <w:rsid w:val="00C330D4"/>
    <w:rsid w:val="00C331F9"/>
    <w:rsid w:val="00C34806"/>
    <w:rsid w:val="00C403BF"/>
    <w:rsid w:val="00C420C5"/>
    <w:rsid w:val="00C43EE1"/>
    <w:rsid w:val="00C44066"/>
    <w:rsid w:val="00C47E6D"/>
    <w:rsid w:val="00C51554"/>
    <w:rsid w:val="00C51CF6"/>
    <w:rsid w:val="00C629BC"/>
    <w:rsid w:val="00C63BFF"/>
    <w:rsid w:val="00C710A1"/>
    <w:rsid w:val="00C719D1"/>
    <w:rsid w:val="00C75EEB"/>
    <w:rsid w:val="00C77FC6"/>
    <w:rsid w:val="00C8448C"/>
    <w:rsid w:val="00C87F60"/>
    <w:rsid w:val="00C90918"/>
    <w:rsid w:val="00C928AB"/>
    <w:rsid w:val="00C95928"/>
    <w:rsid w:val="00C95F53"/>
    <w:rsid w:val="00C9627C"/>
    <w:rsid w:val="00C96665"/>
    <w:rsid w:val="00C971E2"/>
    <w:rsid w:val="00CA076B"/>
    <w:rsid w:val="00CA1BC9"/>
    <w:rsid w:val="00CA1FA6"/>
    <w:rsid w:val="00CA46FD"/>
    <w:rsid w:val="00CA5450"/>
    <w:rsid w:val="00CA5F16"/>
    <w:rsid w:val="00CB096F"/>
    <w:rsid w:val="00CB0F81"/>
    <w:rsid w:val="00CB1232"/>
    <w:rsid w:val="00CB1BEF"/>
    <w:rsid w:val="00CB5D27"/>
    <w:rsid w:val="00CB6395"/>
    <w:rsid w:val="00CC49BA"/>
    <w:rsid w:val="00CC4B56"/>
    <w:rsid w:val="00CC5F77"/>
    <w:rsid w:val="00CC6D57"/>
    <w:rsid w:val="00CD0C58"/>
    <w:rsid w:val="00CD34C8"/>
    <w:rsid w:val="00CD6237"/>
    <w:rsid w:val="00CE5024"/>
    <w:rsid w:val="00CE605D"/>
    <w:rsid w:val="00CE7403"/>
    <w:rsid w:val="00CE7FDE"/>
    <w:rsid w:val="00CF19FC"/>
    <w:rsid w:val="00CF5176"/>
    <w:rsid w:val="00CF6661"/>
    <w:rsid w:val="00CF6F8E"/>
    <w:rsid w:val="00CF6F9C"/>
    <w:rsid w:val="00D01CF8"/>
    <w:rsid w:val="00D023CD"/>
    <w:rsid w:val="00D02B42"/>
    <w:rsid w:val="00D03E9F"/>
    <w:rsid w:val="00D049E5"/>
    <w:rsid w:val="00D04C37"/>
    <w:rsid w:val="00D0590D"/>
    <w:rsid w:val="00D05F2C"/>
    <w:rsid w:val="00D0632B"/>
    <w:rsid w:val="00D0736F"/>
    <w:rsid w:val="00D1007B"/>
    <w:rsid w:val="00D10727"/>
    <w:rsid w:val="00D14C49"/>
    <w:rsid w:val="00D15A12"/>
    <w:rsid w:val="00D20283"/>
    <w:rsid w:val="00D2087B"/>
    <w:rsid w:val="00D21695"/>
    <w:rsid w:val="00D24274"/>
    <w:rsid w:val="00D25A21"/>
    <w:rsid w:val="00D33835"/>
    <w:rsid w:val="00D3540A"/>
    <w:rsid w:val="00D36127"/>
    <w:rsid w:val="00D361A8"/>
    <w:rsid w:val="00D36624"/>
    <w:rsid w:val="00D36CE3"/>
    <w:rsid w:val="00D3788F"/>
    <w:rsid w:val="00D429DB"/>
    <w:rsid w:val="00D44038"/>
    <w:rsid w:val="00D446C1"/>
    <w:rsid w:val="00D458C3"/>
    <w:rsid w:val="00D469B9"/>
    <w:rsid w:val="00D52567"/>
    <w:rsid w:val="00D57004"/>
    <w:rsid w:val="00D577FC"/>
    <w:rsid w:val="00D61340"/>
    <w:rsid w:val="00D61341"/>
    <w:rsid w:val="00D61BA2"/>
    <w:rsid w:val="00D63163"/>
    <w:rsid w:val="00D63F94"/>
    <w:rsid w:val="00D64A12"/>
    <w:rsid w:val="00D65BCC"/>
    <w:rsid w:val="00D66CD5"/>
    <w:rsid w:val="00D673D6"/>
    <w:rsid w:val="00D67AE0"/>
    <w:rsid w:val="00D67F57"/>
    <w:rsid w:val="00D67FDE"/>
    <w:rsid w:val="00D70709"/>
    <w:rsid w:val="00D74857"/>
    <w:rsid w:val="00D802F8"/>
    <w:rsid w:val="00D81B67"/>
    <w:rsid w:val="00D834CE"/>
    <w:rsid w:val="00D83C80"/>
    <w:rsid w:val="00D86F14"/>
    <w:rsid w:val="00D90113"/>
    <w:rsid w:val="00D910B3"/>
    <w:rsid w:val="00D94094"/>
    <w:rsid w:val="00D947DD"/>
    <w:rsid w:val="00D95E99"/>
    <w:rsid w:val="00D9624A"/>
    <w:rsid w:val="00D962EE"/>
    <w:rsid w:val="00D97441"/>
    <w:rsid w:val="00DA03C5"/>
    <w:rsid w:val="00DA3CF3"/>
    <w:rsid w:val="00DA5A64"/>
    <w:rsid w:val="00DA6C2E"/>
    <w:rsid w:val="00DB2EC1"/>
    <w:rsid w:val="00DB376C"/>
    <w:rsid w:val="00DB43F0"/>
    <w:rsid w:val="00DB4E0E"/>
    <w:rsid w:val="00DB67C9"/>
    <w:rsid w:val="00DB72BE"/>
    <w:rsid w:val="00DB7CC4"/>
    <w:rsid w:val="00DC0473"/>
    <w:rsid w:val="00DC09C4"/>
    <w:rsid w:val="00DC2376"/>
    <w:rsid w:val="00DC273A"/>
    <w:rsid w:val="00DC3FDE"/>
    <w:rsid w:val="00DC436E"/>
    <w:rsid w:val="00DC4892"/>
    <w:rsid w:val="00DC6D1E"/>
    <w:rsid w:val="00DD31CE"/>
    <w:rsid w:val="00DD4430"/>
    <w:rsid w:val="00DD4B21"/>
    <w:rsid w:val="00DD4E06"/>
    <w:rsid w:val="00DD5856"/>
    <w:rsid w:val="00DD682F"/>
    <w:rsid w:val="00DD6E76"/>
    <w:rsid w:val="00DE0022"/>
    <w:rsid w:val="00DE0CDC"/>
    <w:rsid w:val="00DE0D62"/>
    <w:rsid w:val="00DE3AC4"/>
    <w:rsid w:val="00DE57DE"/>
    <w:rsid w:val="00DE5F58"/>
    <w:rsid w:val="00DE682D"/>
    <w:rsid w:val="00DF3A10"/>
    <w:rsid w:val="00DF439C"/>
    <w:rsid w:val="00E01D4B"/>
    <w:rsid w:val="00E03FE5"/>
    <w:rsid w:val="00E0760D"/>
    <w:rsid w:val="00E100F4"/>
    <w:rsid w:val="00E12353"/>
    <w:rsid w:val="00E12CFE"/>
    <w:rsid w:val="00E13235"/>
    <w:rsid w:val="00E15B30"/>
    <w:rsid w:val="00E16882"/>
    <w:rsid w:val="00E17F8B"/>
    <w:rsid w:val="00E200C1"/>
    <w:rsid w:val="00E2080A"/>
    <w:rsid w:val="00E23127"/>
    <w:rsid w:val="00E26E5E"/>
    <w:rsid w:val="00E30DB7"/>
    <w:rsid w:val="00E30EF5"/>
    <w:rsid w:val="00E32DBC"/>
    <w:rsid w:val="00E34413"/>
    <w:rsid w:val="00E34859"/>
    <w:rsid w:val="00E3500F"/>
    <w:rsid w:val="00E36B20"/>
    <w:rsid w:val="00E4290C"/>
    <w:rsid w:val="00E4395A"/>
    <w:rsid w:val="00E43DA4"/>
    <w:rsid w:val="00E44468"/>
    <w:rsid w:val="00E4676C"/>
    <w:rsid w:val="00E50167"/>
    <w:rsid w:val="00E501DF"/>
    <w:rsid w:val="00E51861"/>
    <w:rsid w:val="00E53007"/>
    <w:rsid w:val="00E544FE"/>
    <w:rsid w:val="00E54B01"/>
    <w:rsid w:val="00E54FE1"/>
    <w:rsid w:val="00E56672"/>
    <w:rsid w:val="00E5763E"/>
    <w:rsid w:val="00E61FEC"/>
    <w:rsid w:val="00E668F4"/>
    <w:rsid w:val="00E67BAD"/>
    <w:rsid w:val="00E67C02"/>
    <w:rsid w:val="00E67F69"/>
    <w:rsid w:val="00E705FF"/>
    <w:rsid w:val="00E71C96"/>
    <w:rsid w:val="00E72BED"/>
    <w:rsid w:val="00E74FE1"/>
    <w:rsid w:val="00E75F0D"/>
    <w:rsid w:val="00E76C21"/>
    <w:rsid w:val="00E77774"/>
    <w:rsid w:val="00E824D8"/>
    <w:rsid w:val="00E826B3"/>
    <w:rsid w:val="00E8309E"/>
    <w:rsid w:val="00E836A4"/>
    <w:rsid w:val="00E83D6D"/>
    <w:rsid w:val="00E84592"/>
    <w:rsid w:val="00E849BF"/>
    <w:rsid w:val="00E85A17"/>
    <w:rsid w:val="00E9051C"/>
    <w:rsid w:val="00E93228"/>
    <w:rsid w:val="00E93A97"/>
    <w:rsid w:val="00E9484A"/>
    <w:rsid w:val="00E97A59"/>
    <w:rsid w:val="00E97B03"/>
    <w:rsid w:val="00EA09F5"/>
    <w:rsid w:val="00EA0A14"/>
    <w:rsid w:val="00EA29A4"/>
    <w:rsid w:val="00EB21FB"/>
    <w:rsid w:val="00EB221C"/>
    <w:rsid w:val="00EC5AF8"/>
    <w:rsid w:val="00EC6413"/>
    <w:rsid w:val="00EC6CF2"/>
    <w:rsid w:val="00ED110A"/>
    <w:rsid w:val="00ED4427"/>
    <w:rsid w:val="00ED464A"/>
    <w:rsid w:val="00ED6C38"/>
    <w:rsid w:val="00ED7573"/>
    <w:rsid w:val="00ED7686"/>
    <w:rsid w:val="00EE295C"/>
    <w:rsid w:val="00EE2E94"/>
    <w:rsid w:val="00EE3817"/>
    <w:rsid w:val="00EE693D"/>
    <w:rsid w:val="00EF0711"/>
    <w:rsid w:val="00EF100C"/>
    <w:rsid w:val="00EF617F"/>
    <w:rsid w:val="00EF6BFB"/>
    <w:rsid w:val="00EF722C"/>
    <w:rsid w:val="00F0153E"/>
    <w:rsid w:val="00F04F18"/>
    <w:rsid w:val="00F05F68"/>
    <w:rsid w:val="00F074C3"/>
    <w:rsid w:val="00F106F0"/>
    <w:rsid w:val="00F10AD3"/>
    <w:rsid w:val="00F11642"/>
    <w:rsid w:val="00F12071"/>
    <w:rsid w:val="00F126D2"/>
    <w:rsid w:val="00F15B30"/>
    <w:rsid w:val="00F1679B"/>
    <w:rsid w:val="00F2152D"/>
    <w:rsid w:val="00F2392A"/>
    <w:rsid w:val="00F25378"/>
    <w:rsid w:val="00F25609"/>
    <w:rsid w:val="00F26D84"/>
    <w:rsid w:val="00F27941"/>
    <w:rsid w:val="00F31CA2"/>
    <w:rsid w:val="00F32EA9"/>
    <w:rsid w:val="00F33246"/>
    <w:rsid w:val="00F336D6"/>
    <w:rsid w:val="00F34047"/>
    <w:rsid w:val="00F34E59"/>
    <w:rsid w:val="00F3784D"/>
    <w:rsid w:val="00F37B47"/>
    <w:rsid w:val="00F408F6"/>
    <w:rsid w:val="00F40C7E"/>
    <w:rsid w:val="00F40D7A"/>
    <w:rsid w:val="00F42AEA"/>
    <w:rsid w:val="00F43B31"/>
    <w:rsid w:val="00F4630F"/>
    <w:rsid w:val="00F472BE"/>
    <w:rsid w:val="00F5059B"/>
    <w:rsid w:val="00F50C5F"/>
    <w:rsid w:val="00F51965"/>
    <w:rsid w:val="00F52D20"/>
    <w:rsid w:val="00F556DF"/>
    <w:rsid w:val="00F56398"/>
    <w:rsid w:val="00F602FA"/>
    <w:rsid w:val="00F64C44"/>
    <w:rsid w:val="00F673DD"/>
    <w:rsid w:val="00F673DF"/>
    <w:rsid w:val="00F67CE8"/>
    <w:rsid w:val="00F70E0D"/>
    <w:rsid w:val="00F713B9"/>
    <w:rsid w:val="00F71A1F"/>
    <w:rsid w:val="00F7540F"/>
    <w:rsid w:val="00F801CB"/>
    <w:rsid w:val="00F806B9"/>
    <w:rsid w:val="00F82ED1"/>
    <w:rsid w:val="00F850F3"/>
    <w:rsid w:val="00F8548B"/>
    <w:rsid w:val="00F86287"/>
    <w:rsid w:val="00F869D0"/>
    <w:rsid w:val="00F87F28"/>
    <w:rsid w:val="00F91C04"/>
    <w:rsid w:val="00F94BD1"/>
    <w:rsid w:val="00F961B1"/>
    <w:rsid w:val="00F9648B"/>
    <w:rsid w:val="00F968A1"/>
    <w:rsid w:val="00F97D09"/>
    <w:rsid w:val="00FA372E"/>
    <w:rsid w:val="00FA5342"/>
    <w:rsid w:val="00FA6B81"/>
    <w:rsid w:val="00FA6FB5"/>
    <w:rsid w:val="00FA7F7D"/>
    <w:rsid w:val="00FB1014"/>
    <w:rsid w:val="00FB1732"/>
    <w:rsid w:val="00FB304E"/>
    <w:rsid w:val="00FB3D47"/>
    <w:rsid w:val="00FB4601"/>
    <w:rsid w:val="00FB54A6"/>
    <w:rsid w:val="00FB77DC"/>
    <w:rsid w:val="00FC0DFB"/>
    <w:rsid w:val="00FC1091"/>
    <w:rsid w:val="00FC1B34"/>
    <w:rsid w:val="00FC2E5B"/>
    <w:rsid w:val="00FC3CFF"/>
    <w:rsid w:val="00FC52E7"/>
    <w:rsid w:val="00FC6E35"/>
    <w:rsid w:val="00FC7C55"/>
    <w:rsid w:val="00FD0FF2"/>
    <w:rsid w:val="00FD10BA"/>
    <w:rsid w:val="00FD1B70"/>
    <w:rsid w:val="00FD3A4D"/>
    <w:rsid w:val="00FD486E"/>
    <w:rsid w:val="00FD6575"/>
    <w:rsid w:val="00FE0D71"/>
    <w:rsid w:val="00FE1837"/>
    <w:rsid w:val="00FE3E11"/>
    <w:rsid w:val="00FE4EB7"/>
    <w:rsid w:val="00FE7FBE"/>
    <w:rsid w:val="00FF01F6"/>
    <w:rsid w:val="00FF072D"/>
    <w:rsid w:val="00FF1189"/>
    <w:rsid w:val="00FF2396"/>
    <w:rsid w:val="00FF52EB"/>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005daa,#13b5ea,#c9c1b8,#ebd722,#002b5c,black,#808184"/>
    </o:shapedefaults>
    <o:shapelayout v:ext="edit">
      <o:idmap v:ext="edit" data="2"/>
    </o:shapelayout>
  </w:shapeDefaults>
  <w:doNotEmbedSmartTags/>
  <w:decimalSymbol w:val="."/>
  <w:listSeparator w:val=","/>
  <w14:docId w14:val="4E278BDE"/>
  <w15:docId w15:val="{9CC9375E-68CE-4976-A676-F2061FC7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90C"/>
    <w:pPr>
      <w:adjustRightInd w:val="0"/>
      <w:spacing w:before="180" w:after="180" w:line="240" w:lineRule="atLeast"/>
    </w:pPr>
    <w:rPr>
      <w:rFonts w:ascii="Arial" w:eastAsia="MS Mincho" w:hAnsi="Arial"/>
      <w:kern w:val="16"/>
      <w:lang w:eastAsia="ja-JP"/>
    </w:rPr>
  </w:style>
  <w:style w:type="paragraph" w:styleId="Heading1">
    <w:name w:val="heading 1"/>
    <w:basedOn w:val="Normal"/>
    <w:next w:val="BodyText"/>
    <w:link w:val="Heading1Char"/>
    <w:qFormat/>
    <w:rsid w:val="00E4290C"/>
    <w:pPr>
      <w:keepLines/>
      <w:pageBreakBefore/>
      <w:pBdr>
        <w:bottom w:val="single" w:sz="2" w:space="2" w:color="003263"/>
      </w:pBdr>
      <w:spacing w:before="0" w:after="1080" w:line="360" w:lineRule="atLeast"/>
      <w:outlineLvl w:val="0"/>
    </w:pPr>
    <w:rPr>
      <w:color w:val="003263"/>
      <w:sz w:val="32"/>
      <w:szCs w:val="32"/>
    </w:rPr>
  </w:style>
  <w:style w:type="paragraph" w:styleId="Heading2">
    <w:name w:val="heading 2"/>
    <w:basedOn w:val="Heading1"/>
    <w:next w:val="BodyText"/>
    <w:link w:val="Heading2Char"/>
    <w:qFormat/>
    <w:rsid w:val="00E4290C"/>
    <w:pPr>
      <w:pageBreakBefore w:val="0"/>
      <w:pBdr>
        <w:bottom w:val="none" w:sz="0" w:space="0" w:color="auto"/>
      </w:pBdr>
      <w:spacing w:before="360" w:after="80" w:line="240" w:lineRule="auto"/>
      <w:outlineLvl w:val="1"/>
    </w:pPr>
    <w:rPr>
      <w:color w:val="0060A9"/>
      <w:sz w:val="25"/>
      <w:szCs w:val="25"/>
    </w:rPr>
  </w:style>
  <w:style w:type="paragraph" w:styleId="Heading3">
    <w:name w:val="heading 3"/>
    <w:basedOn w:val="Heading2"/>
    <w:next w:val="BodyText"/>
    <w:qFormat/>
    <w:rsid w:val="00E4290C"/>
    <w:pPr>
      <w:outlineLvl w:val="2"/>
    </w:pPr>
    <w:rPr>
      <w:sz w:val="23"/>
      <w:szCs w:val="23"/>
    </w:rPr>
  </w:style>
  <w:style w:type="paragraph" w:styleId="Heading4">
    <w:name w:val="heading 4"/>
    <w:basedOn w:val="Heading3"/>
    <w:next w:val="BodyText"/>
    <w:qFormat/>
    <w:rsid w:val="00E4290C"/>
    <w:pPr>
      <w:outlineLvl w:val="3"/>
    </w:pPr>
    <w:rPr>
      <w:sz w:val="21"/>
    </w:rPr>
  </w:style>
  <w:style w:type="paragraph" w:styleId="Heading5">
    <w:name w:val="heading 5"/>
    <w:basedOn w:val="Heading4"/>
    <w:next w:val="BodyText"/>
    <w:qFormat/>
    <w:rsid w:val="00E4290C"/>
    <w:pPr>
      <w:outlineLvl w:val="4"/>
    </w:pPr>
    <w:rPr>
      <w:b/>
      <w:sz w:val="20"/>
    </w:rPr>
  </w:style>
  <w:style w:type="paragraph" w:styleId="Heading6">
    <w:name w:val="heading 6"/>
    <w:basedOn w:val="Heading5"/>
    <w:next w:val="BodyText"/>
    <w:qFormat/>
    <w:rsid w:val="00E4290C"/>
    <w:pPr>
      <w:outlineLvl w:val="5"/>
    </w:pPr>
    <w:rPr>
      <w:bCs/>
      <w:sz w:val="18"/>
      <w:szCs w:val="18"/>
    </w:rPr>
  </w:style>
  <w:style w:type="paragraph" w:styleId="Heading7">
    <w:name w:val="heading 7"/>
    <w:basedOn w:val="Heading5"/>
    <w:next w:val="Normal"/>
    <w:qFormat/>
    <w:rsid w:val="00E4290C"/>
    <w:pPr>
      <w:outlineLvl w:val="6"/>
    </w:pPr>
  </w:style>
  <w:style w:type="paragraph" w:styleId="Heading8">
    <w:name w:val="heading 8"/>
    <w:basedOn w:val="Heading4"/>
    <w:next w:val="Heading9"/>
    <w:qFormat/>
    <w:rsid w:val="00E4290C"/>
    <w:pPr>
      <w:numPr>
        <w:ilvl w:val="7"/>
        <w:numId w:val="4"/>
      </w:numPr>
      <w:outlineLvl w:val="7"/>
    </w:pPr>
    <w:rPr>
      <w:iCs/>
    </w:rPr>
  </w:style>
  <w:style w:type="paragraph" w:styleId="Heading9">
    <w:name w:val="heading 9"/>
    <w:basedOn w:val="Heading7"/>
    <w:next w:val="Normal"/>
    <w:qFormat/>
    <w:rsid w:val="00E4290C"/>
    <w:p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290C"/>
    <w:rPr>
      <w:rFonts w:ascii="Tahoma" w:hAnsi="Tahoma" w:cs="Tahoma"/>
      <w:sz w:val="16"/>
      <w:szCs w:val="16"/>
    </w:rPr>
  </w:style>
  <w:style w:type="paragraph" w:styleId="Caption">
    <w:name w:val="caption"/>
    <w:basedOn w:val="Normal"/>
    <w:next w:val="Normal"/>
    <w:qFormat/>
    <w:rsid w:val="00E4290C"/>
    <w:pPr>
      <w:spacing w:before="120"/>
    </w:pPr>
    <w:rPr>
      <w:b/>
      <w:bCs/>
    </w:rPr>
  </w:style>
  <w:style w:type="character" w:styleId="CommentReference">
    <w:name w:val="annotation reference"/>
    <w:basedOn w:val="DefaultParagraphFont"/>
    <w:semiHidden/>
    <w:rsid w:val="00E4290C"/>
    <w:rPr>
      <w:rFonts w:ascii="Arial" w:hAnsi="Arial"/>
      <w:kern w:val="0"/>
      <w:sz w:val="16"/>
      <w:szCs w:val="16"/>
      <w:lang w:val="en-GB"/>
    </w:rPr>
  </w:style>
  <w:style w:type="paragraph" w:styleId="CommentText">
    <w:name w:val="annotation text"/>
    <w:basedOn w:val="Normal"/>
    <w:semiHidden/>
    <w:rsid w:val="00E4290C"/>
  </w:style>
  <w:style w:type="paragraph" w:styleId="CommentSubject">
    <w:name w:val="annotation subject"/>
    <w:basedOn w:val="CommentText"/>
    <w:next w:val="CommentText"/>
    <w:semiHidden/>
    <w:rsid w:val="00E4290C"/>
    <w:rPr>
      <w:b/>
      <w:bCs/>
    </w:rPr>
  </w:style>
  <w:style w:type="paragraph" w:styleId="DocumentMap">
    <w:name w:val="Document Map"/>
    <w:basedOn w:val="Normal"/>
    <w:semiHidden/>
    <w:rsid w:val="00E4290C"/>
    <w:pPr>
      <w:shd w:val="clear" w:color="auto" w:fill="000080"/>
    </w:pPr>
    <w:rPr>
      <w:rFonts w:ascii="Tahoma" w:hAnsi="Tahoma" w:cs="Tahoma"/>
    </w:rPr>
  </w:style>
  <w:style w:type="character" w:styleId="EndnoteReference">
    <w:name w:val="endnote reference"/>
    <w:basedOn w:val="DefaultParagraphFont"/>
    <w:semiHidden/>
    <w:rsid w:val="00E4290C"/>
    <w:rPr>
      <w:vertAlign w:val="superscript"/>
      <w:lang w:val="en-GB"/>
    </w:rPr>
  </w:style>
  <w:style w:type="paragraph" w:styleId="EndnoteText">
    <w:name w:val="endnote text"/>
    <w:basedOn w:val="Normal"/>
    <w:semiHidden/>
    <w:rsid w:val="00E4290C"/>
  </w:style>
  <w:style w:type="paragraph" w:styleId="Header">
    <w:name w:val="header"/>
    <w:basedOn w:val="Normal"/>
    <w:semiHidden/>
    <w:rsid w:val="00E4290C"/>
    <w:pPr>
      <w:tabs>
        <w:tab w:val="center" w:pos="4320"/>
        <w:tab w:val="right" w:pos="8640"/>
      </w:tabs>
    </w:pPr>
  </w:style>
  <w:style w:type="paragraph" w:styleId="Footer">
    <w:name w:val="footer"/>
    <w:basedOn w:val="Normal"/>
    <w:link w:val="FooterChar"/>
    <w:rsid w:val="00887BA1"/>
    <w:pPr>
      <w:tabs>
        <w:tab w:val="right" w:pos="8944"/>
      </w:tabs>
      <w:adjustRightInd/>
      <w:spacing w:before="0" w:after="60" w:line="240" w:lineRule="auto"/>
    </w:pPr>
    <w:rPr>
      <w:caps/>
      <w:noProof/>
      <w:snapToGrid w:val="0"/>
      <w:color w:val="003263"/>
      <w:spacing w:val="20"/>
      <w:kern w:val="12"/>
      <w:sz w:val="12"/>
      <w:szCs w:val="12"/>
    </w:rPr>
  </w:style>
  <w:style w:type="paragraph" w:styleId="Index1">
    <w:name w:val="index 1"/>
    <w:basedOn w:val="Normal"/>
    <w:next w:val="Normal"/>
    <w:semiHidden/>
    <w:rsid w:val="00E4290C"/>
    <w:pPr>
      <w:ind w:left="240" w:hanging="240"/>
    </w:pPr>
  </w:style>
  <w:style w:type="paragraph" w:styleId="Index2">
    <w:name w:val="index 2"/>
    <w:basedOn w:val="Normal"/>
    <w:next w:val="Normal"/>
    <w:semiHidden/>
    <w:rsid w:val="00E4290C"/>
    <w:pPr>
      <w:ind w:left="480" w:hanging="240"/>
    </w:pPr>
  </w:style>
  <w:style w:type="paragraph" w:styleId="Index3">
    <w:name w:val="index 3"/>
    <w:basedOn w:val="Normal"/>
    <w:next w:val="Normal"/>
    <w:semiHidden/>
    <w:rsid w:val="00E4290C"/>
    <w:pPr>
      <w:ind w:left="720" w:hanging="240"/>
    </w:pPr>
  </w:style>
  <w:style w:type="paragraph" w:styleId="Index4">
    <w:name w:val="index 4"/>
    <w:basedOn w:val="Normal"/>
    <w:next w:val="Normal"/>
    <w:semiHidden/>
    <w:rsid w:val="00E4290C"/>
    <w:pPr>
      <w:ind w:left="960" w:hanging="240"/>
    </w:pPr>
  </w:style>
  <w:style w:type="paragraph" w:styleId="Index5">
    <w:name w:val="index 5"/>
    <w:basedOn w:val="Normal"/>
    <w:next w:val="Normal"/>
    <w:semiHidden/>
    <w:rsid w:val="00E4290C"/>
    <w:pPr>
      <w:ind w:left="1200" w:hanging="240"/>
    </w:pPr>
  </w:style>
  <w:style w:type="paragraph" w:styleId="Index6">
    <w:name w:val="index 6"/>
    <w:basedOn w:val="Normal"/>
    <w:next w:val="Normal"/>
    <w:semiHidden/>
    <w:rsid w:val="00E4290C"/>
    <w:pPr>
      <w:ind w:left="1440" w:hanging="240"/>
    </w:pPr>
  </w:style>
  <w:style w:type="paragraph" w:styleId="Index7">
    <w:name w:val="index 7"/>
    <w:basedOn w:val="Normal"/>
    <w:next w:val="Normal"/>
    <w:semiHidden/>
    <w:rsid w:val="00E4290C"/>
    <w:pPr>
      <w:ind w:left="1680" w:hanging="240"/>
    </w:pPr>
  </w:style>
  <w:style w:type="paragraph" w:styleId="Index8">
    <w:name w:val="index 8"/>
    <w:basedOn w:val="Normal"/>
    <w:next w:val="Normal"/>
    <w:semiHidden/>
    <w:rsid w:val="00E4290C"/>
    <w:pPr>
      <w:ind w:left="1920" w:hanging="240"/>
    </w:pPr>
  </w:style>
  <w:style w:type="paragraph" w:styleId="Index9">
    <w:name w:val="index 9"/>
    <w:basedOn w:val="Normal"/>
    <w:next w:val="Normal"/>
    <w:semiHidden/>
    <w:rsid w:val="00E4290C"/>
    <w:pPr>
      <w:ind w:left="2160" w:hanging="240"/>
    </w:pPr>
  </w:style>
  <w:style w:type="paragraph" w:styleId="IndexHeading">
    <w:name w:val="index heading"/>
    <w:basedOn w:val="Normal"/>
    <w:next w:val="Index1"/>
    <w:semiHidden/>
    <w:rsid w:val="00E4290C"/>
    <w:rPr>
      <w:rFonts w:cs="Arial"/>
      <w:b/>
      <w:bCs/>
    </w:rPr>
  </w:style>
  <w:style w:type="paragraph" w:styleId="MacroText">
    <w:name w:val="macro"/>
    <w:semiHidden/>
    <w:rsid w:val="00E4290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GB" w:eastAsia="en-GB"/>
    </w:rPr>
  </w:style>
  <w:style w:type="paragraph" w:styleId="TableofAuthorities">
    <w:name w:val="table of authorities"/>
    <w:basedOn w:val="Normal"/>
    <w:next w:val="Normal"/>
    <w:semiHidden/>
    <w:rsid w:val="00E4290C"/>
    <w:pPr>
      <w:ind w:left="240" w:hanging="240"/>
    </w:pPr>
  </w:style>
  <w:style w:type="paragraph" w:customStyle="1" w:styleId="Draft">
    <w:name w:val="Draft"/>
    <w:basedOn w:val="BodyText"/>
    <w:rsid w:val="00E4290C"/>
    <w:pPr>
      <w:spacing w:after="160"/>
      <w:ind w:left="-101" w:right="-101"/>
      <w:jc w:val="center"/>
    </w:pPr>
    <w:rPr>
      <w:b/>
      <w:color w:val="AAAAAA"/>
      <w:sz w:val="40"/>
      <w:szCs w:val="28"/>
    </w:rPr>
  </w:style>
  <w:style w:type="paragraph" w:styleId="TOAHeading">
    <w:name w:val="toa heading"/>
    <w:basedOn w:val="Normal"/>
    <w:next w:val="Normal"/>
    <w:semiHidden/>
    <w:rsid w:val="00E4290C"/>
    <w:pPr>
      <w:spacing w:before="120"/>
    </w:pPr>
    <w:rPr>
      <w:rFonts w:cs="Arial"/>
      <w:b/>
      <w:bCs/>
    </w:rPr>
  </w:style>
  <w:style w:type="paragraph" w:styleId="TOC1">
    <w:name w:val="toc 1"/>
    <w:basedOn w:val="Normal"/>
    <w:rsid w:val="00E4290C"/>
    <w:pPr>
      <w:tabs>
        <w:tab w:val="left" w:pos="473"/>
        <w:tab w:val="right" w:pos="9761"/>
      </w:tabs>
      <w:spacing w:before="480" w:after="120"/>
      <w:ind w:left="45" w:right="28"/>
    </w:pPr>
    <w:rPr>
      <w:rFonts w:cs="Arial"/>
      <w:noProof/>
      <w:color w:val="003263"/>
      <w:sz w:val="22"/>
      <w:szCs w:val="22"/>
    </w:rPr>
  </w:style>
  <w:style w:type="paragraph" w:styleId="TOC2">
    <w:name w:val="toc 2"/>
    <w:basedOn w:val="Normal"/>
    <w:rsid w:val="00E4290C"/>
    <w:pPr>
      <w:tabs>
        <w:tab w:val="left" w:pos="1032"/>
        <w:tab w:val="right" w:pos="9761"/>
      </w:tabs>
      <w:spacing w:before="60" w:after="120" w:line="200" w:lineRule="atLeast"/>
      <w:ind w:left="516" w:right="-6"/>
    </w:pPr>
    <w:rPr>
      <w:rFonts w:cs="Arial"/>
      <w:noProof/>
      <w:color w:val="0060A9"/>
      <w:sz w:val="21"/>
      <w:szCs w:val="21"/>
      <w:lang w:val="en-CA"/>
    </w:rPr>
  </w:style>
  <w:style w:type="paragraph" w:styleId="TOC3">
    <w:name w:val="toc 3"/>
    <w:basedOn w:val="TOC2"/>
    <w:rsid w:val="00E4290C"/>
    <w:pPr>
      <w:tabs>
        <w:tab w:val="clear" w:pos="1032"/>
        <w:tab w:val="left" w:pos="1806"/>
      </w:tabs>
      <w:ind w:left="1049"/>
    </w:pPr>
  </w:style>
  <w:style w:type="paragraph" w:styleId="TOC4">
    <w:name w:val="toc 4"/>
    <w:basedOn w:val="TOC3"/>
    <w:next w:val="Normal"/>
    <w:semiHidden/>
    <w:rsid w:val="00E4290C"/>
  </w:style>
  <w:style w:type="paragraph" w:styleId="TOC5">
    <w:name w:val="toc 5"/>
    <w:basedOn w:val="TOC4"/>
    <w:next w:val="Normal"/>
    <w:semiHidden/>
    <w:rsid w:val="00E4290C"/>
  </w:style>
  <w:style w:type="paragraph" w:styleId="TOC6">
    <w:name w:val="toc 6"/>
    <w:basedOn w:val="Normal"/>
    <w:next w:val="Normal"/>
    <w:semiHidden/>
    <w:rsid w:val="00E4290C"/>
    <w:pPr>
      <w:tabs>
        <w:tab w:val="right" w:leader="dot" w:pos="9019"/>
      </w:tabs>
      <w:ind w:left="1300"/>
    </w:pPr>
    <w:rPr>
      <w:noProof/>
    </w:rPr>
  </w:style>
  <w:style w:type="paragraph" w:styleId="TOC7">
    <w:name w:val="toc 7"/>
    <w:basedOn w:val="Normal"/>
    <w:next w:val="Normal"/>
    <w:semiHidden/>
    <w:rsid w:val="00E4290C"/>
    <w:pPr>
      <w:ind w:left="1200"/>
    </w:pPr>
  </w:style>
  <w:style w:type="paragraph" w:styleId="TOC8">
    <w:name w:val="toc 8"/>
    <w:basedOn w:val="Normal"/>
    <w:next w:val="Normal"/>
    <w:semiHidden/>
    <w:rsid w:val="00E4290C"/>
    <w:pPr>
      <w:ind w:left="1400"/>
    </w:pPr>
  </w:style>
  <w:style w:type="paragraph" w:styleId="TOC9">
    <w:name w:val="toc 9"/>
    <w:basedOn w:val="Normal"/>
    <w:next w:val="Normal"/>
    <w:semiHidden/>
    <w:rsid w:val="00E4290C"/>
    <w:pPr>
      <w:ind w:left="1600"/>
    </w:pPr>
  </w:style>
  <w:style w:type="table" w:styleId="TableGrid">
    <w:name w:val="Table Grid"/>
    <w:basedOn w:val="TableNormal"/>
    <w:rsid w:val="00E4290C"/>
    <w:pPr>
      <w:spacing w:line="220" w:lineRule="atLeast"/>
    </w:pPr>
    <w:rPr>
      <w:rFonts w:ascii="Arial" w:hAnsi="Arial"/>
      <w:sz w:val="18"/>
    </w:rPr>
    <w:tblPr>
      <w:tblBorders>
        <w:top w:val="single" w:sz="6" w:space="0" w:color="8499A6"/>
        <w:bottom w:val="single" w:sz="6" w:space="0" w:color="8499A6"/>
        <w:insideH w:val="single" w:sz="6" w:space="0" w:color="8499A6"/>
      </w:tblBorders>
      <w:tblCellMar>
        <w:left w:w="102" w:type="dxa"/>
        <w:right w:w="102" w:type="dxa"/>
      </w:tblCellMar>
    </w:tblPr>
    <w:trPr>
      <w:cantSplit/>
    </w:trPr>
    <w:tcPr>
      <w:shd w:val="clear" w:color="auto" w:fill="auto"/>
    </w:tcPr>
    <w:tblStylePr w:type="firstRow">
      <w:pPr>
        <w:wordWrap/>
        <w:spacing w:beforeLines="0" w:before="0" w:beforeAutospacing="0" w:afterLines="0" w:after="0" w:afterAutospacing="0" w:line="220" w:lineRule="atLeast"/>
        <w:contextualSpacing w:val="0"/>
      </w:pPr>
      <w:rPr>
        <w:rFonts w:ascii="Arial" w:hAnsi="Arial"/>
        <w:b w:val="0"/>
        <w:i w:val="0"/>
        <w:color w:val="auto"/>
        <w:sz w:val="18"/>
      </w:rPr>
      <w:tblPr/>
      <w:trPr>
        <w:cantSplit w:val="0"/>
      </w:trPr>
      <w:tcPr>
        <w:tcBorders>
          <w:top w:val="single" w:sz="2" w:space="0" w:color="8499A6"/>
          <w:left w:val="nil"/>
          <w:bottom w:val="single" w:sz="2" w:space="0" w:color="8499A6"/>
          <w:right w:val="nil"/>
          <w:insideH w:val="single" w:sz="2" w:space="0" w:color="B3C1C9"/>
          <w:insideV w:val="nil"/>
          <w:tl2br w:val="nil"/>
          <w:tr2bl w:val="nil"/>
        </w:tcBorders>
      </w:tcPr>
    </w:tblStylePr>
  </w:style>
  <w:style w:type="table" w:styleId="TableGrid1">
    <w:name w:val="Table Grid 1"/>
    <w:basedOn w:val="TableNormal"/>
    <w:semiHidden/>
    <w:rsid w:val="00E4290C"/>
    <w:rPr>
      <w:rFonts w:ascii="Verdana" w:hAnsi="Verdana"/>
      <w:color w:val="6F6E6F"/>
      <w:sz w:val="18"/>
    </w:rPr>
    <w:tblPr>
      <w:tblBorders>
        <w:top w:val="single" w:sz="6" w:space="0" w:color="6F6E6F"/>
        <w:bottom w:val="single" w:sz="6" w:space="0" w:color="6F6E6F"/>
        <w:insideH w:val="single" w:sz="6" w:space="0" w:color="6F6E6F"/>
        <w:insideV w:val="single" w:sz="6" w:space="0" w:color="6F6E6F"/>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4290C"/>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4290C"/>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4290C"/>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4290C"/>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4290C"/>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4290C"/>
    <w:rPr>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4290C"/>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NumHead1">
    <w:name w:val="NumHead 1"/>
    <w:basedOn w:val="Heading1"/>
    <w:next w:val="BodyText"/>
    <w:link w:val="NumHead1CharChar"/>
    <w:rsid w:val="00E4290C"/>
    <w:pPr>
      <w:numPr>
        <w:numId w:val="18"/>
      </w:numPr>
    </w:pPr>
  </w:style>
  <w:style w:type="character" w:customStyle="1" w:styleId="TableBullet1CharChar">
    <w:name w:val="Table Bullet 1 Char Char"/>
    <w:basedOn w:val="DefaultParagraphFont"/>
    <w:link w:val="TableBullet1"/>
    <w:rsid w:val="00E4290C"/>
    <w:rPr>
      <w:rFonts w:ascii="Arial" w:eastAsia="MS Mincho" w:hAnsi="Arial"/>
      <w:kern w:val="16"/>
      <w:sz w:val="16"/>
      <w:szCs w:val="18"/>
      <w:lang w:val="en-US" w:eastAsia="ja-JP" w:bidi="ar-SA"/>
    </w:rPr>
  </w:style>
  <w:style w:type="paragraph" w:customStyle="1" w:styleId="NumHead2">
    <w:name w:val="NumHead 2"/>
    <w:basedOn w:val="NumHead1"/>
    <w:next w:val="BodyText"/>
    <w:link w:val="NumHead2CharChar"/>
    <w:rsid w:val="00E4290C"/>
    <w:pPr>
      <w:pageBreakBefore w:val="0"/>
      <w:numPr>
        <w:ilvl w:val="1"/>
      </w:numPr>
      <w:pBdr>
        <w:bottom w:val="none" w:sz="0" w:space="0" w:color="auto"/>
      </w:pBdr>
      <w:spacing w:before="360" w:after="60" w:line="280" w:lineRule="atLeast"/>
    </w:pPr>
    <w:rPr>
      <w:rFonts w:cs="Arial"/>
      <w:color w:val="0060A9"/>
      <w:sz w:val="25"/>
      <w:szCs w:val="25"/>
    </w:rPr>
  </w:style>
  <w:style w:type="paragraph" w:customStyle="1" w:styleId="TableTitle">
    <w:name w:val="Table Title"/>
    <w:basedOn w:val="TableText"/>
    <w:autoRedefine/>
    <w:rsid w:val="000B291C"/>
    <w:pPr>
      <w:spacing w:before="120" w:line="240" w:lineRule="atLeast"/>
    </w:pPr>
    <w:rPr>
      <w:b/>
      <w:color w:val="0060A9"/>
      <w:lang w:eastAsia="zh-CN"/>
    </w:rPr>
  </w:style>
  <w:style w:type="paragraph" w:customStyle="1" w:styleId="TableSubtitle">
    <w:name w:val="Table Subtitle"/>
    <w:basedOn w:val="TableText"/>
    <w:next w:val="TableText"/>
    <w:rsid w:val="00E32DBC"/>
    <w:pPr>
      <w:spacing w:before="0"/>
    </w:pPr>
    <w:rPr>
      <w:rFonts w:cs="Arial"/>
      <w:b/>
      <w:i/>
      <w:color w:val="003263"/>
      <w:lang w:eastAsia="zh-CN"/>
    </w:rPr>
  </w:style>
  <w:style w:type="paragraph" w:customStyle="1" w:styleId="TableHeading">
    <w:name w:val="Table Heading"/>
    <w:basedOn w:val="TableText"/>
    <w:rsid w:val="00E4290C"/>
    <w:pPr>
      <w:spacing w:before="360"/>
    </w:pPr>
    <w:rPr>
      <w:b/>
    </w:rPr>
  </w:style>
  <w:style w:type="character" w:customStyle="1" w:styleId="Blue">
    <w:name w:val="Blue"/>
    <w:basedOn w:val="DefaultParagraphFont"/>
    <w:semiHidden/>
    <w:rsid w:val="00E4290C"/>
    <w:rPr>
      <w:rFonts w:ascii="Verdana" w:hAnsi="Verdana"/>
      <w:color w:val="0045A9"/>
      <w:kern w:val="0"/>
      <w:lang w:val="en-GB"/>
    </w:rPr>
  </w:style>
  <w:style w:type="paragraph" w:styleId="ListBullet">
    <w:name w:val="List Bullet"/>
    <w:basedOn w:val="List"/>
    <w:link w:val="ListBulletChar"/>
    <w:rsid w:val="00E4290C"/>
    <w:pPr>
      <w:numPr>
        <w:numId w:val="9"/>
      </w:numPr>
    </w:pPr>
    <w:rPr>
      <w:color w:val="000000"/>
    </w:rPr>
  </w:style>
  <w:style w:type="character" w:customStyle="1" w:styleId="Heading1Char">
    <w:name w:val="Heading 1 Char"/>
    <w:basedOn w:val="DefaultParagraphFont"/>
    <w:link w:val="Heading1"/>
    <w:rsid w:val="00E4290C"/>
    <w:rPr>
      <w:rFonts w:ascii="Arial" w:eastAsia="MS Mincho" w:hAnsi="Arial"/>
      <w:color w:val="003263"/>
      <w:kern w:val="16"/>
      <w:sz w:val="32"/>
      <w:szCs w:val="32"/>
      <w:lang w:val="en-US" w:eastAsia="ja-JP" w:bidi="ar-SA"/>
    </w:rPr>
  </w:style>
  <w:style w:type="paragraph" w:customStyle="1" w:styleId="NumHead3">
    <w:name w:val="NumHead 3"/>
    <w:basedOn w:val="NumHead2"/>
    <w:next w:val="BodyText"/>
    <w:link w:val="NumHead3CharChar"/>
    <w:rsid w:val="00E4290C"/>
    <w:pPr>
      <w:numPr>
        <w:ilvl w:val="2"/>
      </w:numPr>
      <w:tabs>
        <w:tab w:val="left" w:pos="851"/>
      </w:tabs>
      <w:spacing w:after="0" w:line="260" w:lineRule="atLeast"/>
    </w:pPr>
    <w:rPr>
      <w:sz w:val="22"/>
    </w:rPr>
  </w:style>
  <w:style w:type="paragraph" w:styleId="BodyText">
    <w:name w:val="Body Text"/>
    <w:basedOn w:val="Normal"/>
    <w:link w:val="BodyTextChar"/>
    <w:rsid w:val="00E4290C"/>
    <w:pPr>
      <w:spacing w:before="120" w:after="120" w:line="260" w:lineRule="atLeast"/>
    </w:pPr>
  </w:style>
  <w:style w:type="paragraph" w:styleId="ListBullet4">
    <w:name w:val="List Bullet 4"/>
    <w:basedOn w:val="Normal"/>
    <w:semiHidden/>
    <w:rsid w:val="00E4290C"/>
    <w:pPr>
      <w:numPr>
        <w:numId w:val="12"/>
      </w:numPr>
    </w:pPr>
  </w:style>
  <w:style w:type="paragraph" w:styleId="ListBullet5">
    <w:name w:val="List Bullet 5"/>
    <w:basedOn w:val="Normal"/>
    <w:semiHidden/>
    <w:rsid w:val="00E4290C"/>
    <w:pPr>
      <w:numPr>
        <w:numId w:val="13"/>
      </w:numPr>
    </w:pPr>
  </w:style>
  <w:style w:type="paragraph" w:customStyle="1" w:styleId="NumHeadI">
    <w:name w:val="NumHead I"/>
    <w:basedOn w:val="Normal"/>
    <w:next w:val="Normal"/>
    <w:semiHidden/>
    <w:rsid w:val="00E4290C"/>
    <w:pPr>
      <w:keepLines/>
      <w:tabs>
        <w:tab w:val="num" w:pos="1008"/>
      </w:tabs>
      <w:spacing w:before="360" w:line="270" w:lineRule="atLeast"/>
      <w:ind w:left="1008" w:hanging="1008"/>
    </w:pPr>
    <w:rPr>
      <w:b/>
      <w:vanish/>
      <w:color w:val="FF0000"/>
    </w:rPr>
  </w:style>
  <w:style w:type="paragraph" w:customStyle="1" w:styleId="NumHeadII">
    <w:name w:val="NumHead 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II">
    <w:name w:val="NumHead I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V">
    <w:name w:val="NumHead IV"/>
    <w:basedOn w:val="Normal"/>
    <w:next w:val="Normal"/>
    <w:semiHidden/>
    <w:rsid w:val="00E4290C"/>
    <w:pPr>
      <w:keepNext/>
      <w:keepLines/>
      <w:tabs>
        <w:tab w:val="num" w:pos="1008"/>
      </w:tabs>
      <w:spacing w:before="360" w:line="270" w:lineRule="atLeast"/>
      <w:ind w:left="1008" w:hanging="1008"/>
    </w:pPr>
    <w:rPr>
      <w:b/>
    </w:rPr>
  </w:style>
  <w:style w:type="paragraph" w:customStyle="1" w:styleId="NumHeadV">
    <w:name w:val="NumHead V"/>
    <w:basedOn w:val="Normal"/>
    <w:next w:val="Normal"/>
    <w:semiHidden/>
    <w:rsid w:val="00E4290C"/>
    <w:pPr>
      <w:keepNext/>
      <w:keepLines/>
      <w:tabs>
        <w:tab w:val="num" w:pos="1008"/>
      </w:tabs>
      <w:spacing w:before="360" w:line="270" w:lineRule="atLeast"/>
      <w:ind w:left="1008" w:hanging="1008"/>
    </w:pPr>
    <w:rPr>
      <w:b/>
    </w:rPr>
  </w:style>
  <w:style w:type="character" w:customStyle="1" w:styleId="TitleChar">
    <w:name w:val="Title Char"/>
    <w:basedOn w:val="DefaultParagraphFont"/>
    <w:link w:val="Title"/>
    <w:rsid w:val="00E4290C"/>
    <w:rPr>
      <w:rFonts w:ascii="Arial" w:eastAsia="MS Mincho" w:hAnsi="Arial" w:cs="Arial"/>
      <w:color w:val="FFFFFF"/>
      <w:kern w:val="16"/>
      <w:sz w:val="40"/>
      <w:szCs w:val="40"/>
      <w:lang w:val="en-US" w:eastAsia="ja-JP" w:bidi="ar-SA"/>
    </w:rPr>
  </w:style>
  <w:style w:type="paragraph" w:styleId="Subtitle">
    <w:name w:val="Subtitle"/>
    <w:basedOn w:val="Title"/>
    <w:link w:val="SubtitleChar"/>
    <w:qFormat/>
    <w:rsid w:val="0039777B"/>
    <w:pPr>
      <w:spacing w:after="100" w:afterAutospacing="1" w:line="360" w:lineRule="atLeast"/>
    </w:pPr>
    <w:rPr>
      <w:b/>
      <w:i/>
      <w:sz w:val="28"/>
      <w:szCs w:val="28"/>
    </w:rPr>
  </w:style>
  <w:style w:type="paragraph" w:styleId="Salutation">
    <w:name w:val="Salutation"/>
    <w:basedOn w:val="Normal"/>
    <w:next w:val="Normal"/>
    <w:semiHidden/>
    <w:rsid w:val="00E4290C"/>
  </w:style>
  <w:style w:type="paragraph" w:styleId="MessageHeader">
    <w:name w:val="Message Header"/>
    <w:basedOn w:val="Normal"/>
    <w:semiHidden/>
    <w:rsid w:val="00E4290C"/>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NumHead4">
    <w:name w:val="NumHead 4"/>
    <w:basedOn w:val="NumHead3"/>
    <w:next w:val="BodyText"/>
    <w:link w:val="NumHead4CharChar"/>
    <w:rsid w:val="00E4290C"/>
    <w:pPr>
      <w:numPr>
        <w:ilvl w:val="3"/>
      </w:numPr>
      <w:tabs>
        <w:tab w:val="clear" w:pos="851"/>
        <w:tab w:val="left" w:pos="907"/>
      </w:tabs>
    </w:pPr>
    <w:rPr>
      <w:sz w:val="21"/>
      <w:szCs w:val="21"/>
    </w:rPr>
  </w:style>
  <w:style w:type="character" w:customStyle="1" w:styleId="SubtitleChar">
    <w:name w:val="Subtitle Char"/>
    <w:basedOn w:val="TitleChar"/>
    <w:link w:val="Subtitle"/>
    <w:rsid w:val="0039777B"/>
    <w:rPr>
      <w:rFonts w:ascii="Arial" w:eastAsia="MS Mincho" w:hAnsi="Arial" w:cs="Arial"/>
      <w:b/>
      <w:i/>
      <w:color w:val="FFFFFF"/>
      <w:kern w:val="16"/>
      <w:sz w:val="28"/>
      <w:szCs w:val="28"/>
      <w:lang w:val="en-US" w:eastAsia="ja-JP" w:bidi="ar-SA"/>
    </w:rPr>
  </w:style>
  <w:style w:type="paragraph" w:customStyle="1" w:styleId="BodyTextBold">
    <w:name w:val="Body Text Bold"/>
    <w:basedOn w:val="BlockText"/>
    <w:next w:val="BodyText"/>
    <w:rsid w:val="00E4290C"/>
    <w:pPr>
      <w:ind w:left="0"/>
    </w:pPr>
    <w:rPr>
      <w:b/>
    </w:rPr>
  </w:style>
  <w:style w:type="paragraph" w:customStyle="1" w:styleId="NumHead5">
    <w:name w:val="NumHead 5"/>
    <w:basedOn w:val="NumHead4"/>
    <w:next w:val="BodyText"/>
    <w:link w:val="NumHead5CharChar"/>
    <w:rsid w:val="00E4290C"/>
    <w:pPr>
      <w:numPr>
        <w:ilvl w:val="4"/>
      </w:numPr>
      <w:tabs>
        <w:tab w:val="clear" w:pos="907"/>
        <w:tab w:val="left" w:pos="1021"/>
      </w:tabs>
      <w:spacing w:line="240" w:lineRule="atLeast"/>
    </w:pPr>
    <w:rPr>
      <w:szCs w:val="19"/>
    </w:rPr>
  </w:style>
  <w:style w:type="character" w:customStyle="1" w:styleId="NumHead1CharChar">
    <w:name w:val="NumHead 1 Char Char"/>
    <w:basedOn w:val="DefaultParagraphFont"/>
    <w:link w:val="NumHead1"/>
    <w:rsid w:val="00E4290C"/>
    <w:rPr>
      <w:rFonts w:ascii="Arial" w:eastAsia="MS Mincho" w:hAnsi="Arial"/>
      <w:color w:val="003263"/>
      <w:kern w:val="16"/>
      <w:sz w:val="32"/>
      <w:szCs w:val="32"/>
      <w:lang w:val="en-US" w:eastAsia="ja-JP" w:bidi="ar-SA"/>
    </w:rPr>
  </w:style>
  <w:style w:type="character" w:customStyle="1" w:styleId="NumHead2CharChar">
    <w:name w:val="NumHead 2 Char Char"/>
    <w:basedOn w:val="NumHead1CharChar"/>
    <w:link w:val="NumHead2"/>
    <w:rsid w:val="00E4290C"/>
    <w:rPr>
      <w:rFonts w:ascii="Arial" w:eastAsia="MS Mincho" w:hAnsi="Arial" w:cs="Arial"/>
      <w:color w:val="0060A9"/>
      <w:kern w:val="16"/>
      <w:sz w:val="25"/>
      <w:szCs w:val="25"/>
      <w:lang w:val="en-US" w:eastAsia="ja-JP" w:bidi="ar-SA"/>
    </w:rPr>
  </w:style>
  <w:style w:type="paragraph" w:customStyle="1" w:styleId="Question1">
    <w:name w:val="Question 1"/>
    <w:basedOn w:val="Normal"/>
    <w:next w:val="BodyText"/>
    <w:rsid w:val="00E4290C"/>
    <w:pPr>
      <w:keepNext/>
      <w:keepLines/>
      <w:numPr>
        <w:numId w:val="21"/>
      </w:numPr>
      <w:pBdr>
        <w:bottom w:val="single" w:sz="2" w:space="4" w:color="8499A6"/>
      </w:pBdr>
      <w:adjustRightInd/>
      <w:spacing w:before="600" w:after="60"/>
    </w:pPr>
    <w:rPr>
      <w:color w:val="0060A9"/>
      <w:lang w:val="en-CA" w:eastAsia="en-US"/>
    </w:rPr>
  </w:style>
  <w:style w:type="paragraph" w:customStyle="1" w:styleId="Question2">
    <w:name w:val="Question 2"/>
    <w:basedOn w:val="Question1"/>
    <w:next w:val="BodyText"/>
    <w:rsid w:val="00E4290C"/>
    <w:pPr>
      <w:numPr>
        <w:numId w:val="0"/>
      </w:numPr>
    </w:pPr>
  </w:style>
  <w:style w:type="paragraph" w:styleId="List">
    <w:name w:val="List"/>
    <w:basedOn w:val="BodyText"/>
    <w:link w:val="ListChar"/>
    <w:rsid w:val="00E4290C"/>
    <w:pPr>
      <w:numPr>
        <w:numId w:val="5"/>
      </w:numPr>
      <w:spacing w:line="240" w:lineRule="atLeast"/>
    </w:pPr>
    <w:rPr>
      <w:sz w:val="19"/>
      <w:szCs w:val="19"/>
      <w:lang w:val="en-CA"/>
    </w:rPr>
  </w:style>
  <w:style w:type="paragraph" w:customStyle="1" w:styleId="DateFrontpage">
    <w:name w:val="Date Front page"/>
    <w:basedOn w:val="BodyText"/>
    <w:rsid w:val="00E4290C"/>
    <w:pPr>
      <w:framePr w:w="4043" w:h="357" w:hRule="exact" w:hSpace="181" w:wrap="notBeside" w:vAnchor="page" w:hAnchor="page" w:x="1231" w:y="5217" w:anchorLock="1"/>
      <w:spacing w:after="240"/>
    </w:pPr>
    <w:rPr>
      <w:smallCaps/>
      <w:color w:val="FFFFFF"/>
      <w:sz w:val="16"/>
      <w:szCs w:val="16"/>
    </w:rPr>
  </w:style>
  <w:style w:type="character" w:customStyle="1" w:styleId="NumHead3CharChar">
    <w:name w:val="NumHead 3 Char Char"/>
    <w:basedOn w:val="NumHead2CharChar"/>
    <w:link w:val="NumHead3"/>
    <w:rsid w:val="00E4290C"/>
    <w:rPr>
      <w:rFonts w:ascii="Arial" w:eastAsia="MS Mincho" w:hAnsi="Arial" w:cs="Arial"/>
      <w:color w:val="0060A9"/>
      <w:kern w:val="16"/>
      <w:sz w:val="22"/>
      <w:szCs w:val="25"/>
      <w:lang w:val="en-US" w:eastAsia="ja-JP" w:bidi="ar-SA"/>
    </w:rPr>
  </w:style>
  <w:style w:type="character" w:customStyle="1" w:styleId="NumHead4CharChar">
    <w:name w:val="NumHead 4 Char Char"/>
    <w:basedOn w:val="NumHead3CharChar"/>
    <w:link w:val="NumHead4"/>
    <w:rsid w:val="00E4290C"/>
    <w:rPr>
      <w:rFonts w:ascii="Arial" w:eastAsia="MS Mincho" w:hAnsi="Arial" w:cs="Arial"/>
      <w:color w:val="0060A9"/>
      <w:kern w:val="16"/>
      <w:sz w:val="21"/>
      <w:szCs w:val="21"/>
      <w:lang w:val="en-US" w:eastAsia="ja-JP" w:bidi="ar-SA"/>
    </w:rPr>
  </w:style>
  <w:style w:type="character" w:customStyle="1" w:styleId="BodyTextChar">
    <w:name w:val="Body Text Char"/>
    <w:basedOn w:val="DefaultParagraphFont"/>
    <w:link w:val="BodyText"/>
    <w:rsid w:val="00E4290C"/>
    <w:rPr>
      <w:rFonts w:ascii="Arial" w:eastAsia="MS Mincho" w:hAnsi="Arial"/>
      <w:kern w:val="16"/>
      <w:lang w:val="en-US" w:eastAsia="ja-JP" w:bidi="ar-SA"/>
    </w:rPr>
  </w:style>
  <w:style w:type="paragraph" w:styleId="PlainText">
    <w:name w:val="Plain Text"/>
    <w:basedOn w:val="Normal"/>
    <w:semiHidden/>
    <w:rsid w:val="00E4290C"/>
    <w:rPr>
      <w:rFonts w:ascii="Courier New" w:hAnsi="Courier New" w:cs="Courier New"/>
    </w:rPr>
  </w:style>
  <w:style w:type="numbering" w:styleId="111111">
    <w:name w:val="Outline List 2"/>
    <w:basedOn w:val="NoList"/>
    <w:semiHidden/>
    <w:rsid w:val="00E4290C"/>
    <w:pPr>
      <w:numPr>
        <w:numId w:val="1"/>
      </w:numPr>
    </w:pPr>
  </w:style>
  <w:style w:type="paragraph" w:styleId="BlockText">
    <w:name w:val="Block Text"/>
    <w:basedOn w:val="Normal"/>
    <w:semiHidden/>
    <w:rsid w:val="00E4290C"/>
    <w:pPr>
      <w:ind w:left="1440" w:right="1440"/>
    </w:pPr>
  </w:style>
  <w:style w:type="character" w:customStyle="1" w:styleId="NumHead5CharChar">
    <w:name w:val="NumHead 5 Char Char"/>
    <w:basedOn w:val="NumHead4CharChar"/>
    <w:link w:val="NumHead5"/>
    <w:rsid w:val="00E4290C"/>
    <w:rPr>
      <w:rFonts w:ascii="Arial" w:eastAsia="MS Mincho" w:hAnsi="Arial" w:cs="Arial"/>
      <w:color w:val="0060A9"/>
      <w:kern w:val="16"/>
      <w:sz w:val="21"/>
      <w:szCs w:val="19"/>
      <w:lang w:val="en-US" w:eastAsia="ja-JP" w:bidi="ar-SA"/>
    </w:rPr>
  </w:style>
  <w:style w:type="character" w:customStyle="1" w:styleId="Heading1CharChar">
    <w:name w:val="Heading 1 Char Char"/>
    <w:basedOn w:val="DefaultParagraphFont"/>
    <w:rsid w:val="00541410"/>
    <w:rPr>
      <w:rFonts w:ascii="Arial" w:eastAsia="MS Mincho" w:hAnsi="Arial"/>
      <w:color w:val="003263"/>
      <w:kern w:val="16"/>
      <w:sz w:val="32"/>
      <w:szCs w:val="32"/>
      <w:lang w:val="en-US" w:eastAsia="ja-JP" w:bidi="ar-SA"/>
    </w:rPr>
  </w:style>
  <w:style w:type="paragraph" w:customStyle="1" w:styleId="Question3">
    <w:name w:val="Question 3"/>
    <w:basedOn w:val="Question1"/>
    <w:next w:val="BodyText"/>
    <w:rsid w:val="00E4290C"/>
    <w:pPr>
      <w:numPr>
        <w:numId w:val="22"/>
      </w:numPr>
    </w:pPr>
  </w:style>
  <w:style w:type="paragraph" w:customStyle="1" w:styleId="Question5">
    <w:name w:val="Question 5"/>
    <w:basedOn w:val="Question1"/>
    <w:next w:val="BodyText"/>
    <w:rsid w:val="00E4290C"/>
    <w:pPr>
      <w:numPr>
        <w:numId w:val="24"/>
      </w:numPr>
    </w:pPr>
  </w:style>
  <w:style w:type="paragraph" w:customStyle="1" w:styleId="Question4">
    <w:name w:val="Question 4"/>
    <w:basedOn w:val="Question1"/>
    <w:next w:val="BodyText"/>
    <w:rsid w:val="00E4290C"/>
    <w:pPr>
      <w:numPr>
        <w:numId w:val="23"/>
      </w:numPr>
    </w:pPr>
  </w:style>
  <w:style w:type="character" w:customStyle="1" w:styleId="Heading2Char">
    <w:name w:val="Heading 2 Char"/>
    <w:basedOn w:val="Heading1Char"/>
    <w:link w:val="Heading2"/>
    <w:rsid w:val="00E4290C"/>
    <w:rPr>
      <w:rFonts w:ascii="Arial" w:eastAsia="MS Mincho" w:hAnsi="Arial"/>
      <w:color w:val="0060A9"/>
      <w:kern w:val="16"/>
      <w:sz w:val="25"/>
      <w:szCs w:val="25"/>
      <w:lang w:val="en-US" w:eastAsia="ja-JP" w:bidi="ar-SA"/>
    </w:rPr>
  </w:style>
  <w:style w:type="paragraph" w:customStyle="1" w:styleId="Redtext">
    <w:name w:val="Red text"/>
    <w:basedOn w:val="BodyText"/>
    <w:rsid w:val="00E4290C"/>
    <w:rPr>
      <w:i/>
      <w:color w:val="FF0000"/>
    </w:rPr>
  </w:style>
  <w:style w:type="paragraph" w:customStyle="1" w:styleId="TitleDisclaimer">
    <w:name w:val="Title Disclaimer"/>
    <w:basedOn w:val="Heading1"/>
    <w:rsid w:val="00E4290C"/>
  </w:style>
  <w:style w:type="paragraph" w:customStyle="1" w:styleId="Quotation">
    <w:name w:val="Quotation"/>
    <w:basedOn w:val="SubHeading"/>
    <w:rsid w:val="0039777B"/>
    <w:pPr>
      <w:spacing w:after="120" w:line="280" w:lineRule="atLeast"/>
    </w:pPr>
    <w:rPr>
      <w:sz w:val="18"/>
    </w:rPr>
  </w:style>
  <w:style w:type="character" w:customStyle="1" w:styleId="ListChar">
    <w:name w:val="List Char"/>
    <w:basedOn w:val="DefaultParagraphFont"/>
    <w:link w:val="List"/>
    <w:rsid w:val="00E4290C"/>
    <w:rPr>
      <w:rFonts w:ascii="Arial" w:eastAsia="MS Mincho" w:hAnsi="Arial"/>
      <w:kern w:val="16"/>
      <w:sz w:val="19"/>
      <w:szCs w:val="19"/>
      <w:lang w:val="en-CA" w:eastAsia="ja-JP" w:bidi="ar-SA"/>
    </w:rPr>
  </w:style>
  <w:style w:type="character" w:customStyle="1" w:styleId="ListBulletChar">
    <w:name w:val="List Bullet Char"/>
    <w:basedOn w:val="DefaultParagraphFont"/>
    <w:link w:val="ListBullet"/>
    <w:rsid w:val="004A21A3"/>
    <w:rPr>
      <w:rFonts w:ascii="Arial" w:eastAsia="MS Mincho" w:hAnsi="Arial"/>
      <w:color w:val="000000"/>
      <w:kern w:val="16"/>
      <w:sz w:val="19"/>
      <w:szCs w:val="19"/>
      <w:lang w:val="en-CA" w:eastAsia="ja-JP" w:bidi="ar-SA"/>
    </w:rPr>
  </w:style>
  <w:style w:type="numbering" w:customStyle="1" w:styleId="NumHeadListChapter">
    <w:name w:val="NumHead List Chapter"/>
    <w:basedOn w:val="NoList"/>
    <w:semiHidden/>
    <w:rsid w:val="00E4290C"/>
    <w:pPr>
      <w:numPr>
        <w:numId w:val="29"/>
      </w:numPr>
    </w:pPr>
  </w:style>
  <w:style w:type="numbering" w:customStyle="1" w:styleId="NumHeadListAppendix">
    <w:name w:val="NumHead List Appendix"/>
    <w:basedOn w:val="NoList"/>
    <w:semiHidden/>
    <w:rsid w:val="00E4290C"/>
    <w:pPr>
      <w:numPr>
        <w:numId w:val="19"/>
      </w:numPr>
    </w:pPr>
  </w:style>
  <w:style w:type="character" w:customStyle="1" w:styleId="ListBullet2Char">
    <w:name w:val="List Bullet 2 Char"/>
    <w:basedOn w:val="ListBulletChar"/>
    <w:link w:val="ListBullet2"/>
    <w:rsid w:val="00E4290C"/>
    <w:rPr>
      <w:rFonts w:ascii="Arial" w:eastAsia="MS Mincho" w:hAnsi="Arial"/>
      <w:color w:val="000000"/>
      <w:kern w:val="16"/>
      <w:sz w:val="19"/>
      <w:szCs w:val="19"/>
      <w:lang w:val="en-CA" w:eastAsia="ja-JP" w:bidi="ar-SA"/>
    </w:rPr>
  </w:style>
  <w:style w:type="character" w:customStyle="1" w:styleId="TableTextCharChar">
    <w:name w:val="Table Text Char Char"/>
    <w:basedOn w:val="DefaultParagraphFont"/>
    <w:link w:val="TableText"/>
    <w:rsid w:val="00E4290C"/>
    <w:rPr>
      <w:rFonts w:ascii="Arial" w:eastAsia="MS Mincho" w:hAnsi="Arial"/>
      <w:kern w:val="16"/>
      <w:sz w:val="18"/>
      <w:szCs w:val="18"/>
      <w:lang w:val="en-US" w:eastAsia="ja-JP" w:bidi="ar-SA"/>
    </w:rPr>
  </w:style>
  <w:style w:type="paragraph" w:customStyle="1" w:styleId="SubHeading">
    <w:name w:val="Sub Heading"/>
    <w:next w:val="BodyText"/>
    <w:rsid w:val="0039777B"/>
    <w:pPr>
      <w:spacing w:before="120" w:after="1080" w:line="260" w:lineRule="atLeast"/>
    </w:pPr>
    <w:rPr>
      <w:rFonts w:ascii="Arial" w:eastAsia="MS Mincho" w:hAnsi="Arial"/>
      <w:b/>
      <w:i/>
      <w:color w:val="0060A9"/>
      <w:kern w:val="16"/>
      <w:sz w:val="24"/>
      <w:szCs w:val="24"/>
      <w:lang w:eastAsia="ja-JP"/>
    </w:rPr>
  </w:style>
  <w:style w:type="paragraph" w:customStyle="1" w:styleId="FootnoteSeparator">
    <w:name w:val="Footnote Separator"/>
    <w:basedOn w:val="Normal"/>
    <w:semiHidden/>
    <w:rsid w:val="00E4290C"/>
    <w:pPr>
      <w:keepLines/>
    </w:pPr>
    <w:rPr>
      <w:rFonts w:cs="Arial"/>
      <w:noProof/>
      <w:sz w:val="10"/>
      <w:szCs w:val="10"/>
      <w:lang w:eastAsia="en-GB"/>
    </w:rPr>
  </w:style>
  <w:style w:type="paragraph" w:customStyle="1" w:styleId="Default">
    <w:name w:val="Default"/>
    <w:semiHidden/>
    <w:rsid w:val="00E4290C"/>
    <w:pPr>
      <w:autoSpaceDE w:val="0"/>
      <w:autoSpaceDN w:val="0"/>
      <w:adjustRightInd w:val="0"/>
    </w:pPr>
    <w:rPr>
      <w:rFonts w:ascii="Arial" w:eastAsia="Times New Roman" w:hAnsi="Arial" w:cs="Arial"/>
      <w:color w:val="000000"/>
      <w:sz w:val="24"/>
      <w:szCs w:val="24"/>
    </w:rPr>
  </w:style>
  <w:style w:type="paragraph" w:customStyle="1" w:styleId="Heading1Spacer">
    <w:name w:val="Heading 1_Spacer"/>
    <w:basedOn w:val="Heading1"/>
    <w:next w:val="BodyText"/>
    <w:rsid w:val="00E4290C"/>
    <w:pPr>
      <w:pBdr>
        <w:bottom w:val="none" w:sz="0" w:space="0" w:color="auto"/>
      </w:pBdr>
      <w:ind w:left="578" w:hanging="578"/>
    </w:pPr>
    <w:rPr>
      <w:color w:val="FFFFFF"/>
      <w:sz w:val="36"/>
    </w:rPr>
  </w:style>
  <w:style w:type="character" w:styleId="Hyperlink">
    <w:name w:val="Hyperlink"/>
    <w:basedOn w:val="DefaultParagraphFont"/>
    <w:rsid w:val="00E4290C"/>
    <w:rPr>
      <w:rFonts w:ascii="Arial" w:hAnsi="Arial"/>
      <w:b/>
      <w:color w:val="000000"/>
      <w:sz w:val="20"/>
      <w:u w:val="none"/>
      <w:lang w:val="en-GB"/>
    </w:rPr>
  </w:style>
  <w:style w:type="character" w:customStyle="1" w:styleId="FooterChar">
    <w:name w:val="Footer Char"/>
    <w:basedOn w:val="DefaultParagraphFont"/>
    <w:link w:val="Footer"/>
    <w:rsid w:val="00887BA1"/>
    <w:rPr>
      <w:rFonts w:ascii="Arial" w:eastAsia="MS Mincho" w:hAnsi="Arial"/>
      <w:caps/>
      <w:noProof/>
      <w:snapToGrid w:val="0"/>
      <w:color w:val="003263"/>
      <w:spacing w:val="20"/>
      <w:kern w:val="12"/>
      <w:sz w:val="12"/>
      <w:szCs w:val="12"/>
      <w:lang w:eastAsia="ja-JP"/>
    </w:rPr>
  </w:style>
  <w:style w:type="paragraph" w:styleId="ListBullet2">
    <w:name w:val="List Bullet 2"/>
    <w:basedOn w:val="ListBullet"/>
    <w:link w:val="ListBullet2Char"/>
    <w:rsid w:val="00E4290C"/>
    <w:pPr>
      <w:numPr>
        <w:numId w:val="10"/>
      </w:numPr>
    </w:pPr>
  </w:style>
  <w:style w:type="paragraph" w:styleId="ListBullet3">
    <w:name w:val="List Bullet 3"/>
    <w:basedOn w:val="ListBullet2"/>
    <w:rsid w:val="00E4290C"/>
    <w:pPr>
      <w:numPr>
        <w:numId w:val="11"/>
      </w:numPr>
    </w:pPr>
    <w:rPr>
      <w:color w:val="auto"/>
    </w:rPr>
  </w:style>
  <w:style w:type="character" w:styleId="PageNumber">
    <w:name w:val="page number"/>
    <w:semiHidden/>
    <w:rsid w:val="00E4290C"/>
  </w:style>
  <w:style w:type="paragraph" w:customStyle="1" w:styleId="TableMultipleColumnTitle">
    <w:name w:val="Table Multiple Column Title"/>
    <w:basedOn w:val="Normal"/>
    <w:semiHidden/>
    <w:rsid w:val="00E4290C"/>
    <w:pPr>
      <w:keepNext/>
      <w:keepLines/>
      <w:spacing w:before="50" w:after="30"/>
      <w:jc w:val="center"/>
    </w:pPr>
    <w:rPr>
      <w:b/>
      <w:sz w:val="17"/>
      <w:szCs w:val="17"/>
    </w:rPr>
  </w:style>
  <w:style w:type="paragraph" w:customStyle="1" w:styleId="TableHeaderRowBlue">
    <w:name w:val="Table Header Row Blue"/>
    <w:basedOn w:val="TableHeaderRowBrightBlue"/>
    <w:next w:val="TableText"/>
    <w:link w:val="TableHeaderRowBlueChar"/>
    <w:rsid w:val="00E32DBC"/>
    <w:rPr>
      <w:bCs/>
      <w:color w:val="003263"/>
      <w:lang w:eastAsia="ja-JP"/>
    </w:rPr>
  </w:style>
  <w:style w:type="paragraph" w:customStyle="1" w:styleId="TableHeaderRowBrightBlue">
    <w:name w:val="Table Header Row Bright Blue"/>
    <w:next w:val="TableText"/>
    <w:link w:val="TableHeaderRowBrightBlueChar"/>
    <w:rsid w:val="00E32DBC"/>
    <w:pPr>
      <w:spacing w:before="40" w:after="40" w:line="200" w:lineRule="atLeast"/>
      <w:jc w:val="center"/>
    </w:pPr>
    <w:rPr>
      <w:rFonts w:ascii="Arial" w:eastAsia="MS Mincho" w:hAnsi="Arial" w:cs="Arial"/>
      <w:b/>
      <w:color w:val="0060A9"/>
      <w:kern w:val="16"/>
      <w:sz w:val="16"/>
      <w:szCs w:val="18"/>
      <w:lang w:eastAsia="zh-CN"/>
    </w:rPr>
  </w:style>
  <w:style w:type="paragraph" w:customStyle="1" w:styleId="Disclaimer">
    <w:name w:val="Disclaimer"/>
    <w:basedOn w:val="BodyText"/>
    <w:rsid w:val="00E4290C"/>
    <w:pPr>
      <w:framePr w:hSpace="181" w:wrap="around" w:vAnchor="page" w:hAnchor="text" w:y="13402"/>
      <w:spacing w:before="80" w:after="80" w:line="240" w:lineRule="auto"/>
      <w:jc w:val="both"/>
    </w:pPr>
    <w:rPr>
      <w:rFonts w:eastAsia="Times New Roman"/>
      <w:sz w:val="13"/>
      <w:szCs w:val="13"/>
    </w:rPr>
  </w:style>
  <w:style w:type="paragraph" w:customStyle="1" w:styleId="FooterCopyright">
    <w:name w:val="Footer Copyright"/>
    <w:basedOn w:val="FooterBackcover"/>
    <w:rsid w:val="00E4290C"/>
    <w:pPr>
      <w:jc w:val="right"/>
    </w:pPr>
    <w:rPr>
      <w:sz w:val="18"/>
    </w:rPr>
  </w:style>
  <w:style w:type="paragraph" w:customStyle="1" w:styleId="TableMultipleTitle">
    <w:name w:val="Table Multiple Title"/>
    <w:basedOn w:val="Normal"/>
    <w:next w:val="EndnoteText"/>
    <w:semiHidden/>
    <w:rsid w:val="00E4290C"/>
    <w:pPr>
      <w:keepNext/>
      <w:spacing w:before="300" w:after="30" w:line="230" w:lineRule="atLeast"/>
      <w:jc w:val="center"/>
    </w:pPr>
    <w:rPr>
      <w:b/>
      <w:szCs w:val="18"/>
    </w:rPr>
  </w:style>
  <w:style w:type="paragraph" w:customStyle="1" w:styleId="Heading1Sub-Heading">
    <w:name w:val="Heading 1 + Sub-Heading"/>
    <w:basedOn w:val="Heading1"/>
    <w:rsid w:val="00E4290C"/>
    <w:pPr>
      <w:spacing w:after="120"/>
    </w:pPr>
  </w:style>
  <w:style w:type="character" w:customStyle="1" w:styleId="Lead-inEmphasis">
    <w:name w:val="Lead-in Emphasis"/>
    <w:rsid w:val="00E4290C"/>
    <w:rPr>
      <w:rFonts w:ascii="Arial Black" w:hAnsi="Arial Black"/>
      <w:spacing w:val="-4"/>
      <w:sz w:val="18"/>
    </w:rPr>
  </w:style>
  <w:style w:type="paragraph" w:customStyle="1" w:styleId="RAGRed">
    <w:name w:val="RAG Red"/>
    <w:rsid w:val="00E4290C"/>
    <w:rPr>
      <w:rFonts w:ascii="Wingdings" w:eastAsia="MS Mincho" w:hAnsi="Wingdings"/>
      <w:color w:val="F93F26"/>
      <w:kern w:val="16"/>
      <w:szCs w:val="18"/>
      <w:lang w:eastAsia="ja-JP"/>
    </w:rPr>
  </w:style>
  <w:style w:type="paragraph" w:customStyle="1" w:styleId="RAGAmber">
    <w:name w:val="RAG Amber"/>
    <w:basedOn w:val="RAGRed"/>
    <w:rsid w:val="00E4290C"/>
    <w:rPr>
      <w:color w:val="FCA311"/>
    </w:rPr>
  </w:style>
  <w:style w:type="paragraph" w:customStyle="1" w:styleId="RAGGreen">
    <w:name w:val="RAG Green"/>
    <w:basedOn w:val="RAGAmber"/>
    <w:rsid w:val="00E4290C"/>
    <w:rPr>
      <w:color w:val="C0D30B"/>
    </w:rPr>
  </w:style>
  <w:style w:type="character" w:styleId="FootnoteReference">
    <w:name w:val="footnote reference"/>
    <w:basedOn w:val="DefaultParagraphFont"/>
    <w:semiHidden/>
    <w:rsid w:val="00E4290C"/>
    <w:rPr>
      <w:vertAlign w:val="superscript"/>
      <w:lang w:val="en-GB"/>
    </w:rPr>
  </w:style>
  <w:style w:type="table" w:customStyle="1" w:styleId="RBCFigureTable">
    <w:name w:val="RBC Figure Table"/>
    <w:basedOn w:val="TableNormal"/>
    <w:rsid w:val="00E4290C"/>
    <w:pPr>
      <w:spacing w:before="60" w:after="60"/>
    </w:pPr>
    <w:rPr>
      <w:rFonts w:ascii="Arial" w:eastAsia="Times New Roman" w:hAnsi="Arial"/>
    </w:rPr>
    <w:tblPr>
      <w:tblStyleRowBandSize w:val="1"/>
      <w:tblStyleColBandSize w:val="3"/>
    </w:tblPr>
    <w:tcPr>
      <w:shd w:val="clear" w:color="auto" w:fill="auto"/>
    </w:tcPr>
    <w:tblStylePr w:type="firstRow">
      <w:pPr>
        <w:jc w:val="left"/>
      </w:pPr>
      <w:rPr>
        <w:rFonts w:ascii="Arial" w:hAnsi="Arial"/>
        <w:b/>
        <w:color w:val="FFFFFF"/>
        <w:sz w:val="18"/>
      </w:rPr>
      <w:tblPr/>
      <w:tcPr>
        <w:tcBorders>
          <w:top w:val="nil"/>
          <w:left w:val="nil"/>
          <w:bottom w:val="nil"/>
          <w:right w:val="nil"/>
          <w:insideH w:val="nil"/>
          <w:insideV w:val="nil"/>
          <w:tl2br w:val="nil"/>
          <w:tr2bl w:val="nil"/>
        </w:tcBorders>
        <w:shd w:val="clear" w:color="auto" w:fill="00254B"/>
      </w:tcPr>
    </w:tblStylePr>
    <w:tblStylePr w:type="lastRow">
      <w:pPr>
        <w:wordWrap/>
        <w:spacing w:beforeLines="0" w:before="0" w:beforeAutospacing="0"/>
        <w:ind w:leftChars="0" w:left="0" w:rightChars="0" w:right="0"/>
      </w:pPr>
      <w:rPr>
        <w:rFonts w:ascii="Arial" w:hAnsi="Arial"/>
        <w:b/>
        <w:sz w:val="18"/>
      </w:rPr>
      <w:tblPr/>
      <w:tcPr>
        <w:tcBorders>
          <w:top w:val="single" w:sz="6" w:space="0" w:color="A29989"/>
          <w:bottom w:val="single" w:sz="6" w:space="0" w:color="auto"/>
        </w:tcBorders>
        <w:shd w:val="clear" w:color="auto" w:fill="auto"/>
      </w:tcPr>
    </w:tblStylePr>
    <w:tblStylePr w:type="firstCol">
      <w:tblPr/>
      <w:tcPr>
        <w:tcBorders>
          <w:top w:val="nil"/>
          <w:left w:val="nil"/>
          <w:bottom w:val="nil"/>
          <w:right w:val="nil"/>
          <w:insideH w:val="nil"/>
          <w:insideV w:val="nil"/>
        </w:tcBorders>
        <w:shd w:val="clear" w:color="auto" w:fill="auto"/>
      </w:tcPr>
    </w:tblStylePr>
  </w:style>
  <w:style w:type="character" w:customStyle="1" w:styleId="TableBullet2CharChar">
    <w:name w:val="Table Bullet 2 Char Char"/>
    <w:basedOn w:val="TableBullet1CharChar"/>
    <w:link w:val="TableBullet2"/>
    <w:rsid w:val="00E4290C"/>
    <w:rPr>
      <w:rFonts w:ascii="Arial" w:eastAsia="MS Mincho" w:hAnsi="Arial"/>
      <w:kern w:val="16"/>
      <w:sz w:val="16"/>
      <w:szCs w:val="18"/>
      <w:lang w:val="en-CA" w:eastAsia="ja-JP" w:bidi="ar-SA"/>
    </w:rPr>
  </w:style>
  <w:style w:type="numbering" w:styleId="1ai">
    <w:name w:val="Outline List 1"/>
    <w:basedOn w:val="NoList"/>
    <w:semiHidden/>
    <w:rsid w:val="00E4290C"/>
    <w:pPr>
      <w:numPr>
        <w:numId w:val="2"/>
      </w:numPr>
    </w:pPr>
  </w:style>
  <w:style w:type="numbering" w:styleId="ArticleSection">
    <w:name w:val="Outline List 3"/>
    <w:basedOn w:val="NoList"/>
    <w:semiHidden/>
    <w:rsid w:val="00E4290C"/>
    <w:pPr>
      <w:numPr>
        <w:numId w:val="3"/>
      </w:numPr>
    </w:pPr>
  </w:style>
  <w:style w:type="paragraph" w:styleId="BodyText2">
    <w:name w:val="Body Text 2"/>
    <w:basedOn w:val="Normal"/>
    <w:semiHidden/>
    <w:rsid w:val="00E4290C"/>
    <w:pPr>
      <w:spacing w:line="480" w:lineRule="auto"/>
    </w:pPr>
  </w:style>
  <w:style w:type="paragraph" w:styleId="BodyText3">
    <w:name w:val="Body Text 3"/>
    <w:basedOn w:val="Normal"/>
    <w:semiHidden/>
    <w:rsid w:val="00E4290C"/>
    <w:rPr>
      <w:sz w:val="16"/>
      <w:szCs w:val="16"/>
    </w:rPr>
  </w:style>
  <w:style w:type="paragraph" w:styleId="BodyTextFirstIndent">
    <w:name w:val="Body Text First Indent"/>
    <w:basedOn w:val="BodyText"/>
    <w:semiHidden/>
    <w:rsid w:val="00E4290C"/>
    <w:pPr>
      <w:ind w:firstLine="210"/>
    </w:pPr>
  </w:style>
  <w:style w:type="paragraph" w:styleId="BodyTextIndent">
    <w:name w:val="Body Text Indent"/>
    <w:basedOn w:val="Normal"/>
    <w:semiHidden/>
    <w:rsid w:val="00E4290C"/>
    <w:pPr>
      <w:ind w:left="283"/>
    </w:pPr>
  </w:style>
  <w:style w:type="paragraph" w:styleId="BodyTextFirstIndent2">
    <w:name w:val="Body Text First Indent 2"/>
    <w:basedOn w:val="BodyTextIndent"/>
    <w:semiHidden/>
    <w:rsid w:val="00E4290C"/>
    <w:pPr>
      <w:ind w:firstLine="210"/>
    </w:pPr>
  </w:style>
  <w:style w:type="paragraph" w:styleId="BodyTextIndent2">
    <w:name w:val="Body Text Indent 2"/>
    <w:basedOn w:val="Normal"/>
    <w:semiHidden/>
    <w:rsid w:val="00E4290C"/>
    <w:pPr>
      <w:spacing w:line="480" w:lineRule="auto"/>
      <w:ind w:left="283"/>
    </w:pPr>
  </w:style>
  <w:style w:type="paragraph" w:styleId="BodyTextIndent3">
    <w:name w:val="Body Text Indent 3"/>
    <w:basedOn w:val="Normal"/>
    <w:semiHidden/>
    <w:rsid w:val="00E4290C"/>
    <w:pPr>
      <w:ind w:left="283"/>
    </w:pPr>
    <w:rPr>
      <w:sz w:val="16"/>
      <w:szCs w:val="16"/>
    </w:rPr>
  </w:style>
  <w:style w:type="paragraph" w:styleId="Closing">
    <w:name w:val="Closing"/>
    <w:basedOn w:val="Normal"/>
    <w:semiHidden/>
    <w:rsid w:val="00E4290C"/>
    <w:pPr>
      <w:ind w:left="4252"/>
    </w:pPr>
  </w:style>
  <w:style w:type="paragraph" w:styleId="Date">
    <w:name w:val="Date"/>
    <w:basedOn w:val="Normal"/>
    <w:next w:val="Normal"/>
    <w:semiHidden/>
    <w:rsid w:val="00E4290C"/>
  </w:style>
  <w:style w:type="paragraph" w:styleId="E-mailSignature">
    <w:name w:val="E-mail Signature"/>
    <w:basedOn w:val="Normal"/>
    <w:semiHidden/>
    <w:rsid w:val="00E4290C"/>
  </w:style>
  <w:style w:type="character" w:styleId="Emphasis">
    <w:name w:val="Emphasis"/>
    <w:basedOn w:val="DefaultParagraphFont"/>
    <w:qFormat/>
    <w:rsid w:val="00E4290C"/>
    <w:rPr>
      <w:i/>
      <w:iCs/>
      <w:lang w:val="en-GB"/>
    </w:rPr>
  </w:style>
  <w:style w:type="paragraph" w:styleId="EnvelopeAddress">
    <w:name w:val="envelope address"/>
    <w:basedOn w:val="Normal"/>
    <w:semiHidden/>
    <w:rsid w:val="00E4290C"/>
    <w:pPr>
      <w:framePr w:w="7920" w:h="1980" w:hRule="exact" w:hSpace="180" w:wrap="auto" w:hAnchor="page" w:xAlign="center" w:yAlign="bottom"/>
      <w:ind w:left="2880"/>
    </w:pPr>
    <w:rPr>
      <w:rFonts w:cs="Arial"/>
    </w:rPr>
  </w:style>
  <w:style w:type="paragraph" w:styleId="EnvelopeReturn">
    <w:name w:val="envelope return"/>
    <w:basedOn w:val="Normal"/>
    <w:semiHidden/>
    <w:rsid w:val="00E4290C"/>
    <w:rPr>
      <w:rFonts w:cs="Arial"/>
    </w:rPr>
  </w:style>
  <w:style w:type="character" w:styleId="FollowedHyperlink">
    <w:name w:val="FollowedHyperlink"/>
    <w:basedOn w:val="DefaultParagraphFont"/>
    <w:semiHidden/>
    <w:rsid w:val="00E4290C"/>
    <w:rPr>
      <w:color w:val="800080"/>
      <w:u w:val="single"/>
      <w:lang w:val="en-GB"/>
    </w:rPr>
  </w:style>
  <w:style w:type="character" w:styleId="HTMLAcronym">
    <w:name w:val="HTML Acronym"/>
    <w:basedOn w:val="DefaultParagraphFont"/>
    <w:semiHidden/>
    <w:rsid w:val="00E4290C"/>
    <w:rPr>
      <w:lang w:val="en-GB"/>
    </w:rPr>
  </w:style>
  <w:style w:type="paragraph" w:styleId="HTMLAddress">
    <w:name w:val="HTML Address"/>
    <w:basedOn w:val="Normal"/>
    <w:semiHidden/>
    <w:rsid w:val="00E4290C"/>
    <w:rPr>
      <w:i/>
      <w:iCs/>
    </w:rPr>
  </w:style>
  <w:style w:type="character" w:styleId="HTMLCite">
    <w:name w:val="HTML Cite"/>
    <w:basedOn w:val="DefaultParagraphFont"/>
    <w:semiHidden/>
    <w:rsid w:val="00E4290C"/>
    <w:rPr>
      <w:i/>
      <w:iCs/>
      <w:lang w:val="en-GB"/>
    </w:rPr>
  </w:style>
  <w:style w:type="character" w:styleId="HTMLCode">
    <w:name w:val="HTML Code"/>
    <w:basedOn w:val="DefaultParagraphFont"/>
    <w:semiHidden/>
    <w:rsid w:val="00E4290C"/>
    <w:rPr>
      <w:rFonts w:ascii="Courier New" w:hAnsi="Courier New" w:cs="Courier New"/>
      <w:sz w:val="20"/>
      <w:szCs w:val="20"/>
      <w:lang w:val="en-GB"/>
    </w:rPr>
  </w:style>
  <w:style w:type="character" w:styleId="HTMLDefinition">
    <w:name w:val="HTML Definition"/>
    <w:basedOn w:val="DefaultParagraphFont"/>
    <w:semiHidden/>
    <w:rsid w:val="00E4290C"/>
    <w:rPr>
      <w:i/>
      <w:iCs/>
      <w:lang w:val="en-GB"/>
    </w:rPr>
  </w:style>
  <w:style w:type="character" w:styleId="HTMLKeyboard">
    <w:name w:val="HTML Keyboard"/>
    <w:basedOn w:val="DefaultParagraphFont"/>
    <w:semiHidden/>
    <w:rsid w:val="00E4290C"/>
    <w:rPr>
      <w:rFonts w:ascii="Courier New" w:hAnsi="Courier New" w:cs="Courier New"/>
      <w:sz w:val="20"/>
      <w:szCs w:val="20"/>
      <w:lang w:val="en-GB"/>
    </w:rPr>
  </w:style>
  <w:style w:type="paragraph" w:styleId="HTMLPreformatted">
    <w:name w:val="HTML Preformatted"/>
    <w:basedOn w:val="Normal"/>
    <w:semiHidden/>
    <w:rsid w:val="00E4290C"/>
    <w:rPr>
      <w:rFonts w:ascii="Courier New" w:hAnsi="Courier New" w:cs="Courier New"/>
    </w:rPr>
  </w:style>
  <w:style w:type="character" w:styleId="HTMLSample">
    <w:name w:val="HTML Sample"/>
    <w:basedOn w:val="DefaultParagraphFont"/>
    <w:semiHidden/>
    <w:rsid w:val="00E4290C"/>
    <w:rPr>
      <w:rFonts w:ascii="Courier New" w:hAnsi="Courier New" w:cs="Courier New"/>
      <w:lang w:val="en-GB"/>
    </w:rPr>
  </w:style>
  <w:style w:type="character" w:styleId="HTMLTypewriter">
    <w:name w:val="HTML Typewriter"/>
    <w:basedOn w:val="DefaultParagraphFont"/>
    <w:semiHidden/>
    <w:rsid w:val="00E4290C"/>
    <w:rPr>
      <w:rFonts w:ascii="Courier New" w:hAnsi="Courier New" w:cs="Courier New"/>
      <w:sz w:val="20"/>
      <w:szCs w:val="20"/>
      <w:lang w:val="en-GB"/>
    </w:rPr>
  </w:style>
  <w:style w:type="character" w:styleId="HTMLVariable">
    <w:name w:val="HTML Variable"/>
    <w:basedOn w:val="DefaultParagraphFont"/>
    <w:semiHidden/>
    <w:rsid w:val="00E4290C"/>
    <w:rPr>
      <w:i/>
      <w:iCs/>
      <w:lang w:val="en-GB"/>
    </w:rPr>
  </w:style>
  <w:style w:type="character" w:styleId="LineNumber">
    <w:name w:val="line number"/>
    <w:basedOn w:val="DefaultParagraphFont"/>
    <w:semiHidden/>
    <w:rsid w:val="00E4290C"/>
    <w:rPr>
      <w:lang w:val="en-GB"/>
    </w:rPr>
  </w:style>
  <w:style w:type="paragraph" w:styleId="List2">
    <w:name w:val="List 2"/>
    <w:basedOn w:val="List"/>
    <w:rsid w:val="00E4290C"/>
    <w:pPr>
      <w:numPr>
        <w:numId w:val="6"/>
      </w:numPr>
    </w:pPr>
  </w:style>
  <w:style w:type="paragraph" w:styleId="List3">
    <w:name w:val="List 3"/>
    <w:basedOn w:val="List2"/>
    <w:rsid w:val="00E4290C"/>
    <w:pPr>
      <w:numPr>
        <w:numId w:val="7"/>
      </w:numPr>
    </w:pPr>
  </w:style>
  <w:style w:type="paragraph" w:styleId="List4">
    <w:name w:val="List 4"/>
    <w:basedOn w:val="List3"/>
    <w:rsid w:val="00E4290C"/>
    <w:pPr>
      <w:numPr>
        <w:numId w:val="8"/>
      </w:numPr>
    </w:pPr>
    <w:rPr>
      <w:rFonts w:cs="Arial"/>
    </w:rPr>
  </w:style>
  <w:style w:type="paragraph" w:styleId="List5">
    <w:name w:val="List 5"/>
    <w:basedOn w:val="Normal"/>
    <w:semiHidden/>
    <w:rsid w:val="00E4290C"/>
    <w:pPr>
      <w:ind w:left="1415" w:hanging="283"/>
    </w:pPr>
  </w:style>
  <w:style w:type="paragraph" w:styleId="ListContinue">
    <w:name w:val="List Continue"/>
    <w:basedOn w:val="Normal"/>
    <w:semiHidden/>
    <w:rsid w:val="00E4290C"/>
    <w:pPr>
      <w:ind w:left="283"/>
    </w:pPr>
  </w:style>
  <w:style w:type="paragraph" w:styleId="ListContinue2">
    <w:name w:val="List Continue 2"/>
    <w:basedOn w:val="Normal"/>
    <w:semiHidden/>
    <w:rsid w:val="00E4290C"/>
    <w:pPr>
      <w:ind w:left="566"/>
    </w:pPr>
  </w:style>
  <w:style w:type="paragraph" w:styleId="ListContinue3">
    <w:name w:val="List Continue 3"/>
    <w:basedOn w:val="Normal"/>
    <w:semiHidden/>
    <w:rsid w:val="00E4290C"/>
    <w:pPr>
      <w:ind w:left="849"/>
    </w:pPr>
  </w:style>
  <w:style w:type="paragraph" w:styleId="ListContinue4">
    <w:name w:val="List Continue 4"/>
    <w:basedOn w:val="Normal"/>
    <w:semiHidden/>
    <w:rsid w:val="00E4290C"/>
    <w:pPr>
      <w:ind w:left="1132"/>
    </w:pPr>
  </w:style>
  <w:style w:type="paragraph" w:styleId="ListContinue5">
    <w:name w:val="List Continue 5"/>
    <w:basedOn w:val="Normal"/>
    <w:semiHidden/>
    <w:rsid w:val="00E4290C"/>
    <w:pPr>
      <w:ind w:left="1415"/>
    </w:pPr>
  </w:style>
  <w:style w:type="paragraph" w:styleId="ListNumber">
    <w:name w:val="List Number"/>
    <w:basedOn w:val="List"/>
    <w:rsid w:val="00E4290C"/>
    <w:pPr>
      <w:numPr>
        <w:numId w:val="14"/>
      </w:numPr>
      <w:spacing w:before="60"/>
    </w:pPr>
  </w:style>
  <w:style w:type="paragraph" w:styleId="ListNumber2">
    <w:name w:val="List Number 2"/>
    <w:basedOn w:val="Normal"/>
    <w:semiHidden/>
    <w:rsid w:val="00E4290C"/>
    <w:pPr>
      <w:numPr>
        <w:numId w:val="15"/>
      </w:numPr>
    </w:pPr>
  </w:style>
  <w:style w:type="paragraph" w:styleId="ListNumber3">
    <w:name w:val="List Number 3"/>
    <w:basedOn w:val="Normal"/>
    <w:semiHidden/>
    <w:rsid w:val="00E4290C"/>
    <w:pPr>
      <w:numPr>
        <w:numId w:val="16"/>
      </w:numPr>
    </w:pPr>
  </w:style>
  <w:style w:type="paragraph" w:styleId="ListNumber4">
    <w:name w:val="List Number 4"/>
    <w:basedOn w:val="Normal"/>
    <w:semiHidden/>
    <w:rsid w:val="00E4290C"/>
  </w:style>
  <w:style w:type="paragraph" w:styleId="ListNumber5">
    <w:name w:val="List Number 5"/>
    <w:basedOn w:val="Normal"/>
    <w:semiHidden/>
    <w:rsid w:val="00E4290C"/>
    <w:pPr>
      <w:numPr>
        <w:numId w:val="17"/>
      </w:numPr>
    </w:pPr>
  </w:style>
  <w:style w:type="paragraph" w:styleId="NormalWeb">
    <w:name w:val="Normal (Web)"/>
    <w:basedOn w:val="Normal"/>
    <w:semiHidden/>
    <w:rsid w:val="00E4290C"/>
  </w:style>
  <w:style w:type="paragraph" w:styleId="NormalIndent">
    <w:name w:val="Normal Indent"/>
    <w:basedOn w:val="Normal"/>
    <w:semiHidden/>
    <w:rsid w:val="00E4290C"/>
    <w:pPr>
      <w:ind w:left="720"/>
    </w:pPr>
  </w:style>
  <w:style w:type="paragraph" w:styleId="NoteHeading">
    <w:name w:val="Note Heading"/>
    <w:basedOn w:val="Normal"/>
    <w:next w:val="Normal"/>
    <w:semiHidden/>
    <w:rsid w:val="00E4290C"/>
  </w:style>
  <w:style w:type="paragraph" w:styleId="Signature">
    <w:name w:val="Signature"/>
    <w:basedOn w:val="Normal"/>
    <w:semiHidden/>
    <w:rsid w:val="00E4290C"/>
    <w:pPr>
      <w:ind w:left="4252"/>
    </w:pPr>
  </w:style>
  <w:style w:type="character" w:styleId="Strong">
    <w:name w:val="Strong"/>
    <w:basedOn w:val="DefaultParagraphFont"/>
    <w:qFormat/>
    <w:rsid w:val="00E4290C"/>
    <w:rPr>
      <w:rFonts w:ascii="Verdana" w:hAnsi="Verdana"/>
      <w:b/>
      <w:bCs/>
      <w:lang w:val="en-GB"/>
    </w:rPr>
  </w:style>
  <w:style w:type="table" w:styleId="Table3Deffects1">
    <w:name w:val="Table 3D effects 1"/>
    <w:basedOn w:val="TableNormal"/>
    <w:semiHidden/>
    <w:rsid w:val="00E4290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4290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4290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4290C"/>
    <w:rPr>
      <w:rFonts w:ascii="Verdana" w:hAnsi="Verdana"/>
      <w:color w:val="6F6E6F"/>
      <w:sz w:val="18"/>
    </w:rPr>
    <w:tblPr>
      <w:tblBorders>
        <w:top w:val="single" w:sz="6" w:space="0" w:color="6F6E6F"/>
        <w:left w:val="single" w:sz="6" w:space="0" w:color="6F6E6F"/>
        <w:bottom w:val="single" w:sz="6" w:space="0" w:color="6F6E6F"/>
        <w:right w:val="single" w:sz="6" w:space="0" w:color="6F6E6F"/>
        <w:insideH w:val="single" w:sz="6" w:space="0" w:color="6F6E6F"/>
        <w:insideV w:val="single" w:sz="6" w:space="0" w:color="6F6E6F"/>
      </w:tblBorders>
      <w:tblCellMar>
        <w:left w:w="115" w:type="dxa"/>
        <w:right w:w="115"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4290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4290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4290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4290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4290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4290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4290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4290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4290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4290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4290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4290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4290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1">
    <w:name w:val="Table List 1"/>
    <w:basedOn w:val="TableNormal"/>
    <w:semiHidden/>
    <w:rsid w:val="00E4290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4290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4290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4290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4290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4290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4290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429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4290C"/>
    <w:rPr>
      <w:rFonts w:ascii="Verdana" w:hAnsi="Verdana"/>
      <w:sz w:val="18"/>
    </w:rPr>
    <w:tblPr>
      <w:tblBorders>
        <w:top w:val="single" w:sz="6" w:space="0" w:color="6F6E6F"/>
        <w:bottom w:val="single" w:sz="6" w:space="0" w:color="6F6E6F"/>
        <w:insideH w:val="single" w:sz="6" w:space="0" w:color="6F6E6F"/>
        <w:insideV w:val="single" w:sz="6" w:space="0" w:color="6F6E6F"/>
      </w:tblBorders>
    </w:tblPr>
    <w:tcPr>
      <w:shd w:val="clear" w:color="auto" w:fill="FFFFFF"/>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429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4290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4290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4290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4290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E4290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4290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4290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qFormat/>
    <w:rsid w:val="00E4290C"/>
    <w:pPr>
      <w:spacing w:before="240" w:after="240" w:line="240" w:lineRule="auto"/>
      <w:ind w:right="5778"/>
    </w:pPr>
    <w:rPr>
      <w:rFonts w:cs="Arial"/>
      <w:color w:val="FFFFFF"/>
      <w:sz w:val="40"/>
      <w:szCs w:val="40"/>
    </w:rPr>
  </w:style>
  <w:style w:type="table" w:styleId="TableTheme">
    <w:name w:val="Table Theme"/>
    <w:basedOn w:val="TableNormal"/>
    <w:semiHidden/>
    <w:rsid w:val="00E42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ondlevelSubtitle">
    <w:name w:val="Second level Subtitle"/>
    <w:basedOn w:val="BodyText"/>
    <w:rsid w:val="00E4290C"/>
    <w:rPr>
      <w:rFonts w:ascii="Arial Bold" w:hAnsi="Arial Bold"/>
      <w:b/>
      <w:color w:val="FFFFFF"/>
    </w:rPr>
  </w:style>
  <w:style w:type="character" w:customStyle="1" w:styleId="SubtitleDateChar">
    <w:name w:val="Subtitle Date Char"/>
    <w:basedOn w:val="SubtitleChar"/>
    <w:link w:val="SubtitleDate"/>
    <w:rsid w:val="00E4290C"/>
    <w:rPr>
      <w:rFonts w:ascii="Georgia" w:eastAsia="MS Mincho" w:hAnsi="Georgia" w:cs="Arial"/>
      <w:b/>
      <w:i/>
      <w:color w:val="FFFFFF"/>
      <w:kern w:val="16"/>
      <w:sz w:val="28"/>
      <w:szCs w:val="28"/>
      <w:lang w:val="en-US" w:eastAsia="ja-JP" w:bidi="ar-SA"/>
    </w:rPr>
  </w:style>
  <w:style w:type="paragraph" w:customStyle="1" w:styleId="TableCharttitle">
    <w:name w:val="Table Chart title"/>
    <w:basedOn w:val="TableTitle"/>
    <w:rsid w:val="00E32DBC"/>
    <w:pPr>
      <w:spacing w:before="40"/>
      <w:jc w:val="center"/>
    </w:pPr>
  </w:style>
  <w:style w:type="character" w:customStyle="1" w:styleId="TableHeaderRowBlueChar">
    <w:name w:val="Table Header Row Blue Char"/>
    <w:basedOn w:val="TableTextCharChar"/>
    <w:link w:val="TableHeaderRowBlue"/>
    <w:rsid w:val="00E32DBC"/>
    <w:rPr>
      <w:rFonts w:ascii="Arial" w:eastAsia="MS Mincho" w:hAnsi="Arial" w:cs="Arial"/>
      <w:b/>
      <w:bCs/>
      <w:color w:val="003263"/>
      <w:kern w:val="16"/>
      <w:sz w:val="16"/>
      <w:szCs w:val="18"/>
      <w:lang w:val="en-US" w:eastAsia="ja-JP" w:bidi="ar-SA"/>
    </w:rPr>
  </w:style>
  <w:style w:type="character" w:customStyle="1" w:styleId="TableHeaderRowBrightBlueChar">
    <w:name w:val="Table Header Row Bright Blue Char"/>
    <w:basedOn w:val="TableTextCharChar"/>
    <w:link w:val="TableHeaderRowBrightBlue"/>
    <w:rsid w:val="00E32DBC"/>
    <w:rPr>
      <w:rFonts w:ascii="Arial" w:eastAsia="MS Mincho" w:hAnsi="Arial" w:cs="Arial"/>
      <w:b/>
      <w:color w:val="0060A9"/>
      <w:kern w:val="16"/>
      <w:sz w:val="16"/>
      <w:szCs w:val="18"/>
      <w:lang w:val="en-US" w:eastAsia="zh-CN" w:bidi="ar-SA"/>
    </w:rPr>
  </w:style>
  <w:style w:type="paragraph" w:customStyle="1" w:styleId="TableTextRightAlign">
    <w:name w:val="Table Text Right Align"/>
    <w:basedOn w:val="TableText"/>
    <w:rsid w:val="00E4290C"/>
    <w:pPr>
      <w:jc w:val="right"/>
    </w:pPr>
  </w:style>
  <w:style w:type="paragraph" w:customStyle="1" w:styleId="TableTitle1">
    <w:name w:val="Table Title 1"/>
    <w:basedOn w:val="TableText"/>
    <w:rsid w:val="00E4290C"/>
    <w:rPr>
      <w:b/>
      <w:color w:val="0060A9"/>
      <w:lang w:eastAsia="zh-CN"/>
    </w:rPr>
  </w:style>
  <w:style w:type="paragraph" w:customStyle="1" w:styleId="TableTitle2">
    <w:name w:val="Table Title 2"/>
    <w:basedOn w:val="TableTitle1"/>
    <w:rsid w:val="00E4290C"/>
    <w:rPr>
      <w:color w:val="FFFFFF"/>
    </w:rPr>
  </w:style>
  <w:style w:type="paragraph" w:customStyle="1" w:styleId="BioName">
    <w:name w:val="Bio Name"/>
    <w:basedOn w:val="Normal"/>
    <w:next w:val="Normal"/>
    <w:rsid w:val="00E4290C"/>
    <w:pPr>
      <w:adjustRightInd/>
      <w:spacing w:before="120" w:after="60" w:line="240" w:lineRule="auto"/>
    </w:pPr>
    <w:rPr>
      <w:b/>
      <w:color w:val="003263"/>
      <w:kern w:val="14"/>
      <w:sz w:val="16"/>
      <w:szCs w:val="16"/>
    </w:rPr>
  </w:style>
  <w:style w:type="paragraph" w:customStyle="1" w:styleId="BioTitle">
    <w:name w:val="Bio Title"/>
    <w:basedOn w:val="BioName"/>
    <w:next w:val="BodyText"/>
    <w:rsid w:val="00E4290C"/>
    <w:pPr>
      <w:spacing w:before="0" w:after="120"/>
    </w:pPr>
    <w:rPr>
      <w:rFonts w:eastAsia="Times New Roman"/>
      <w:color w:val="5A5A5A"/>
    </w:rPr>
  </w:style>
  <w:style w:type="character" w:customStyle="1" w:styleId="GraphicCharChar">
    <w:name w:val="Graphic Char Char"/>
    <w:basedOn w:val="TableTextCharChar"/>
    <w:link w:val="Graphic"/>
    <w:rsid w:val="00E4290C"/>
    <w:rPr>
      <w:rFonts w:ascii="Arial" w:eastAsia="MS Mincho" w:hAnsi="Arial"/>
      <w:kern w:val="16"/>
      <w:sz w:val="18"/>
      <w:szCs w:val="18"/>
      <w:lang w:val="en-US" w:eastAsia="ja-JP" w:bidi="ar-SA"/>
    </w:rPr>
  </w:style>
  <w:style w:type="paragraph" w:customStyle="1" w:styleId="TableBullet3">
    <w:name w:val="Table Bullet 3"/>
    <w:basedOn w:val="TableBullet2"/>
    <w:rsid w:val="00E4290C"/>
    <w:pPr>
      <w:numPr>
        <w:numId w:val="27"/>
      </w:numPr>
      <w:tabs>
        <w:tab w:val="left" w:pos="595"/>
      </w:tabs>
    </w:pPr>
  </w:style>
  <w:style w:type="paragraph" w:customStyle="1" w:styleId="TableText">
    <w:name w:val="Table Text"/>
    <w:basedOn w:val="BodyText"/>
    <w:link w:val="TableTextCharChar"/>
    <w:rsid w:val="00E4290C"/>
    <w:pPr>
      <w:spacing w:before="80" w:after="80" w:line="180" w:lineRule="atLeast"/>
    </w:pPr>
    <w:rPr>
      <w:sz w:val="18"/>
      <w:szCs w:val="18"/>
    </w:rPr>
  </w:style>
  <w:style w:type="paragraph" w:customStyle="1" w:styleId="Graphic">
    <w:name w:val="Graphic"/>
    <w:basedOn w:val="BodyText"/>
    <w:next w:val="BodyText"/>
    <w:link w:val="GraphicCharChar"/>
    <w:rsid w:val="00E4290C"/>
    <w:pPr>
      <w:spacing w:before="20" w:after="20" w:line="240" w:lineRule="auto"/>
      <w:ind w:left="-58" w:right="-58"/>
      <w:jc w:val="center"/>
    </w:pPr>
    <w:rPr>
      <w:sz w:val="18"/>
      <w:szCs w:val="18"/>
    </w:rPr>
  </w:style>
  <w:style w:type="paragraph" w:customStyle="1" w:styleId="MiniMarker">
    <w:name w:val="Mini Marker"/>
    <w:basedOn w:val="BodyText"/>
    <w:next w:val="BodyText"/>
    <w:rsid w:val="00E4290C"/>
    <w:pPr>
      <w:spacing w:before="0" w:after="0" w:line="240" w:lineRule="auto"/>
    </w:pPr>
    <w:rPr>
      <w:sz w:val="10"/>
    </w:rPr>
  </w:style>
  <w:style w:type="paragraph" w:customStyle="1" w:styleId="Headingpage2">
    <w:name w:val="Heading_page2"/>
    <w:basedOn w:val="Heading1"/>
    <w:next w:val="Normal"/>
    <w:link w:val="Headingpage2CharChar"/>
    <w:semiHidden/>
    <w:rsid w:val="00E4290C"/>
    <w:pPr>
      <w:tabs>
        <w:tab w:val="left" w:pos="216"/>
      </w:tabs>
      <w:spacing w:after="240" w:line="240" w:lineRule="atLeast"/>
      <w:ind w:left="216" w:hanging="216"/>
    </w:pPr>
    <w:rPr>
      <w:bCs/>
      <w:color w:val="6F6E6E"/>
      <w:sz w:val="16"/>
    </w:rPr>
  </w:style>
  <w:style w:type="paragraph" w:customStyle="1" w:styleId="TableFootnote">
    <w:name w:val="Table Footnote"/>
    <w:rsid w:val="00E4290C"/>
    <w:pPr>
      <w:spacing w:before="40"/>
    </w:pPr>
    <w:rPr>
      <w:rFonts w:ascii="Arial" w:eastAsia="MS Mincho" w:hAnsi="Arial"/>
      <w:kern w:val="16"/>
      <w:sz w:val="14"/>
      <w:szCs w:val="14"/>
      <w:lang w:eastAsia="zh-CN"/>
    </w:rPr>
  </w:style>
  <w:style w:type="paragraph" w:customStyle="1" w:styleId="TableSource">
    <w:name w:val="Table Source"/>
    <w:basedOn w:val="TableFootnote"/>
    <w:rsid w:val="00E4290C"/>
    <w:rPr>
      <w:i/>
    </w:rPr>
  </w:style>
  <w:style w:type="paragraph" w:customStyle="1" w:styleId="TableBulletNumeric">
    <w:name w:val="Table Bullet Numeric"/>
    <w:basedOn w:val="TableText"/>
    <w:rsid w:val="00E4290C"/>
    <w:pPr>
      <w:numPr>
        <w:numId w:val="28"/>
      </w:numPr>
      <w:spacing w:line="240" w:lineRule="auto"/>
      <w:contextualSpacing/>
    </w:pPr>
    <w:rPr>
      <w:sz w:val="16"/>
    </w:rPr>
  </w:style>
  <w:style w:type="paragraph" w:customStyle="1" w:styleId="TableBullet1">
    <w:name w:val="Table Bullet 1"/>
    <w:basedOn w:val="TableText"/>
    <w:link w:val="TableBullet1CharChar"/>
    <w:rsid w:val="00E4290C"/>
    <w:pPr>
      <w:numPr>
        <w:numId w:val="25"/>
      </w:numPr>
      <w:spacing w:line="200" w:lineRule="atLeast"/>
      <w:contextualSpacing/>
    </w:pPr>
    <w:rPr>
      <w:sz w:val="16"/>
    </w:rPr>
  </w:style>
  <w:style w:type="paragraph" w:customStyle="1" w:styleId="TableBullet2">
    <w:name w:val="Table Bullet 2"/>
    <w:basedOn w:val="TableBullet1"/>
    <w:link w:val="TableBullet2CharChar"/>
    <w:rsid w:val="00E4290C"/>
    <w:pPr>
      <w:numPr>
        <w:numId w:val="26"/>
      </w:numPr>
    </w:pPr>
    <w:rPr>
      <w:lang w:val="en-CA"/>
    </w:rPr>
  </w:style>
  <w:style w:type="paragraph" w:customStyle="1" w:styleId="SubtitleDate">
    <w:name w:val="Subtitle Date"/>
    <w:basedOn w:val="Subtitle"/>
    <w:next w:val="BodyText"/>
    <w:link w:val="SubtitleDateChar"/>
    <w:rsid w:val="00E4290C"/>
    <w:pPr>
      <w:spacing w:before="120"/>
    </w:pPr>
  </w:style>
  <w:style w:type="character" w:customStyle="1" w:styleId="Headingpage2CharChar">
    <w:name w:val="Heading_page2 Char Char"/>
    <w:basedOn w:val="DefaultParagraphFont"/>
    <w:link w:val="Headingpage2"/>
    <w:rsid w:val="00E4290C"/>
    <w:rPr>
      <w:rFonts w:ascii="Arial" w:eastAsia="MS Mincho" w:hAnsi="Arial"/>
      <w:bCs/>
      <w:color w:val="6F6E6E"/>
      <w:kern w:val="16"/>
      <w:sz w:val="16"/>
      <w:szCs w:val="32"/>
      <w:lang w:val="en-US" w:eastAsia="ja-JP" w:bidi="ar-SA"/>
    </w:rPr>
  </w:style>
  <w:style w:type="paragraph" w:styleId="TOCHeading">
    <w:name w:val="TOC Heading"/>
    <w:basedOn w:val="Heading1"/>
    <w:next w:val="BodyText"/>
    <w:qFormat/>
    <w:rsid w:val="00E4290C"/>
  </w:style>
  <w:style w:type="paragraph" w:customStyle="1" w:styleId="FooterBackcover">
    <w:name w:val="Footer Backcover"/>
    <w:basedOn w:val="Normal"/>
    <w:rsid w:val="00E4290C"/>
    <w:pPr>
      <w:spacing w:before="0" w:after="60" w:line="240" w:lineRule="auto"/>
    </w:pPr>
    <w:rPr>
      <w:rFonts w:cs="Arial"/>
      <w:color w:val="002144"/>
      <w:spacing w:val="4"/>
      <w:szCs w:val="16"/>
      <w:lang w:val="en-CA"/>
    </w:rPr>
  </w:style>
  <w:style w:type="paragraph" w:customStyle="1" w:styleId="Sub-heading">
    <w:name w:val="Sub-heading"/>
    <w:basedOn w:val="SubHeading"/>
    <w:link w:val="Sub-headingChar"/>
    <w:qFormat/>
    <w:rsid w:val="00BC14D8"/>
    <w:rPr>
      <w:lang w:val="en-CA"/>
    </w:rPr>
  </w:style>
  <w:style w:type="character" w:customStyle="1" w:styleId="Sub-headingChar">
    <w:name w:val="Sub-heading Char"/>
    <w:basedOn w:val="DefaultParagraphFont"/>
    <w:link w:val="Sub-heading"/>
    <w:rsid w:val="00BC14D8"/>
    <w:rPr>
      <w:rFonts w:ascii="Arial" w:eastAsia="MS Mincho" w:hAnsi="Arial"/>
      <w:b/>
      <w:i/>
      <w:color w:val="0060A9"/>
      <w:kern w:val="16"/>
      <w:sz w:val="24"/>
      <w:szCs w:val="24"/>
      <w:lang w:val="en-CA" w:eastAsia="ja-JP"/>
    </w:rPr>
  </w:style>
  <w:style w:type="paragraph" w:styleId="ListParagraph">
    <w:name w:val="List Paragraph"/>
    <w:basedOn w:val="Normal"/>
    <w:uiPriority w:val="34"/>
    <w:qFormat/>
    <w:rsid w:val="00694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1350">
      <w:bodyDiv w:val="1"/>
      <w:marLeft w:val="0"/>
      <w:marRight w:val="0"/>
      <w:marTop w:val="0"/>
      <w:marBottom w:val="0"/>
      <w:divBdr>
        <w:top w:val="none" w:sz="0" w:space="0" w:color="auto"/>
        <w:left w:val="none" w:sz="0" w:space="0" w:color="auto"/>
        <w:bottom w:val="none" w:sz="0" w:space="0" w:color="auto"/>
        <w:right w:val="none" w:sz="0" w:space="0" w:color="auto"/>
      </w:divBdr>
    </w:div>
    <w:div w:id="250508782">
      <w:bodyDiv w:val="1"/>
      <w:marLeft w:val="0"/>
      <w:marRight w:val="0"/>
      <w:marTop w:val="0"/>
      <w:marBottom w:val="0"/>
      <w:divBdr>
        <w:top w:val="none" w:sz="0" w:space="0" w:color="auto"/>
        <w:left w:val="none" w:sz="0" w:space="0" w:color="auto"/>
        <w:bottom w:val="none" w:sz="0" w:space="0" w:color="auto"/>
        <w:right w:val="none" w:sz="0" w:space="0" w:color="auto"/>
      </w:divBdr>
    </w:div>
    <w:div w:id="419108262">
      <w:bodyDiv w:val="1"/>
      <w:marLeft w:val="0"/>
      <w:marRight w:val="0"/>
      <w:marTop w:val="0"/>
      <w:marBottom w:val="0"/>
      <w:divBdr>
        <w:top w:val="none" w:sz="0" w:space="0" w:color="auto"/>
        <w:left w:val="none" w:sz="0" w:space="0" w:color="auto"/>
        <w:bottom w:val="none" w:sz="0" w:space="0" w:color="auto"/>
        <w:right w:val="none" w:sz="0" w:space="0" w:color="auto"/>
      </w:divBdr>
      <w:divsChild>
        <w:div w:id="1908610550">
          <w:marLeft w:val="0"/>
          <w:marRight w:val="0"/>
          <w:marTop w:val="0"/>
          <w:marBottom w:val="0"/>
          <w:divBdr>
            <w:top w:val="none" w:sz="0" w:space="0" w:color="auto"/>
            <w:left w:val="none" w:sz="0" w:space="0" w:color="auto"/>
            <w:bottom w:val="none" w:sz="0" w:space="0" w:color="auto"/>
            <w:right w:val="none" w:sz="0" w:space="0" w:color="auto"/>
          </w:divBdr>
          <w:divsChild>
            <w:div w:id="4356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6913">
      <w:bodyDiv w:val="1"/>
      <w:marLeft w:val="0"/>
      <w:marRight w:val="0"/>
      <w:marTop w:val="0"/>
      <w:marBottom w:val="0"/>
      <w:divBdr>
        <w:top w:val="none" w:sz="0" w:space="0" w:color="auto"/>
        <w:left w:val="none" w:sz="0" w:space="0" w:color="auto"/>
        <w:bottom w:val="none" w:sz="0" w:space="0" w:color="auto"/>
        <w:right w:val="none" w:sz="0" w:space="0" w:color="auto"/>
      </w:divBdr>
      <w:divsChild>
        <w:div w:id="1492678865">
          <w:marLeft w:val="0"/>
          <w:marRight w:val="0"/>
          <w:marTop w:val="0"/>
          <w:marBottom w:val="0"/>
          <w:divBdr>
            <w:top w:val="none" w:sz="0" w:space="0" w:color="auto"/>
            <w:left w:val="none" w:sz="0" w:space="0" w:color="auto"/>
            <w:bottom w:val="none" w:sz="0" w:space="0" w:color="auto"/>
            <w:right w:val="none" w:sz="0" w:space="0" w:color="auto"/>
          </w:divBdr>
        </w:div>
      </w:divsChild>
    </w:div>
    <w:div w:id="473179177">
      <w:bodyDiv w:val="1"/>
      <w:marLeft w:val="0"/>
      <w:marRight w:val="0"/>
      <w:marTop w:val="0"/>
      <w:marBottom w:val="0"/>
      <w:divBdr>
        <w:top w:val="none" w:sz="0" w:space="0" w:color="auto"/>
        <w:left w:val="none" w:sz="0" w:space="0" w:color="auto"/>
        <w:bottom w:val="none" w:sz="0" w:space="0" w:color="auto"/>
        <w:right w:val="none" w:sz="0" w:space="0" w:color="auto"/>
      </w:divBdr>
      <w:divsChild>
        <w:div w:id="2101171430">
          <w:marLeft w:val="0"/>
          <w:marRight w:val="0"/>
          <w:marTop w:val="0"/>
          <w:marBottom w:val="0"/>
          <w:divBdr>
            <w:top w:val="none" w:sz="0" w:space="0" w:color="auto"/>
            <w:left w:val="none" w:sz="0" w:space="0" w:color="auto"/>
            <w:bottom w:val="none" w:sz="0" w:space="0" w:color="auto"/>
            <w:right w:val="none" w:sz="0" w:space="0" w:color="auto"/>
          </w:divBdr>
        </w:div>
      </w:divsChild>
    </w:div>
    <w:div w:id="532115178">
      <w:bodyDiv w:val="1"/>
      <w:marLeft w:val="0"/>
      <w:marRight w:val="0"/>
      <w:marTop w:val="0"/>
      <w:marBottom w:val="0"/>
      <w:divBdr>
        <w:top w:val="none" w:sz="0" w:space="0" w:color="auto"/>
        <w:left w:val="none" w:sz="0" w:space="0" w:color="auto"/>
        <w:bottom w:val="none" w:sz="0" w:space="0" w:color="auto"/>
        <w:right w:val="none" w:sz="0" w:space="0" w:color="auto"/>
      </w:divBdr>
    </w:div>
    <w:div w:id="557667598">
      <w:bodyDiv w:val="1"/>
      <w:marLeft w:val="0"/>
      <w:marRight w:val="0"/>
      <w:marTop w:val="0"/>
      <w:marBottom w:val="0"/>
      <w:divBdr>
        <w:top w:val="none" w:sz="0" w:space="0" w:color="auto"/>
        <w:left w:val="none" w:sz="0" w:space="0" w:color="auto"/>
        <w:bottom w:val="none" w:sz="0" w:space="0" w:color="auto"/>
        <w:right w:val="none" w:sz="0" w:space="0" w:color="auto"/>
      </w:divBdr>
      <w:divsChild>
        <w:div w:id="431826404">
          <w:marLeft w:val="0"/>
          <w:marRight w:val="0"/>
          <w:marTop w:val="0"/>
          <w:marBottom w:val="0"/>
          <w:divBdr>
            <w:top w:val="none" w:sz="0" w:space="0" w:color="auto"/>
            <w:left w:val="none" w:sz="0" w:space="0" w:color="auto"/>
            <w:bottom w:val="none" w:sz="0" w:space="0" w:color="auto"/>
            <w:right w:val="none" w:sz="0" w:space="0" w:color="auto"/>
          </w:divBdr>
          <w:divsChild>
            <w:div w:id="4946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9423">
      <w:bodyDiv w:val="1"/>
      <w:marLeft w:val="0"/>
      <w:marRight w:val="0"/>
      <w:marTop w:val="0"/>
      <w:marBottom w:val="0"/>
      <w:divBdr>
        <w:top w:val="none" w:sz="0" w:space="0" w:color="auto"/>
        <w:left w:val="none" w:sz="0" w:space="0" w:color="auto"/>
        <w:bottom w:val="none" w:sz="0" w:space="0" w:color="auto"/>
        <w:right w:val="none" w:sz="0" w:space="0" w:color="auto"/>
      </w:divBdr>
    </w:div>
    <w:div w:id="608969601">
      <w:bodyDiv w:val="1"/>
      <w:marLeft w:val="0"/>
      <w:marRight w:val="0"/>
      <w:marTop w:val="0"/>
      <w:marBottom w:val="0"/>
      <w:divBdr>
        <w:top w:val="none" w:sz="0" w:space="0" w:color="auto"/>
        <w:left w:val="none" w:sz="0" w:space="0" w:color="auto"/>
        <w:bottom w:val="none" w:sz="0" w:space="0" w:color="auto"/>
        <w:right w:val="none" w:sz="0" w:space="0" w:color="auto"/>
      </w:divBdr>
      <w:divsChild>
        <w:div w:id="2128503102">
          <w:marLeft w:val="0"/>
          <w:marRight w:val="0"/>
          <w:marTop w:val="0"/>
          <w:marBottom w:val="0"/>
          <w:divBdr>
            <w:top w:val="none" w:sz="0" w:space="0" w:color="auto"/>
            <w:left w:val="none" w:sz="0" w:space="0" w:color="auto"/>
            <w:bottom w:val="none" w:sz="0" w:space="0" w:color="auto"/>
            <w:right w:val="none" w:sz="0" w:space="0" w:color="auto"/>
          </w:divBdr>
          <w:divsChild>
            <w:div w:id="1410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9747">
      <w:bodyDiv w:val="1"/>
      <w:marLeft w:val="0"/>
      <w:marRight w:val="0"/>
      <w:marTop w:val="100"/>
      <w:marBottom w:val="100"/>
      <w:divBdr>
        <w:top w:val="none" w:sz="0" w:space="0" w:color="auto"/>
        <w:left w:val="none" w:sz="0" w:space="0" w:color="auto"/>
        <w:bottom w:val="none" w:sz="0" w:space="0" w:color="auto"/>
        <w:right w:val="none" w:sz="0" w:space="0" w:color="auto"/>
      </w:divBdr>
      <w:divsChild>
        <w:div w:id="759569598">
          <w:marLeft w:val="0"/>
          <w:marRight w:val="0"/>
          <w:marTop w:val="100"/>
          <w:marBottom w:val="100"/>
          <w:divBdr>
            <w:top w:val="none" w:sz="0" w:space="0" w:color="auto"/>
            <w:left w:val="none" w:sz="0" w:space="0" w:color="auto"/>
            <w:bottom w:val="none" w:sz="0" w:space="0" w:color="auto"/>
            <w:right w:val="none" w:sz="0" w:space="0" w:color="auto"/>
          </w:divBdr>
          <w:divsChild>
            <w:div w:id="410006576">
              <w:marLeft w:val="0"/>
              <w:marRight w:val="0"/>
              <w:marTop w:val="100"/>
              <w:marBottom w:val="100"/>
              <w:divBdr>
                <w:top w:val="none" w:sz="0" w:space="0" w:color="auto"/>
                <w:left w:val="none" w:sz="0" w:space="0" w:color="auto"/>
                <w:bottom w:val="none" w:sz="0" w:space="0" w:color="auto"/>
                <w:right w:val="none" w:sz="0" w:space="0" w:color="auto"/>
              </w:divBdr>
              <w:divsChild>
                <w:div w:id="1976328166">
                  <w:marLeft w:val="635"/>
                  <w:marRight w:val="0"/>
                  <w:marTop w:val="311"/>
                  <w:marBottom w:val="0"/>
                  <w:divBdr>
                    <w:top w:val="none" w:sz="0" w:space="0" w:color="auto"/>
                    <w:left w:val="none" w:sz="0" w:space="0" w:color="auto"/>
                    <w:bottom w:val="none" w:sz="0" w:space="0" w:color="auto"/>
                    <w:right w:val="none" w:sz="0" w:space="0" w:color="auto"/>
                  </w:divBdr>
                </w:div>
              </w:divsChild>
            </w:div>
          </w:divsChild>
        </w:div>
      </w:divsChild>
    </w:div>
    <w:div w:id="866721202">
      <w:bodyDiv w:val="1"/>
      <w:marLeft w:val="0"/>
      <w:marRight w:val="0"/>
      <w:marTop w:val="0"/>
      <w:marBottom w:val="0"/>
      <w:divBdr>
        <w:top w:val="none" w:sz="0" w:space="0" w:color="auto"/>
        <w:left w:val="none" w:sz="0" w:space="0" w:color="auto"/>
        <w:bottom w:val="none" w:sz="0" w:space="0" w:color="auto"/>
        <w:right w:val="none" w:sz="0" w:space="0" w:color="auto"/>
      </w:divBdr>
    </w:div>
    <w:div w:id="917983250">
      <w:bodyDiv w:val="1"/>
      <w:marLeft w:val="0"/>
      <w:marRight w:val="0"/>
      <w:marTop w:val="0"/>
      <w:marBottom w:val="0"/>
      <w:divBdr>
        <w:top w:val="none" w:sz="0" w:space="0" w:color="auto"/>
        <w:left w:val="none" w:sz="0" w:space="0" w:color="auto"/>
        <w:bottom w:val="none" w:sz="0" w:space="0" w:color="auto"/>
        <w:right w:val="none" w:sz="0" w:space="0" w:color="auto"/>
      </w:divBdr>
      <w:divsChild>
        <w:div w:id="1799034166">
          <w:marLeft w:val="0"/>
          <w:marRight w:val="0"/>
          <w:marTop w:val="0"/>
          <w:marBottom w:val="0"/>
          <w:divBdr>
            <w:top w:val="none" w:sz="0" w:space="0" w:color="auto"/>
            <w:left w:val="none" w:sz="0" w:space="0" w:color="auto"/>
            <w:bottom w:val="none" w:sz="0" w:space="0" w:color="auto"/>
            <w:right w:val="none" w:sz="0" w:space="0" w:color="auto"/>
          </w:divBdr>
        </w:div>
      </w:divsChild>
    </w:div>
    <w:div w:id="995374417">
      <w:bodyDiv w:val="1"/>
      <w:marLeft w:val="0"/>
      <w:marRight w:val="0"/>
      <w:marTop w:val="0"/>
      <w:marBottom w:val="0"/>
      <w:divBdr>
        <w:top w:val="none" w:sz="0" w:space="0" w:color="auto"/>
        <w:left w:val="none" w:sz="0" w:space="0" w:color="auto"/>
        <w:bottom w:val="none" w:sz="0" w:space="0" w:color="auto"/>
        <w:right w:val="none" w:sz="0" w:space="0" w:color="auto"/>
      </w:divBdr>
      <w:divsChild>
        <w:div w:id="477695605">
          <w:marLeft w:val="0"/>
          <w:marRight w:val="0"/>
          <w:marTop w:val="0"/>
          <w:marBottom w:val="0"/>
          <w:divBdr>
            <w:top w:val="none" w:sz="0" w:space="0" w:color="auto"/>
            <w:left w:val="none" w:sz="0" w:space="0" w:color="auto"/>
            <w:bottom w:val="none" w:sz="0" w:space="0" w:color="auto"/>
            <w:right w:val="none" w:sz="0" w:space="0" w:color="auto"/>
          </w:divBdr>
          <w:divsChild>
            <w:div w:id="824978076">
              <w:marLeft w:val="0"/>
              <w:marRight w:val="0"/>
              <w:marTop w:val="0"/>
              <w:marBottom w:val="0"/>
              <w:divBdr>
                <w:top w:val="none" w:sz="0" w:space="0" w:color="auto"/>
                <w:left w:val="none" w:sz="0" w:space="0" w:color="auto"/>
                <w:bottom w:val="none" w:sz="0" w:space="0" w:color="auto"/>
                <w:right w:val="none" w:sz="0" w:space="0" w:color="auto"/>
              </w:divBdr>
            </w:div>
            <w:div w:id="9071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5331">
      <w:bodyDiv w:val="1"/>
      <w:marLeft w:val="0"/>
      <w:marRight w:val="0"/>
      <w:marTop w:val="0"/>
      <w:marBottom w:val="0"/>
      <w:divBdr>
        <w:top w:val="none" w:sz="0" w:space="0" w:color="auto"/>
        <w:left w:val="none" w:sz="0" w:space="0" w:color="auto"/>
        <w:bottom w:val="none" w:sz="0" w:space="0" w:color="auto"/>
        <w:right w:val="none" w:sz="0" w:space="0" w:color="auto"/>
      </w:divBdr>
      <w:divsChild>
        <w:div w:id="434524781">
          <w:marLeft w:val="0"/>
          <w:marRight w:val="0"/>
          <w:marTop w:val="0"/>
          <w:marBottom w:val="0"/>
          <w:divBdr>
            <w:top w:val="none" w:sz="0" w:space="0" w:color="auto"/>
            <w:left w:val="none" w:sz="0" w:space="0" w:color="auto"/>
            <w:bottom w:val="none" w:sz="0" w:space="0" w:color="auto"/>
            <w:right w:val="none" w:sz="0" w:space="0" w:color="auto"/>
          </w:divBdr>
          <w:divsChild>
            <w:div w:id="597058011">
              <w:marLeft w:val="0"/>
              <w:marRight w:val="0"/>
              <w:marTop w:val="0"/>
              <w:marBottom w:val="0"/>
              <w:divBdr>
                <w:top w:val="none" w:sz="0" w:space="0" w:color="auto"/>
                <w:left w:val="none" w:sz="0" w:space="0" w:color="auto"/>
                <w:bottom w:val="none" w:sz="0" w:space="0" w:color="auto"/>
                <w:right w:val="none" w:sz="0" w:space="0" w:color="auto"/>
              </w:divBdr>
            </w:div>
            <w:div w:id="939728170">
              <w:marLeft w:val="0"/>
              <w:marRight w:val="0"/>
              <w:marTop w:val="0"/>
              <w:marBottom w:val="0"/>
              <w:divBdr>
                <w:top w:val="none" w:sz="0" w:space="0" w:color="auto"/>
                <w:left w:val="none" w:sz="0" w:space="0" w:color="auto"/>
                <w:bottom w:val="none" w:sz="0" w:space="0" w:color="auto"/>
                <w:right w:val="none" w:sz="0" w:space="0" w:color="auto"/>
              </w:divBdr>
            </w:div>
            <w:div w:id="1556968030">
              <w:marLeft w:val="0"/>
              <w:marRight w:val="0"/>
              <w:marTop w:val="0"/>
              <w:marBottom w:val="0"/>
              <w:divBdr>
                <w:top w:val="none" w:sz="0" w:space="0" w:color="auto"/>
                <w:left w:val="none" w:sz="0" w:space="0" w:color="auto"/>
                <w:bottom w:val="none" w:sz="0" w:space="0" w:color="auto"/>
                <w:right w:val="none" w:sz="0" w:space="0" w:color="auto"/>
              </w:divBdr>
            </w:div>
            <w:div w:id="20935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2897">
      <w:bodyDiv w:val="1"/>
      <w:marLeft w:val="0"/>
      <w:marRight w:val="0"/>
      <w:marTop w:val="0"/>
      <w:marBottom w:val="0"/>
      <w:divBdr>
        <w:top w:val="none" w:sz="0" w:space="0" w:color="auto"/>
        <w:left w:val="none" w:sz="0" w:space="0" w:color="auto"/>
        <w:bottom w:val="none" w:sz="0" w:space="0" w:color="auto"/>
        <w:right w:val="none" w:sz="0" w:space="0" w:color="auto"/>
      </w:divBdr>
      <w:divsChild>
        <w:div w:id="689648905">
          <w:marLeft w:val="0"/>
          <w:marRight w:val="0"/>
          <w:marTop w:val="0"/>
          <w:marBottom w:val="0"/>
          <w:divBdr>
            <w:top w:val="none" w:sz="0" w:space="0" w:color="auto"/>
            <w:left w:val="none" w:sz="0" w:space="0" w:color="auto"/>
            <w:bottom w:val="none" w:sz="0" w:space="0" w:color="auto"/>
            <w:right w:val="none" w:sz="0" w:space="0" w:color="auto"/>
          </w:divBdr>
        </w:div>
      </w:divsChild>
    </w:div>
    <w:div w:id="1113355612">
      <w:bodyDiv w:val="1"/>
      <w:marLeft w:val="0"/>
      <w:marRight w:val="0"/>
      <w:marTop w:val="0"/>
      <w:marBottom w:val="0"/>
      <w:divBdr>
        <w:top w:val="none" w:sz="0" w:space="0" w:color="auto"/>
        <w:left w:val="none" w:sz="0" w:space="0" w:color="auto"/>
        <w:bottom w:val="none" w:sz="0" w:space="0" w:color="auto"/>
        <w:right w:val="none" w:sz="0" w:space="0" w:color="auto"/>
      </w:divBdr>
    </w:div>
    <w:div w:id="1135752704">
      <w:bodyDiv w:val="1"/>
      <w:marLeft w:val="0"/>
      <w:marRight w:val="0"/>
      <w:marTop w:val="0"/>
      <w:marBottom w:val="0"/>
      <w:divBdr>
        <w:top w:val="none" w:sz="0" w:space="0" w:color="auto"/>
        <w:left w:val="none" w:sz="0" w:space="0" w:color="auto"/>
        <w:bottom w:val="none" w:sz="0" w:space="0" w:color="auto"/>
        <w:right w:val="none" w:sz="0" w:space="0" w:color="auto"/>
      </w:divBdr>
      <w:divsChild>
        <w:div w:id="1218709456">
          <w:marLeft w:val="0"/>
          <w:marRight w:val="0"/>
          <w:marTop w:val="0"/>
          <w:marBottom w:val="0"/>
          <w:divBdr>
            <w:top w:val="none" w:sz="0" w:space="0" w:color="auto"/>
            <w:left w:val="none" w:sz="0" w:space="0" w:color="auto"/>
            <w:bottom w:val="none" w:sz="0" w:space="0" w:color="auto"/>
            <w:right w:val="none" w:sz="0" w:space="0" w:color="auto"/>
          </w:divBdr>
          <w:divsChild>
            <w:div w:id="1750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639">
      <w:bodyDiv w:val="1"/>
      <w:marLeft w:val="0"/>
      <w:marRight w:val="0"/>
      <w:marTop w:val="0"/>
      <w:marBottom w:val="0"/>
      <w:divBdr>
        <w:top w:val="none" w:sz="0" w:space="0" w:color="auto"/>
        <w:left w:val="none" w:sz="0" w:space="0" w:color="auto"/>
        <w:bottom w:val="none" w:sz="0" w:space="0" w:color="auto"/>
        <w:right w:val="none" w:sz="0" w:space="0" w:color="auto"/>
      </w:divBdr>
      <w:divsChild>
        <w:div w:id="1110130324">
          <w:marLeft w:val="0"/>
          <w:marRight w:val="0"/>
          <w:marTop w:val="0"/>
          <w:marBottom w:val="0"/>
          <w:divBdr>
            <w:top w:val="none" w:sz="0" w:space="0" w:color="auto"/>
            <w:left w:val="none" w:sz="0" w:space="0" w:color="auto"/>
            <w:bottom w:val="none" w:sz="0" w:space="0" w:color="auto"/>
            <w:right w:val="none" w:sz="0" w:space="0" w:color="auto"/>
          </w:divBdr>
          <w:divsChild>
            <w:div w:id="12521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4934">
      <w:bodyDiv w:val="1"/>
      <w:marLeft w:val="0"/>
      <w:marRight w:val="0"/>
      <w:marTop w:val="0"/>
      <w:marBottom w:val="0"/>
      <w:divBdr>
        <w:top w:val="none" w:sz="0" w:space="0" w:color="auto"/>
        <w:left w:val="none" w:sz="0" w:space="0" w:color="auto"/>
        <w:bottom w:val="none" w:sz="0" w:space="0" w:color="auto"/>
        <w:right w:val="none" w:sz="0" w:space="0" w:color="auto"/>
      </w:divBdr>
      <w:divsChild>
        <w:div w:id="127478066">
          <w:marLeft w:val="0"/>
          <w:marRight w:val="0"/>
          <w:marTop w:val="0"/>
          <w:marBottom w:val="0"/>
          <w:divBdr>
            <w:top w:val="none" w:sz="0" w:space="0" w:color="auto"/>
            <w:left w:val="none" w:sz="0" w:space="0" w:color="auto"/>
            <w:bottom w:val="none" w:sz="0" w:space="0" w:color="auto"/>
            <w:right w:val="none" w:sz="0" w:space="0" w:color="auto"/>
          </w:divBdr>
        </w:div>
      </w:divsChild>
    </w:div>
    <w:div w:id="1497306478">
      <w:bodyDiv w:val="1"/>
      <w:marLeft w:val="0"/>
      <w:marRight w:val="0"/>
      <w:marTop w:val="0"/>
      <w:marBottom w:val="0"/>
      <w:divBdr>
        <w:top w:val="none" w:sz="0" w:space="0" w:color="auto"/>
        <w:left w:val="none" w:sz="0" w:space="0" w:color="auto"/>
        <w:bottom w:val="none" w:sz="0" w:space="0" w:color="auto"/>
        <w:right w:val="none" w:sz="0" w:space="0" w:color="auto"/>
      </w:divBdr>
      <w:divsChild>
        <w:div w:id="1600328631">
          <w:marLeft w:val="0"/>
          <w:marRight w:val="0"/>
          <w:marTop w:val="0"/>
          <w:marBottom w:val="0"/>
          <w:divBdr>
            <w:top w:val="none" w:sz="0" w:space="0" w:color="auto"/>
            <w:left w:val="none" w:sz="0" w:space="0" w:color="auto"/>
            <w:bottom w:val="none" w:sz="0" w:space="0" w:color="auto"/>
            <w:right w:val="none" w:sz="0" w:space="0" w:color="auto"/>
          </w:divBdr>
          <w:divsChild>
            <w:div w:id="181434422">
              <w:marLeft w:val="0"/>
              <w:marRight w:val="0"/>
              <w:marTop w:val="74"/>
              <w:marBottom w:val="0"/>
              <w:divBdr>
                <w:top w:val="single" w:sz="4" w:space="4" w:color="666666"/>
                <w:left w:val="none" w:sz="0" w:space="0" w:color="auto"/>
                <w:bottom w:val="none" w:sz="0" w:space="0" w:color="auto"/>
                <w:right w:val="none" w:sz="0" w:space="0" w:color="auto"/>
              </w:divBdr>
            </w:div>
          </w:divsChild>
        </w:div>
      </w:divsChild>
    </w:div>
    <w:div w:id="1567449875">
      <w:bodyDiv w:val="1"/>
      <w:marLeft w:val="0"/>
      <w:marRight w:val="0"/>
      <w:marTop w:val="0"/>
      <w:marBottom w:val="0"/>
      <w:divBdr>
        <w:top w:val="none" w:sz="0" w:space="0" w:color="auto"/>
        <w:left w:val="none" w:sz="0" w:space="0" w:color="auto"/>
        <w:bottom w:val="none" w:sz="0" w:space="0" w:color="auto"/>
        <w:right w:val="none" w:sz="0" w:space="0" w:color="auto"/>
      </w:divBdr>
      <w:divsChild>
        <w:div w:id="24059681">
          <w:marLeft w:val="0"/>
          <w:marRight w:val="0"/>
          <w:marTop w:val="0"/>
          <w:marBottom w:val="0"/>
          <w:divBdr>
            <w:top w:val="none" w:sz="0" w:space="0" w:color="auto"/>
            <w:left w:val="none" w:sz="0" w:space="0" w:color="auto"/>
            <w:bottom w:val="none" w:sz="0" w:space="0" w:color="auto"/>
            <w:right w:val="none" w:sz="0" w:space="0" w:color="auto"/>
          </w:divBdr>
        </w:div>
        <w:div w:id="362680426">
          <w:marLeft w:val="0"/>
          <w:marRight w:val="0"/>
          <w:marTop w:val="0"/>
          <w:marBottom w:val="0"/>
          <w:divBdr>
            <w:top w:val="none" w:sz="0" w:space="0" w:color="auto"/>
            <w:left w:val="none" w:sz="0" w:space="0" w:color="auto"/>
            <w:bottom w:val="none" w:sz="0" w:space="0" w:color="auto"/>
            <w:right w:val="none" w:sz="0" w:space="0" w:color="auto"/>
          </w:divBdr>
        </w:div>
        <w:div w:id="669286088">
          <w:marLeft w:val="0"/>
          <w:marRight w:val="0"/>
          <w:marTop w:val="0"/>
          <w:marBottom w:val="0"/>
          <w:divBdr>
            <w:top w:val="none" w:sz="0" w:space="0" w:color="auto"/>
            <w:left w:val="none" w:sz="0" w:space="0" w:color="auto"/>
            <w:bottom w:val="none" w:sz="0" w:space="0" w:color="auto"/>
            <w:right w:val="none" w:sz="0" w:space="0" w:color="auto"/>
          </w:divBdr>
        </w:div>
        <w:div w:id="783769970">
          <w:marLeft w:val="0"/>
          <w:marRight w:val="0"/>
          <w:marTop w:val="0"/>
          <w:marBottom w:val="0"/>
          <w:divBdr>
            <w:top w:val="none" w:sz="0" w:space="0" w:color="auto"/>
            <w:left w:val="none" w:sz="0" w:space="0" w:color="auto"/>
            <w:bottom w:val="none" w:sz="0" w:space="0" w:color="auto"/>
            <w:right w:val="none" w:sz="0" w:space="0" w:color="auto"/>
          </w:divBdr>
        </w:div>
        <w:div w:id="1308901566">
          <w:marLeft w:val="0"/>
          <w:marRight w:val="0"/>
          <w:marTop w:val="0"/>
          <w:marBottom w:val="0"/>
          <w:divBdr>
            <w:top w:val="none" w:sz="0" w:space="0" w:color="auto"/>
            <w:left w:val="none" w:sz="0" w:space="0" w:color="auto"/>
            <w:bottom w:val="none" w:sz="0" w:space="0" w:color="auto"/>
            <w:right w:val="none" w:sz="0" w:space="0" w:color="auto"/>
          </w:divBdr>
        </w:div>
        <w:div w:id="1362585728">
          <w:marLeft w:val="0"/>
          <w:marRight w:val="0"/>
          <w:marTop w:val="0"/>
          <w:marBottom w:val="0"/>
          <w:divBdr>
            <w:top w:val="none" w:sz="0" w:space="0" w:color="auto"/>
            <w:left w:val="none" w:sz="0" w:space="0" w:color="auto"/>
            <w:bottom w:val="none" w:sz="0" w:space="0" w:color="auto"/>
            <w:right w:val="none" w:sz="0" w:space="0" w:color="auto"/>
          </w:divBdr>
        </w:div>
        <w:div w:id="1398363345">
          <w:marLeft w:val="0"/>
          <w:marRight w:val="0"/>
          <w:marTop w:val="0"/>
          <w:marBottom w:val="0"/>
          <w:divBdr>
            <w:top w:val="none" w:sz="0" w:space="0" w:color="auto"/>
            <w:left w:val="none" w:sz="0" w:space="0" w:color="auto"/>
            <w:bottom w:val="none" w:sz="0" w:space="0" w:color="auto"/>
            <w:right w:val="none" w:sz="0" w:space="0" w:color="auto"/>
          </w:divBdr>
        </w:div>
        <w:div w:id="1751657061">
          <w:marLeft w:val="0"/>
          <w:marRight w:val="0"/>
          <w:marTop w:val="0"/>
          <w:marBottom w:val="0"/>
          <w:divBdr>
            <w:top w:val="none" w:sz="0" w:space="0" w:color="auto"/>
            <w:left w:val="none" w:sz="0" w:space="0" w:color="auto"/>
            <w:bottom w:val="none" w:sz="0" w:space="0" w:color="auto"/>
            <w:right w:val="none" w:sz="0" w:space="0" w:color="auto"/>
          </w:divBdr>
        </w:div>
        <w:div w:id="1759254752">
          <w:marLeft w:val="0"/>
          <w:marRight w:val="0"/>
          <w:marTop w:val="0"/>
          <w:marBottom w:val="0"/>
          <w:divBdr>
            <w:top w:val="none" w:sz="0" w:space="0" w:color="auto"/>
            <w:left w:val="none" w:sz="0" w:space="0" w:color="auto"/>
            <w:bottom w:val="none" w:sz="0" w:space="0" w:color="auto"/>
            <w:right w:val="none" w:sz="0" w:space="0" w:color="auto"/>
          </w:divBdr>
        </w:div>
        <w:div w:id="1797790076">
          <w:marLeft w:val="0"/>
          <w:marRight w:val="0"/>
          <w:marTop w:val="0"/>
          <w:marBottom w:val="0"/>
          <w:divBdr>
            <w:top w:val="none" w:sz="0" w:space="0" w:color="auto"/>
            <w:left w:val="none" w:sz="0" w:space="0" w:color="auto"/>
            <w:bottom w:val="none" w:sz="0" w:space="0" w:color="auto"/>
            <w:right w:val="none" w:sz="0" w:space="0" w:color="auto"/>
          </w:divBdr>
        </w:div>
        <w:div w:id="2082293364">
          <w:marLeft w:val="0"/>
          <w:marRight w:val="0"/>
          <w:marTop w:val="0"/>
          <w:marBottom w:val="0"/>
          <w:divBdr>
            <w:top w:val="none" w:sz="0" w:space="0" w:color="auto"/>
            <w:left w:val="none" w:sz="0" w:space="0" w:color="auto"/>
            <w:bottom w:val="none" w:sz="0" w:space="0" w:color="auto"/>
            <w:right w:val="none" w:sz="0" w:space="0" w:color="auto"/>
          </w:divBdr>
        </w:div>
        <w:div w:id="2126189436">
          <w:marLeft w:val="0"/>
          <w:marRight w:val="0"/>
          <w:marTop w:val="0"/>
          <w:marBottom w:val="0"/>
          <w:divBdr>
            <w:top w:val="none" w:sz="0" w:space="0" w:color="auto"/>
            <w:left w:val="none" w:sz="0" w:space="0" w:color="auto"/>
            <w:bottom w:val="none" w:sz="0" w:space="0" w:color="auto"/>
            <w:right w:val="none" w:sz="0" w:space="0" w:color="auto"/>
          </w:divBdr>
        </w:div>
      </w:divsChild>
    </w:div>
    <w:div w:id="1594778829">
      <w:bodyDiv w:val="1"/>
      <w:marLeft w:val="0"/>
      <w:marRight w:val="0"/>
      <w:marTop w:val="0"/>
      <w:marBottom w:val="0"/>
      <w:divBdr>
        <w:top w:val="none" w:sz="0" w:space="0" w:color="auto"/>
        <w:left w:val="none" w:sz="0" w:space="0" w:color="auto"/>
        <w:bottom w:val="none" w:sz="0" w:space="0" w:color="auto"/>
        <w:right w:val="none" w:sz="0" w:space="0" w:color="auto"/>
      </w:divBdr>
    </w:div>
    <w:div w:id="1598517815">
      <w:bodyDiv w:val="1"/>
      <w:marLeft w:val="0"/>
      <w:marRight w:val="0"/>
      <w:marTop w:val="0"/>
      <w:marBottom w:val="0"/>
      <w:divBdr>
        <w:top w:val="none" w:sz="0" w:space="0" w:color="auto"/>
        <w:left w:val="none" w:sz="0" w:space="0" w:color="auto"/>
        <w:bottom w:val="none" w:sz="0" w:space="0" w:color="auto"/>
        <w:right w:val="none" w:sz="0" w:space="0" w:color="auto"/>
      </w:divBdr>
      <w:divsChild>
        <w:div w:id="144275757">
          <w:marLeft w:val="0"/>
          <w:marRight w:val="0"/>
          <w:marTop w:val="0"/>
          <w:marBottom w:val="0"/>
          <w:divBdr>
            <w:top w:val="none" w:sz="0" w:space="0" w:color="auto"/>
            <w:left w:val="none" w:sz="0" w:space="0" w:color="auto"/>
            <w:bottom w:val="none" w:sz="0" w:space="0" w:color="auto"/>
            <w:right w:val="none" w:sz="0" w:space="0" w:color="auto"/>
          </w:divBdr>
        </w:div>
        <w:div w:id="362245376">
          <w:marLeft w:val="0"/>
          <w:marRight w:val="0"/>
          <w:marTop w:val="0"/>
          <w:marBottom w:val="0"/>
          <w:divBdr>
            <w:top w:val="none" w:sz="0" w:space="0" w:color="auto"/>
            <w:left w:val="none" w:sz="0" w:space="0" w:color="auto"/>
            <w:bottom w:val="none" w:sz="0" w:space="0" w:color="auto"/>
            <w:right w:val="none" w:sz="0" w:space="0" w:color="auto"/>
          </w:divBdr>
        </w:div>
        <w:div w:id="475610597">
          <w:marLeft w:val="0"/>
          <w:marRight w:val="0"/>
          <w:marTop w:val="0"/>
          <w:marBottom w:val="0"/>
          <w:divBdr>
            <w:top w:val="none" w:sz="0" w:space="0" w:color="auto"/>
            <w:left w:val="none" w:sz="0" w:space="0" w:color="auto"/>
            <w:bottom w:val="none" w:sz="0" w:space="0" w:color="auto"/>
            <w:right w:val="none" w:sz="0" w:space="0" w:color="auto"/>
          </w:divBdr>
        </w:div>
        <w:div w:id="1409383683">
          <w:marLeft w:val="0"/>
          <w:marRight w:val="0"/>
          <w:marTop w:val="0"/>
          <w:marBottom w:val="0"/>
          <w:divBdr>
            <w:top w:val="none" w:sz="0" w:space="0" w:color="auto"/>
            <w:left w:val="none" w:sz="0" w:space="0" w:color="auto"/>
            <w:bottom w:val="none" w:sz="0" w:space="0" w:color="auto"/>
            <w:right w:val="none" w:sz="0" w:space="0" w:color="auto"/>
          </w:divBdr>
        </w:div>
        <w:div w:id="1572888649">
          <w:marLeft w:val="0"/>
          <w:marRight w:val="0"/>
          <w:marTop w:val="0"/>
          <w:marBottom w:val="0"/>
          <w:divBdr>
            <w:top w:val="none" w:sz="0" w:space="0" w:color="auto"/>
            <w:left w:val="none" w:sz="0" w:space="0" w:color="auto"/>
            <w:bottom w:val="none" w:sz="0" w:space="0" w:color="auto"/>
            <w:right w:val="none" w:sz="0" w:space="0" w:color="auto"/>
          </w:divBdr>
        </w:div>
        <w:div w:id="1724214722">
          <w:marLeft w:val="0"/>
          <w:marRight w:val="0"/>
          <w:marTop w:val="0"/>
          <w:marBottom w:val="0"/>
          <w:divBdr>
            <w:top w:val="none" w:sz="0" w:space="0" w:color="auto"/>
            <w:left w:val="none" w:sz="0" w:space="0" w:color="auto"/>
            <w:bottom w:val="none" w:sz="0" w:space="0" w:color="auto"/>
            <w:right w:val="none" w:sz="0" w:space="0" w:color="auto"/>
          </w:divBdr>
        </w:div>
      </w:divsChild>
    </w:div>
    <w:div w:id="1719820229">
      <w:bodyDiv w:val="1"/>
      <w:marLeft w:val="0"/>
      <w:marRight w:val="0"/>
      <w:marTop w:val="0"/>
      <w:marBottom w:val="0"/>
      <w:divBdr>
        <w:top w:val="none" w:sz="0" w:space="0" w:color="auto"/>
        <w:left w:val="none" w:sz="0" w:space="0" w:color="auto"/>
        <w:bottom w:val="none" w:sz="0" w:space="0" w:color="auto"/>
        <w:right w:val="none" w:sz="0" w:space="0" w:color="auto"/>
      </w:divBdr>
      <w:divsChild>
        <w:div w:id="2896992">
          <w:marLeft w:val="0"/>
          <w:marRight w:val="0"/>
          <w:marTop w:val="0"/>
          <w:marBottom w:val="0"/>
          <w:divBdr>
            <w:top w:val="none" w:sz="0" w:space="0" w:color="auto"/>
            <w:left w:val="none" w:sz="0" w:space="0" w:color="auto"/>
            <w:bottom w:val="none" w:sz="0" w:space="0" w:color="auto"/>
            <w:right w:val="none" w:sz="0" w:space="0" w:color="auto"/>
          </w:divBdr>
        </w:div>
        <w:div w:id="52048736">
          <w:marLeft w:val="0"/>
          <w:marRight w:val="0"/>
          <w:marTop w:val="0"/>
          <w:marBottom w:val="0"/>
          <w:divBdr>
            <w:top w:val="none" w:sz="0" w:space="0" w:color="auto"/>
            <w:left w:val="none" w:sz="0" w:space="0" w:color="auto"/>
            <w:bottom w:val="none" w:sz="0" w:space="0" w:color="auto"/>
            <w:right w:val="none" w:sz="0" w:space="0" w:color="auto"/>
          </w:divBdr>
        </w:div>
        <w:div w:id="63795057">
          <w:marLeft w:val="0"/>
          <w:marRight w:val="0"/>
          <w:marTop w:val="0"/>
          <w:marBottom w:val="0"/>
          <w:divBdr>
            <w:top w:val="none" w:sz="0" w:space="0" w:color="auto"/>
            <w:left w:val="none" w:sz="0" w:space="0" w:color="auto"/>
            <w:bottom w:val="none" w:sz="0" w:space="0" w:color="auto"/>
            <w:right w:val="none" w:sz="0" w:space="0" w:color="auto"/>
          </w:divBdr>
        </w:div>
        <w:div w:id="69425370">
          <w:marLeft w:val="0"/>
          <w:marRight w:val="0"/>
          <w:marTop w:val="0"/>
          <w:marBottom w:val="0"/>
          <w:divBdr>
            <w:top w:val="none" w:sz="0" w:space="0" w:color="auto"/>
            <w:left w:val="none" w:sz="0" w:space="0" w:color="auto"/>
            <w:bottom w:val="none" w:sz="0" w:space="0" w:color="auto"/>
            <w:right w:val="none" w:sz="0" w:space="0" w:color="auto"/>
          </w:divBdr>
        </w:div>
        <w:div w:id="77823492">
          <w:marLeft w:val="0"/>
          <w:marRight w:val="0"/>
          <w:marTop w:val="0"/>
          <w:marBottom w:val="0"/>
          <w:divBdr>
            <w:top w:val="none" w:sz="0" w:space="0" w:color="auto"/>
            <w:left w:val="none" w:sz="0" w:space="0" w:color="auto"/>
            <w:bottom w:val="none" w:sz="0" w:space="0" w:color="auto"/>
            <w:right w:val="none" w:sz="0" w:space="0" w:color="auto"/>
          </w:divBdr>
        </w:div>
        <w:div w:id="174151798">
          <w:marLeft w:val="0"/>
          <w:marRight w:val="0"/>
          <w:marTop w:val="0"/>
          <w:marBottom w:val="0"/>
          <w:divBdr>
            <w:top w:val="none" w:sz="0" w:space="0" w:color="auto"/>
            <w:left w:val="none" w:sz="0" w:space="0" w:color="auto"/>
            <w:bottom w:val="none" w:sz="0" w:space="0" w:color="auto"/>
            <w:right w:val="none" w:sz="0" w:space="0" w:color="auto"/>
          </w:divBdr>
        </w:div>
        <w:div w:id="182518230">
          <w:marLeft w:val="0"/>
          <w:marRight w:val="0"/>
          <w:marTop w:val="0"/>
          <w:marBottom w:val="0"/>
          <w:divBdr>
            <w:top w:val="none" w:sz="0" w:space="0" w:color="auto"/>
            <w:left w:val="none" w:sz="0" w:space="0" w:color="auto"/>
            <w:bottom w:val="none" w:sz="0" w:space="0" w:color="auto"/>
            <w:right w:val="none" w:sz="0" w:space="0" w:color="auto"/>
          </w:divBdr>
        </w:div>
        <w:div w:id="195968634">
          <w:marLeft w:val="0"/>
          <w:marRight w:val="0"/>
          <w:marTop w:val="0"/>
          <w:marBottom w:val="0"/>
          <w:divBdr>
            <w:top w:val="none" w:sz="0" w:space="0" w:color="auto"/>
            <w:left w:val="none" w:sz="0" w:space="0" w:color="auto"/>
            <w:bottom w:val="none" w:sz="0" w:space="0" w:color="auto"/>
            <w:right w:val="none" w:sz="0" w:space="0" w:color="auto"/>
          </w:divBdr>
        </w:div>
        <w:div w:id="254098916">
          <w:marLeft w:val="0"/>
          <w:marRight w:val="0"/>
          <w:marTop w:val="0"/>
          <w:marBottom w:val="0"/>
          <w:divBdr>
            <w:top w:val="none" w:sz="0" w:space="0" w:color="auto"/>
            <w:left w:val="none" w:sz="0" w:space="0" w:color="auto"/>
            <w:bottom w:val="none" w:sz="0" w:space="0" w:color="auto"/>
            <w:right w:val="none" w:sz="0" w:space="0" w:color="auto"/>
          </w:divBdr>
        </w:div>
        <w:div w:id="263461039">
          <w:marLeft w:val="0"/>
          <w:marRight w:val="0"/>
          <w:marTop w:val="0"/>
          <w:marBottom w:val="0"/>
          <w:divBdr>
            <w:top w:val="none" w:sz="0" w:space="0" w:color="auto"/>
            <w:left w:val="none" w:sz="0" w:space="0" w:color="auto"/>
            <w:bottom w:val="none" w:sz="0" w:space="0" w:color="auto"/>
            <w:right w:val="none" w:sz="0" w:space="0" w:color="auto"/>
          </w:divBdr>
        </w:div>
        <w:div w:id="290020716">
          <w:marLeft w:val="0"/>
          <w:marRight w:val="0"/>
          <w:marTop w:val="0"/>
          <w:marBottom w:val="0"/>
          <w:divBdr>
            <w:top w:val="none" w:sz="0" w:space="0" w:color="auto"/>
            <w:left w:val="none" w:sz="0" w:space="0" w:color="auto"/>
            <w:bottom w:val="none" w:sz="0" w:space="0" w:color="auto"/>
            <w:right w:val="none" w:sz="0" w:space="0" w:color="auto"/>
          </w:divBdr>
        </w:div>
        <w:div w:id="294607663">
          <w:marLeft w:val="0"/>
          <w:marRight w:val="0"/>
          <w:marTop w:val="0"/>
          <w:marBottom w:val="0"/>
          <w:divBdr>
            <w:top w:val="none" w:sz="0" w:space="0" w:color="auto"/>
            <w:left w:val="none" w:sz="0" w:space="0" w:color="auto"/>
            <w:bottom w:val="none" w:sz="0" w:space="0" w:color="auto"/>
            <w:right w:val="none" w:sz="0" w:space="0" w:color="auto"/>
          </w:divBdr>
        </w:div>
        <w:div w:id="296492174">
          <w:marLeft w:val="0"/>
          <w:marRight w:val="0"/>
          <w:marTop w:val="0"/>
          <w:marBottom w:val="0"/>
          <w:divBdr>
            <w:top w:val="none" w:sz="0" w:space="0" w:color="auto"/>
            <w:left w:val="none" w:sz="0" w:space="0" w:color="auto"/>
            <w:bottom w:val="none" w:sz="0" w:space="0" w:color="auto"/>
            <w:right w:val="none" w:sz="0" w:space="0" w:color="auto"/>
          </w:divBdr>
        </w:div>
        <w:div w:id="309481675">
          <w:marLeft w:val="0"/>
          <w:marRight w:val="0"/>
          <w:marTop w:val="0"/>
          <w:marBottom w:val="0"/>
          <w:divBdr>
            <w:top w:val="none" w:sz="0" w:space="0" w:color="auto"/>
            <w:left w:val="none" w:sz="0" w:space="0" w:color="auto"/>
            <w:bottom w:val="none" w:sz="0" w:space="0" w:color="auto"/>
            <w:right w:val="none" w:sz="0" w:space="0" w:color="auto"/>
          </w:divBdr>
        </w:div>
        <w:div w:id="348528201">
          <w:marLeft w:val="0"/>
          <w:marRight w:val="0"/>
          <w:marTop w:val="0"/>
          <w:marBottom w:val="0"/>
          <w:divBdr>
            <w:top w:val="none" w:sz="0" w:space="0" w:color="auto"/>
            <w:left w:val="none" w:sz="0" w:space="0" w:color="auto"/>
            <w:bottom w:val="none" w:sz="0" w:space="0" w:color="auto"/>
            <w:right w:val="none" w:sz="0" w:space="0" w:color="auto"/>
          </w:divBdr>
        </w:div>
        <w:div w:id="447239116">
          <w:marLeft w:val="0"/>
          <w:marRight w:val="0"/>
          <w:marTop w:val="0"/>
          <w:marBottom w:val="0"/>
          <w:divBdr>
            <w:top w:val="none" w:sz="0" w:space="0" w:color="auto"/>
            <w:left w:val="none" w:sz="0" w:space="0" w:color="auto"/>
            <w:bottom w:val="none" w:sz="0" w:space="0" w:color="auto"/>
            <w:right w:val="none" w:sz="0" w:space="0" w:color="auto"/>
          </w:divBdr>
        </w:div>
        <w:div w:id="535041968">
          <w:marLeft w:val="0"/>
          <w:marRight w:val="0"/>
          <w:marTop w:val="0"/>
          <w:marBottom w:val="0"/>
          <w:divBdr>
            <w:top w:val="none" w:sz="0" w:space="0" w:color="auto"/>
            <w:left w:val="none" w:sz="0" w:space="0" w:color="auto"/>
            <w:bottom w:val="none" w:sz="0" w:space="0" w:color="auto"/>
            <w:right w:val="none" w:sz="0" w:space="0" w:color="auto"/>
          </w:divBdr>
        </w:div>
        <w:div w:id="551042670">
          <w:marLeft w:val="0"/>
          <w:marRight w:val="0"/>
          <w:marTop w:val="0"/>
          <w:marBottom w:val="0"/>
          <w:divBdr>
            <w:top w:val="none" w:sz="0" w:space="0" w:color="auto"/>
            <w:left w:val="none" w:sz="0" w:space="0" w:color="auto"/>
            <w:bottom w:val="none" w:sz="0" w:space="0" w:color="auto"/>
            <w:right w:val="none" w:sz="0" w:space="0" w:color="auto"/>
          </w:divBdr>
        </w:div>
        <w:div w:id="577204511">
          <w:marLeft w:val="0"/>
          <w:marRight w:val="0"/>
          <w:marTop w:val="0"/>
          <w:marBottom w:val="0"/>
          <w:divBdr>
            <w:top w:val="none" w:sz="0" w:space="0" w:color="auto"/>
            <w:left w:val="none" w:sz="0" w:space="0" w:color="auto"/>
            <w:bottom w:val="none" w:sz="0" w:space="0" w:color="auto"/>
            <w:right w:val="none" w:sz="0" w:space="0" w:color="auto"/>
          </w:divBdr>
        </w:div>
        <w:div w:id="725839089">
          <w:marLeft w:val="0"/>
          <w:marRight w:val="0"/>
          <w:marTop w:val="0"/>
          <w:marBottom w:val="0"/>
          <w:divBdr>
            <w:top w:val="none" w:sz="0" w:space="0" w:color="auto"/>
            <w:left w:val="none" w:sz="0" w:space="0" w:color="auto"/>
            <w:bottom w:val="none" w:sz="0" w:space="0" w:color="auto"/>
            <w:right w:val="none" w:sz="0" w:space="0" w:color="auto"/>
          </w:divBdr>
        </w:div>
        <w:div w:id="935402510">
          <w:marLeft w:val="0"/>
          <w:marRight w:val="0"/>
          <w:marTop w:val="0"/>
          <w:marBottom w:val="0"/>
          <w:divBdr>
            <w:top w:val="none" w:sz="0" w:space="0" w:color="auto"/>
            <w:left w:val="none" w:sz="0" w:space="0" w:color="auto"/>
            <w:bottom w:val="none" w:sz="0" w:space="0" w:color="auto"/>
            <w:right w:val="none" w:sz="0" w:space="0" w:color="auto"/>
          </w:divBdr>
        </w:div>
        <w:div w:id="1001470634">
          <w:marLeft w:val="0"/>
          <w:marRight w:val="0"/>
          <w:marTop w:val="0"/>
          <w:marBottom w:val="0"/>
          <w:divBdr>
            <w:top w:val="none" w:sz="0" w:space="0" w:color="auto"/>
            <w:left w:val="none" w:sz="0" w:space="0" w:color="auto"/>
            <w:bottom w:val="none" w:sz="0" w:space="0" w:color="auto"/>
            <w:right w:val="none" w:sz="0" w:space="0" w:color="auto"/>
          </w:divBdr>
        </w:div>
        <w:div w:id="1057126209">
          <w:marLeft w:val="0"/>
          <w:marRight w:val="0"/>
          <w:marTop w:val="0"/>
          <w:marBottom w:val="0"/>
          <w:divBdr>
            <w:top w:val="none" w:sz="0" w:space="0" w:color="auto"/>
            <w:left w:val="none" w:sz="0" w:space="0" w:color="auto"/>
            <w:bottom w:val="none" w:sz="0" w:space="0" w:color="auto"/>
            <w:right w:val="none" w:sz="0" w:space="0" w:color="auto"/>
          </w:divBdr>
        </w:div>
        <w:div w:id="1061290244">
          <w:marLeft w:val="0"/>
          <w:marRight w:val="0"/>
          <w:marTop w:val="0"/>
          <w:marBottom w:val="0"/>
          <w:divBdr>
            <w:top w:val="none" w:sz="0" w:space="0" w:color="auto"/>
            <w:left w:val="none" w:sz="0" w:space="0" w:color="auto"/>
            <w:bottom w:val="none" w:sz="0" w:space="0" w:color="auto"/>
            <w:right w:val="none" w:sz="0" w:space="0" w:color="auto"/>
          </w:divBdr>
        </w:div>
        <w:div w:id="1181168057">
          <w:marLeft w:val="0"/>
          <w:marRight w:val="0"/>
          <w:marTop w:val="0"/>
          <w:marBottom w:val="0"/>
          <w:divBdr>
            <w:top w:val="none" w:sz="0" w:space="0" w:color="auto"/>
            <w:left w:val="none" w:sz="0" w:space="0" w:color="auto"/>
            <w:bottom w:val="none" w:sz="0" w:space="0" w:color="auto"/>
            <w:right w:val="none" w:sz="0" w:space="0" w:color="auto"/>
          </w:divBdr>
        </w:div>
        <w:div w:id="1227915195">
          <w:marLeft w:val="0"/>
          <w:marRight w:val="0"/>
          <w:marTop w:val="0"/>
          <w:marBottom w:val="0"/>
          <w:divBdr>
            <w:top w:val="none" w:sz="0" w:space="0" w:color="auto"/>
            <w:left w:val="none" w:sz="0" w:space="0" w:color="auto"/>
            <w:bottom w:val="none" w:sz="0" w:space="0" w:color="auto"/>
            <w:right w:val="none" w:sz="0" w:space="0" w:color="auto"/>
          </w:divBdr>
        </w:div>
        <w:div w:id="1235623801">
          <w:marLeft w:val="0"/>
          <w:marRight w:val="0"/>
          <w:marTop w:val="0"/>
          <w:marBottom w:val="0"/>
          <w:divBdr>
            <w:top w:val="none" w:sz="0" w:space="0" w:color="auto"/>
            <w:left w:val="none" w:sz="0" w:space="0" w:color="auto"/>
            <w:bottom w:val="none" w:sz="0" w:space="0" w:color="auto"/>
            <w:right w:val="none" w:sz="0" w:space="0" w:color="auto"/>
          </w:divBdr>
        </w:div>
        <w:div w:id="1301151983">
          <w:marLeft w:val="0"/>
          <w:marRight w:val="0"/>
          <w:marTop w:val="0"/>
          <w:marBottom w:val="0"/>
          <w:divBdr>
            <w:top w:val="none" w:sz="0" w:space="0" w:color="auto"/>
            <w:left w:val="none" w:sz="0" w:space="0" w:color="auto"/>
            <w:bottom w:val="none" w:sz="0" w:space="0" w:color="auto"/>
            <w:right w:val="none" w:sz="0" w:space="0" w:color="auto"/>
          </w:divBdr>
        </w:div>
        <w:div w:id="1302079560">
          <w:marLeft w:val="0"/>
          <w:marRight w:val="0"/>
          <w:marTop w:val="0"/>
          <w:marBottom w:val="0"/>
          <w:divBdr>
            <w:top w:val="none" w:sz="0" w:space="0" w:color="auto"/>
            <w:left w:val="none" w:sz="0" w:space="0" w:color="auto"/>
            <w:bottom w:val="none" w:sz="0" w:space="0" w:color="auto"/>
            <w:right w:val="none" w:sz="0" w:space="0" w:color="auto"/>
          </w:divBdr>
        </w:div>
        <w:div w:id="1310670914">
          <w:marLeft w:val="0"/>
          <w:marRight w:val="0"/>
          <w:marTop w:val="0"/>
          <w:marBottom w:val="0"/>
          <w:divBdr>
            <w:top w:val="none" w:sz="0" w:space="0" w:color="auto"/>
            <w:left w:val="none" w:sz="0" w:space="0" w:color="auto"/>
            <w:bottom w:val="none" w:sz="0" w:space="0" w:color="auto"/>
            <w:right w:val="none" w:sz="0" w:space="0" w:color="auto"/>
          </w:divBdr>
        </w:div>
        <w:div w:id="1352990786">
          <w:marLeft w:val="0"/>
          <w:marRight w:val="0"/>
          <w:marTop w:val="0"/>
          <w:marBottom w:val="0"/>
          <w:divBdr>
            <w:top w:val="none" w:sz="0" w:space="0" w:color="auto"/>
            <w:left w:val="none" w:sz="0" w:space="0" w:color="auto"/>
            <w:bottom w:val="none" w:sz="0" w:space="0" w:color="auto"/>
            <w:right w:val="none" w:sz="0" w:space="0" w:color="auto"/>
          </w:divBdr>
        </w:div>
        <w:div w:id="1355810021">
          <w:marLeft w:val="0"/>
          <w:marRight w:val="0"/>
          <w:marTop w:val="0"/>
          <w:marBottom w:val="0"/>
          <w:divBdr>
            <w:top w:val="none" w:sz="0" w:space="0" w:color="auto"/>
            <w:left w:val="none" w:sz="0" w:space="0" w:color="auto"/>
            <w:bottom w:val="none" w:sz="0" w:space="0" w:color="auto"/>
            <w:right w:val="none" w:sz="0" w:space="0" w:color="auto"/>
          </w:divBdr>
        </w:div>
        <w:div w:id="1447772350">
          <w:marLeft w:val="0"/>
          <w:marRight w:val="0"/>
          <w:marTop w:val="0"/>
          <w:marBottom w:val="0"/>
          <w:divBdr>
            <w:top w:val="none" w:sz="0" w:space="0" w:color="auto"/>
            <w:left w:val="none" w:sz="0" w:space="0" w:color="auto"/>
            <w:bottom w:val="none" w:sz="0" w:space="0" w:color="auto"/>
            <w:right w:val="none" w:sz="0" w:space="0" w:color="auto"/>
          </w:divBdr>
        </w:div>
        <w:div w:id="1453136110">
          <w:marLeft w:val="0"/>
          <w:marRight w:val="0"/>
          <w:marTop w:val="0"/>
          <w:marBottom w:val="0"/>
          <w:divBdr>
            <w:top w:val="none" w:sz="0" w:space="0" w:color="auto"/>
            <w:left w:val="none" w:sz="0" w:space="0" w:color="auto"/>
            <w:bottom w:val="none" w:sz="0" w:space="0" w:color="auto"/>
            <w:right w:val="none" w:sz="0" w:space="0" w:color="auto"/>
          </w:divBdr>
        </w:div>
        <w:div w:id="1454789510">
          <w:marLeft w:val="0"/>
          <w:marRight w:val="0"/>
          <w:marTop w:val="0"/>
          <w:marBottom w:val="0"/>
          <w:divBdr>
            <w:top w:val="none" w:sz="0" w:space="0" w:color="auto"/>
            <w:left w:val="none" w:sz="0" w:space="0" w:color="auto"/>
            <w:bottom w:val="none" w:sz="0" w:space="0" w:color="auto"/>
            <w:right w:val="none" w:sz="0" w:space="0" w:color="auto"/>
          </w:divBdr>
        </w:div>
        <w:div w:id="1484391543">
          <w:marLeft w:val="0"/>
          <w:marRight w:val="0"/>
          <w:marTop w:val="0"/>
          <w:marBottom w:val="0"/>
          <w:divBdr>
            <w:top w:val="none" w:sz="0" w:space="0" w:color="auto"/>
            <w:left w:val="none" w:sz="0" w:space="0" w:color="auto"/>
            <w:bottom w:val="none" w:sz="0" w:space="0" w:color="auto"/>
            <w:right w:val="none" w:sz="0" w:space="0" w:color="auto"/>
          </w:divBdr>
        </w:div>
        <w:div w:id="1491672737">
          <w:marLeft w:val="0"/>
          <w:marRight w:val="0"/>
          <w:marTop w:val="0"/>
          <w:marBottom w:val="0"/>
          <w:divBdr>
            <w:top w:val="none" w:sz="0" w:space="0" w:color="auto"/>
            <w:left w:val="none" w:sz="0" w:space="0" w:color="auto"/>
            <w:bottom w:val="none" w:sz="0" w:space="0" w:color="auto"/>
            <w:right w:val="none" w:sz="0" w:space="0" w:color="auto"/>
          </w:divBdr>
        </w:div>
        <w:div w:id="1517117482">
          <w:marLeft w:val="0"/>
          <w:marRight w:val="0"/>
          <w:marTop w:val="0"/>
          <w:marBottom w:val="0"/>
          <w:divBdr>
            <w:top w:val="none" w:sz="0" w:space="0" w:color="auto"/>
            <w:left w:val="none" w:sz="0" w:space="0" w:color="auto"/>
            <w:bottom w:val="none" w:sz="0" w:space="0" w:color="auto"/>
            <w:right w:val="none" w:sz="0" w:space="0" w:color="auto"/>
          </w:divBdr>
        </w:div>
        <w:div w:id="1526792641">
          <w:marLeft w:val="0"/>
          <w:marRight w:val="0"/>
          <w:marTop w:val="0"/>
          <w:marBottom w:val="0"/>
          <w:divBdr>
            <w:top w:val="none" w:sz="0" w:space="0" w:color="auto"/>
            <w:left w:val="none" w:sz="0" w:space="0" w:color="auto"/>
            <w:bottom w:val="none" w:sz="0" w:space="0" w:color="auto"/>
            <w:right w:val="none" w:sz="0" w:space="0" w:color="auto"/>
          </w:divBdr>
        </w:div>
        <w:div w:id="1541816134">
          <w:marLeft w:val="0"/>
          <w:marRight w:val="0"/>
          <w:marTop w:val="0"/>
          <w:marBottom w:val="0"/>
          <w:divBdr>
            <w:top w:val="none" w:sz="0" w:space="0" w:color="auto"/>
            <w:left w:val="none" w:sz="0" w:space="0" w:color="auto"/>
            <w:bottom w:val="none" w:sz="0" w:space="0" w:color="auto"/>
            <w:right w:val="none" w:sz="0" w:space="0" w:color="auto"/>
          </w:divBdr>
        </w:div>
        <w:div w:id="1551727928">
          <w:marLeft w:val="0"/>
          <w:marRight w:val="0"/>
          <w:marTop w:val="0"/>
          <w:marBottom w:val="0"/>
          <w:divBdr>
            <w:top w:val="none" w:sz="0" w:space="0" w:color="auto"/>
            <w:left w:val="none" w:sz="0" w:space="0" w:color="auto"/>
            <w:bottom w:val="none" w:sz="0" w:space="0" w:color="auto"/>
            <w:right w:val="none" w:sz="0" w:space="0" w:color="auto"/>
          </w:divBdr>
        </w:div>
        <w:div w:id="1559168186">
          <w:marLeft w:val="0"/>
          <w:marRight w:val="0"/>
          <w:marTop w:val="0"/>
          <w:marBottom w:val="0"/>
          <w:divBdr>
            <w:top w:val="none" w:sz="0" w:space="0" w:color="auto"/>
            <w:left w:val="none" w:sz="0" w:space="0" w:color="auto"/>
            <w:bottom w:val="none" w:sz="0" w:space="0" w:color="auto"/>
            <w:right w:val="none" w:sz="0" w:space="0" w:color="auto"/>
          </w:divBdr>
        </w:div>
        <w:div w:id="1595817545">
          <w:marLeft w:val="0"/>
          <w:marRight w:val="0"/>
          <w:marTop w:val="0"/>
          <w:marBottom w:val="0"/>
          <w:divBdr>
            <w:top w:val="none" w:sz="0" w:space="0" w:color="auto"/>
            <w:left w:val="none" w:sz="0" w:space="0" w:color="auto"/>
            <w:bottom w:val="none" w:sz="0" w:space="0" w:color="auto"/>
            <w:right w:val="none" w:sz="0" w:space="0" w:color="auto"/>
          </w:divBdr>
        </w:div>
        <w:div w:id="1662612360">
          <w:marLeft w:val="0"/>
          <w:marRight w:val="0"/>
          <w:marTop w:val="0"/>
          <w:marBottom w:val="0"/>
          <w:divBdr>
            <w:top w:val="none" w:sz="0" w:space="0" w:color="auto"/>
            <w:left w:val="none" w:sz="0" w:space="0" w:color="auto"/>
            <w:bottom w:val="none" w:sz="0" w:space="0" w:color="auto"/>
            <w:right w:val="none" w:sz="0" w:space="0" w:color="auto"/>
          </w:divBdr>
        </w:div>
        <w:div w:id="1717312299">
          <w:marLeft w:val="0"/>
          <w:marRight w:val="0"/>
          <w:marTop w:val="0"/>
          <w:marBottom w:val="0"/>
          <w:divBdr>
            <w:top w:val="none" w:sz="0" w:space="0" w:color="auto"/>
            <w:left w:val="none" w:sz="0" w:space="0" w:color="auto"/>
            <w:bottom w:val="none" w:sz="0" w:space="0" w:color="auto"/>
            <w:right w:val="none" w:sz="0" w:space="0" w:color="auto"/>
          </w:divBdr>
        </w:div>
        <w:div w:id="1724864039">
          <w:marLeft w:val="0"/>
          <w:marRight w:val="0"/>
          <w:marTop w:val="0"/>
          <w:marBottom w:val="0"/>
          <w:divBdr>
            <w:top w:val="none" w:sz="0" w:space="0" w:color="auto"/>
            <w:left w:val="none" w:sz="0" w:space="0" w:color="auto"/>
            <w:bottom w:val="none" w:sz="0" w:space="0" w:color="auto"/>
            <w:right w:val="none" w:sz="0" w:space="0" w:color="auto"/>
          </w:divBdr>
        </w:div>
        <w:div w:id="1814641099">
          <w:marLeft w:val="0"/>
          <w:marRight w:val="0"/>
          <w:marTop w:val="0"/>
          <w:marBottom w:val="0"/>
          <w:divBdr>
            <w:top w:val="none" w:sz="0" w:space="0" w:color="auto"/>
            <w:left w:val="none" w:sz="0" w:space="0" w:color="auto"/>
            <w:bottom w:val="none" w:sz="0" w:space="0" w:color="auto"/>
            <w:right w:val="none" w:sz="0" w:space="0" w:color="auto"/>
          </w:divBdr>
        </w:div>
        <w:div w:id="1823112067">
          <w:marLeft w:val="0"/>
          <w:marRight w:val="0"/>
          <w:marTop w:val="0"/>
          <w:marBottom w:val="0"/>
          <w:divBdr>
            <w:top w:val="none" w:sz="0" w:space="0" w:color="auto"/>
            <w:left w:val="none" w:sz="0" w:space="0" w:color="auto"/>
            <w:bottom w:val="none" w:sz="0" w:space="0" w:color="auto"/>
            <w:right w:val="none" w:sz="0" w:space="0" w:color="auto"/>
          </w:divBdr>
        </w:div>
        <w:div w:id="1896505024">
          <w:marLeft w:val="0"/>
          <w:marRight w:val="0"/>
          <w:marTop w:val="0"/>
          <w:marBottom w:val="0"/>
          <w:divBdr>
            <w:top w:val="none" w:sz="0" w:space="0" w:color="auto"/>
            <w:left w:val="none" w:sz="0" w:space="0" w:color="auto"/>
            <w:bottom w:val="none" w:sz="0" w:space="0" w:color="auto"/>
            <w:right w:val="none" w:sz="0" w:space="0" w:color="auto"/>
          </w:divBdr>
        </w:div>
        <w:div w:id="1942181553">
          <w:marLeft w:val="0"/>
          <w:marRight w:val="0"/>
          <w:marTop w:val="0"/>
          <w:marBottom w:val="0"/>
          <w:divBdr>
            <w:top w:val="none" w:sz="0" w:space="0" w:color="auto"/>
            <w:left w:val="none" w:sz="0" w:space="0" w:color="auto"/>
            <w:bottom w:val="none" w:sz="0" w:space="0" w:color="auto"/>
            <w:right w:val="none" w:sz="0" w:space="0" w:color="auto"/>
          </w:divBdr>
        </w:div>
        <w:div w:id="1980649254">
          <w:marLeft w:val="0"/>
          <w:marRight w:val="0"/>
          <w:marTop w:val="0"/>
          <w:marBottom w:val="0"/>
          <w:divBdr>
            <w:top w:val="none" w:sz="0" w:space="0" w:color="auto"/>
            <w:left w:val="none" w:sz="0" w:space="0" w:color="auto"/>
            <w:bottom w:val="none" w:sz="0" w:space="0" w:color="auto"/>
            <w:right w:val="none" w:sz="0" w:space="0" w:color="auto"/>
          </w:divBdr>
        </w:div>
        <w:div w:id="2032489911">
          <w:marLeft w:val="0"/>
          <w:marRight w:val="0"/>
          <w:marTop w:val="0"/>
          <w:marBottom w:val="0"/>
          <w:divBdr>
            <w:top w:val="none" w:sz="0" w:space="0" w:color="auto"/>
            <w:left w:val="none" w:sz="0" w:space="0" w:color="auto"/>
            <w:bottom w:val="none" w:sz="0" w:space="0" w:color="auto"/>
            <w:right w:val="none" w:sz="0" w:space="0" w:color="auto"/>
          </w:divBdr>
        </w:div>
        <w:div w:id="2111511900">
          <w:marLeft w:val="0"/>
          <w:marRight w:val="0"/>
          <w:marTop w:val="0"/>
          <w:marBottom w:val="0"/>
          <w:divBdr>
            <w:top w:val="none" w:sz="0" w:space="0" w:color="auto"/>
            <w:left w:val="none" w:sz="0" w:space="0" w:color="auto"/>
            <w:bottom w:val="none" w:sz="0" w:space="0" w:color="auto"/>
            <w:right w:val="none" w:sz="0" w:space="0" w:color="auto"/>
          </w:divBdr>
        </w:div>
        <w:div w:id="2118671631">
          <w:marLeft w:val="0"/>
          <w:marRight w:val="0"/>
          <w:marTop w:val="0"/>
          <w:marBottom w:val="0"/>
          <w:divBdr>
            <w:top w:val="none" w:sz="0" w:space="0" w:color="auto"/>
            <w:left w:val="none" w:sz="0" w:space="0" w:color="auto"/>
            <w:bottom w:val="none" w:sz="0" w:space="0" w:color="auto"/>
            <w:right w:val="none" w:sz="0" w:space="0" w:color="auto"/>
          </w:divBdr>
        </w:div>
      </w:divsChild>
    </w:div>
    <w:div w:id="1741564372">
      <w:bodyDiv w:val="1"/>
      <w:marLeft w:val="0"/>
      <w:marRight w:val="0"/>
      <w:marTop w:val="0"/>
      <w:marBottom w:val="0"/>
      <w:divBdr>
        <w:top w:val="none" w:sz="0" w:space="0" w:color="auto"/>
        <w:left w:val="none" w:sz="0" w:space="0" w:color="auto"/>
        <w:bottom w:val="none" w:sz="0" w:space="0" w:color="auto"/>
        <w:right w:val="none" w:sz="0" w:space="0" w:color="auto"/>
      </w:divBdr>
      <w:divsChild>
        <w:div w:id="2014213291">
          <w:marLeft w:val="0"/>
          <w:marRight w:val="0"/>
          <w:marTop w:val="0"/>
          <w:marBottom w:val="0"/>
          <w:divBdr>
            <w:top w:val="none" w:sz="0" w:space="0" w:color="auto"/>
            <w:left w:val="none" w:sz="0" w:space="0" w:color="auto"/>
            <w:bottom w:val="none" w:sz="0" w:space="0" w:color="auto"/>
            <w:right w:val="none" w:sz="0" w:space="0" w:color="auto"/>
          </w:divBdr>
          <w:divsChild>
            <w:div w:id="6848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1054">
      <w:bodyDiv w:val="1"/>
      <w:marLeft w:val="0"/>
      <w:marRight w:val="0"/>
      <w:marTop w:val="0"/>
      <w:marBottom w:val="0"/>
      <w:divBdr>
        <w:top w:val="none" w:sz="0" w:space="0" w:color="auto"/>
        <w:left w:val="none" w:sz="0" w:space="0" w:color="auto"/>
        <w:bottom w:val="none" w:sz="0" w:space="0" w:color="auto"/>
        <w:right w:val="none" w:sz="0" w:space="0" w:color="auto"/>
      </w:divBdr>
    </w:div>
    <w:div w:id="1799180390">
      <w:bodyDiv w:val="1"/>
      <w:marLeft w:val="0"/>
      <w:marRight w:val="0"/>
      <w:marTop w:val="0"/>
      <w:marBottom w:val="0"/>
      <w:divBdr>
        <w:top w:val="none" w:sz="0" w:space="0" w:color="auto"/>
        <w:left w:val="none" w:sz="0" w:space="0" w:color="auto"/>
        <w:bottom w:val="none" w:sz="0" w:space="0" w:color="auto"/>
        <w:right w:val="none" w:sz="0" w:space="0" w:color="auto"/>
      </w:divBdr>
      <w:divsChild>
        <w:div w:id="531386562">
          <w:marLeft w:val="0"/>
          <w:marRight w:val="0"/>
          <w:marTop w:val="0"/>
          <w:marBottom w:val="0"/>
          <w:divBdr>
            <w:top w:val="none" w:sz="0" w:space="0" w:color="auto"/>
            <w:left w:val="none" w:sz="0" w:space="0" w:color="auto"/>
            <w:bottom w:val="none" w:sz="0" w:space="0" w:color="auto"/>
            <w:right w:val="none" w:sz="0" w:space="0" w:color="auto"/>
          </w:divBdr>
        </w:div>
        <w:div w:id="970090116">
          <w:marLeft w:val="0"/>
          <w:marRight w:val="0"/>
          <w:marTop w:val="0"/>
          <w:marBottom w:val="0"/>
          <w:divBdr>
            <w:top w:val="none" w:sz="0" w:space="0" w:color="auto"/>
            <w:left w:val="none" w:sz="0" w:space="0" w:color="auto"/>
            <w:bottom w:val="none" w:sz="0" w:space="0" w:color="auto"/>
            <w:right w:val="none" w:sz="0" w:space="0" w:color="auto"/>
          </w:divBdr>
        </w:div>
        <w:div w:id="1244293965">
          <w:marLeft w:val="0"/>
          <w:marRight w:val="0"/>
          <w:marTop w:val="0"/>
          <w:marBottom w:val="0"/>
          <w:divBdr>
            <w:top w:val="none" w:sz="0" w:space="0" w:color="auto"/>
            <w:left w:val="none" w:sz="0" w:space="0" w:color="auto"/>
            <w:bottom w:val="none" w:sz="0" w:space="0" w:color="auto"/>
            <w:right w:val="none" w:sz="0" w:space="0" w:color="auto"/>
          </w:divBdr>
        </w:div>
        <w:div w:id="1635214568">
          <w:marLeft w:val="0"/>
          <w:marRight w:val="0"/>
          <w:marTop w:val="0"/>
          <w:marBottom w:val="0"/>
          <w:divBdr>
            <w:top w:val="none" w:sz="0" w:space="0" w:color="auto"/>
            <w:left w:val="none" w:sz="0" w:space="0" w:color="auto"/>
            <w:bottom w:val="none" w:sz="0" w:space="0" w:color="auto"/>
            <w:right w:val="none" w:sz="0" w:space="0" w:color="auto"/>
          </w:divBdr>
        </w:div>
      </w:divsChild>
    </w:div>
    <w:div w:id="1802310048">
      <w:bodyDiv w:val="1"/>
      <w:marLeft w:val="0"/>
      <w:marRight w:val="0"/>
      <w:marTop w:val="0"/>
      <w:marBottom w:val="0"/>
      <w:divBdr>
        <w:top w:val="none" w:sz="0" w:space="0" w:color="auto"/>
        <w:left w:val="none" w:sz="0" w:space="0" w:color="auto"/>
        <w:bottom w:val="none" w:sz="0" w:space="0" w:color="auto"/>
        <w:right w:val="none" w:sz="0" w:space="0" w:color="auto"/>
      </w:divBdr>
      <w:divsChild>
        <w:div w:id="397634921">
          <w:marLeft w:val="0"/>
          <w:marRight w:val="0"/>
          <w:marTop w:val="0"/>
          <w:marBottom w:val="0"/>
          <w:divBdr>
            <w:top w:val="none" w:sz="0" w:space="0" w:color="auto"/>
            <w:left w:val="none" w:sz="0" w:space="0" w:color="auto"/>
            <w:bottom w:val="none" w:sz="0" w:space="0" w:color="auto"/>
            <w:right w:val="none" w:sz="0" w:space="0" w:color="auto"/>
          </w:divBdr>
          <w:divsChild>
            <w:div w:id="58600572">
              <w:marLeft w:val="0"/>
              <w:marRight w:val="0"/>
              <w:marTop w:val="0"/>
              <w:marBottom w:val="0"/>
              <w:divBdr>
                <w:top w:val="none" w:sz="0" w:space="0" w:color="auto"/>
                <w:left w:val="none" w:sz="0" w:space="0" w:color="auto"/>
                <w:bottom w:val="none" w:sz="0" w:space="0" w:color="auto"/>
                <w:right w:val="none" w:sz="0" w:space="0" w:color="auto"/>
              </w:divBdr>
            </w:div>
            <w:div w:id="520898690">
              <w:marLeft w:val="0"/>
              <w:marRight w:val="0"/>
              <w:marTop w:val="0"/>
              <w:marBottom w:val="0"/>
              <w:divBdr>
                <w:top w:val="none" w:sz="0" w:space="0" w:color="auto"/>
                <w:left w:val="none" w:sz="0" w:space="0" w:color="auto"/>
                <w:bottom w:val="none" w:sz="0" w:space="0" w:color="auto"/>
                <w:right w:val="none" w:sz="0" w:space="0" w:color="auto"/>
              </w:divBdr>
            </w:div>
            <w:div w:id="799373901">
              <w:marLeft w:val="0"/>
              <w:marRight w:val="0"/>
              <w:marTop w:val="0"/>
              <w:marBottom w:val="0"/>
              <w:divBdr>
                <w:top w:val="none" w:sz="0" w:space="0" w:color="auto"/>
                <w:left w:val="none" w:sz="0" w:space="0" w:color="auto"/>
                <w:bottom w:val="none" w:sz="0" w:space="0" w:color="auto"/>
                <w:right w:val="none" w:sz="0" w:space="0" w:color="auto"/>
              </w:divBdr>
            </w:div>
            <w:div w:id="1992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04">
      <w:bodyDiv w:val="1"/>
      <w:marLeft w:val="0"/>
      <w:marRight w:val="0"/>
      <w:marTop w:val="0"/>
      <w:marBottom w:val="0"/>
      <w:divBdr>
        <w:top w:val="none" w:sz="0" w:space="0" w:color="auto"/>
        <w:left w:val="none" w:sz="0" w:space="0" w:color="auto"/>
        <w:bottom w:val="none" w:sz="0" w:space="0" w:color="auto"/>
        <w:right w:val="none" w:sz="0" w:space="0" w:color="auto"/>
      </w:divBdr>
      <w:divsChild>
        <w:div w:id="1200269">
          <w:marLeft w:val="0"/>
          <w:marRight w:val="0"/>
          <w:marTop w:val="0"/>
          <w:marBottom w:val="0"/>
          <w:divBdr>
            <w:top w:val="none" w:sz="0" w:space="0" w:color="auto"/>
            <w:left w:val="none" w:sz="0" w:space="0" w:color="auto"/>
            <w:bottom w:val="none" w:sz="0" w:space="0" w:color="auto"/>
            <w:right w:val="none" w:sz="0" w:space="0" w:color="auto"/>
          </w:divBdr>
        </w:div>
        <w:div w:id="9570430">
          <w:marLeft w:val="0"/>
          <w:marRight w:val="0"/>
          <w:marTop w:val="0"/>
          <w:marBottom w:val="0"/>
          <w:divBdr>
            <w:top w:val="none" w:sz="0" w:space="0" w:color="auto"/>
            <w:left w:val="none" w:sz="0" w:space="0" w:color="auto"/>
            <w:bottom w:val="none" w:sz="0" w:space="0" w:color="auto"/>
            <w:right w:val="none" w:sz="0" w:space="0" w:color="auto"/>
          </w:divBdr>
        </w:div>
        <w:div w:id="14696009">
          <w:marLeft w:val="0"/>
          <w:marRight w:val="0"/>
          <w:marTop w:val="0"/>
          <w:marBottom w:val="0"/>
          <w:divBdr>
            <w:top w:val="none" w:sz="0" w:space="0" w:color="auto"/>
            <w:left w:val="none" w:sz="0" w:space="0" w:color="auto"/>
            <w:bottom w:val="none" w:sz="0" w:space="0" w:color="auto"/>
            <w:right w:val="none" w:sz="0" w:space="0" w:color="auto"/>
          </w:divBdr>
        </w:div>
        <w:div w:id="15694440">
          <w:marLeft w:val="0"/>
          <w:marRight w:val="0"/>
          <w:marTop w:val="0"/>
          <w:marBottom w:val="0"/>
          <w:divBdr>
            <w:top w:val="none" w:sz="0" w:space="0" w:color="auto"/>
            <w:left w:val="none" w:sz="0" w:space="0" w:color="auto"/>
            <w:bottom w:val="none" w:sz="0" w:space="0" w:color="auto"/>
            <w:right w:val="none" w:sz="0" w:space="0" w:color="auto"/>
          </w:divBdr>
        </w:div>
        <w:div w:id="18508882">
          <w:marLeft w:val="0"/>
          <w:marRight w:val="0"/>
          <w:marTop w:val="0"/>
          <w:marBottom w:val="0"/>
          <w:divBdr>
            <w:top w:val="none" w:sz="0" w:space="0" w:color="auto"/>
            <w:left w:val="none" w:sz="0" w:space="0" w:color="auto"/>
            <w:bottom w:val="none" w:sz="0" w:space="0" w:color="auto"/>
            <w:right w:val="none" w:sz="0" w:space="0" w:color="auto"/>
          </w:divBdr>
        </w:div>
        <w:div w:id="39863653">
          <w:marLeft w:val="0"/>
          <w:marRight w:val="0"/>
          <w:marTop w:val="0"/>
          <w:marBottom w:val="0"/>
          <w:divBdr>
            <w:top w:val="none" w:sz="0" w:space="0" w:color="auto"/>
            <w:left w:val="none" w:sz="0" w:space="0" w:color="auto"/>
            <w:bottom w:val="none" w:sz="0" w:space="0" w:color="auto"/>
            <w:right w:val="none" w:sz="0" w:space="0" w:color="auto"/>
          </w:divBdr>
        </w:div>
        <w:div w:id="53041395">
          <w:marLeft w:val="0"/>
          <w:marRight w:val="0"/>
          <w:marTop w:val="0"/>
          <w:marBottom w:val="0"/>
          <w:divBdr>
            <w:top w:val="none" w:sz="0" w:space="0" w:color="auto"/>
            <w:left w:val="none" w:sz="0" w:space="0" w:color="auto"/>
            <w:bottom w:val="none" w:sz="0" w:space="0" w:color="auto"/>
            <w:right w:val="none" w:sz="0" w:space="0" w:color="auto"/>
          </w:divBdr>
        </w:div>
        <w:div w:id="70006526">
          <w:marLeft w:val="0"/>
          <w:marRight w:val="0"/>
          <w:marTop w:val="0"/>
          <w:marBottom w:val="0"/>
          <w:divBdr>
            <w:top w:val="none" w:sz="0" w:space="0" w:color="auto"/>
            <w:left w:val="none" w:sz="0" w:space="0" w:color="auto"/>
            <w:bottom w:val="none" w:sz="0" w:space="0" w:color="auto"/>
            <w:right w:val="none" w:sz="0" w:space="0" w:color="auto"/>
          </w:divBdr>
        </w:div>
        <w:div w:id="75903739">
          <w:marLeft w:val="0"/>
          <w:marRight w:val="0"/>
          <w:marTop w:val="0"/>
          <w:marBottom w:val="0"/>
          <w:divBdr>
            <w:top w:val="none" w:sz="0" w:space="0" w:color="auto"/>
            <w:left w:val="none" w:sz="0" w:space="0" w:color="auto"/>
            <w:bottom w:val="none" w:sz="0" w:space="0" w:color="auto"/>
            <w:right w:val="none" w:sz="0" w:space="0" w:color="auto"/>
          </w:divBdr>
        </w:div>
        <w:div w:id="78062459">
          <w:marLeft w:val="0"/>
          <w:marRight w:val="0"/>
          <w:marTop w:val="0"/>
          <w:marBottom w:val="0"/>
          <w:divBdr>
            <w:top w:val="none" w:sz="0" w:space="0" w:color="auto"/>
            <w:left w:val="none" w:sz="0" w:space="0" w:color="auto"/>
            <w:bottom w:val="none" w:sz="0" w:space="0" w:color="auto"/>
            <w:right w:val="none" w:sz="0" w:space="0" w:color="auto"/>
          </w:divBdr>
        </w:div>
        <w:div w:id="80686817">
          <w:marLeft w:val="0"/>
          <w:marRight w:val="0"/>
          <w:marTop w:val="0"/>
          <w:marBottom w:val="0"/>
          <w:divBdr>
            <w:top w:val="none" w:sz="0" w:space="0" w:color="auto"/>
            <w:left w:val="none" w:sz="0" w:space="0" w:color="auto"/>
            <w:bottom w:val="none" w:sz="0" w:space="0" w:color="auto"/>
            <w:right w:val="none" w:sz="0" w:space="0" w:color="auto"/>
          </w:divBdr>
        </w:div>
        <w:div w:id="80760702">
          <w:marLeft w:val="0"/>
          <w:marRight w:val="0"/>
          <w:marTop w:val="0"/>
          <w:marBottom w:val="0"/>
          <w:divBdr>
            <w:top w:val="none" w:sz="0" w:space="0" w:color="auto"/>
            <w:left w:val="none" w:sz="0" w:space="0" w:color="auto"/>
            <w:bottom w:val="none" w:sz="0" w:space="0" w:color="auto"/>
            <w:right w:val="none" w:sz="0" w:space="0" w:color="auto"/>
          </w:divBdr>
        </w:div>
        <w:div w:id="87701737">
          <w:marLeft w:val="0"/>
          <w:marRight w:val="0"/>
          <w:marTop w:val="0"/>
          <w:marBottom w:val="0"/>
          <w:divBdr>
            <w:top w:val="none" w:sz="0" w:space="0" w:color="auto"/>
            <w:left w:val="none" w:sz="0" w:space="0" w:color="auto"/>
            <w:bottom w:val="none" w:sz="0" w:space="0" w:color="auto"/>
            <w:right w:val="none" w:sz="0" w:space="0" w:color="auto"/>
          </w:divBdr>
        </w:div>
        <w:div w:id="97875513">
          <w:marLeft w:val="0"/>
          <w:marRight w:val="0"/>
          <w:marTop w:val="0"/>
          <w:marBottom w:val="0"/>
          <w:divBdr>
            <w:top w:val="none" w:sz="0" w:space="0" w:color="auto"/>
            <w:left w:val="none" w:sz="0" w:space="0" w:color="auto"/>
            <w:bottom w:val="none" w:sz="0" w:space="0" w:color="auto"/>
            <w:right w:val="none" w:sz="0" w:space="0" w:color="auto"/>
          </w:divBdr>
        </w:div>
        <w:div w:id="98185305">
          <w:marLeft w:val="0"/>
          <w:marRight w:val="0"/>
          <w:marTop w:val="0"/>
          <w:marBottom w:val="0"/>
          <w:divBdr>
            <w:top w:val="none" w:sz="0" w:space="0" w:color="auto"/>
            <w:left w:val="none" w:sz="0" w:space="0" w:color="auto"/>
            <w:bottom w:val="none" w:sz="0" w:space="0" w:color="auto"/>
            <w:right w:val="none" w:sz="0" w:space="0" w:color="auto"/>
          </w:divBdr>
        </w:div>
        <w:div w:id="99031217">
          <w:marLeft w:val="0"/>
          <w:marRight w:val="0"/>
          <w:marTop w:val="0"/>
          <w:marBottom w:val="0"/>
          <w:divBdr>
            <w:top w:val="none" w:sz="0" w:space="0" w:color="auto"/>
            <w:left w:val="none" w:sz="0" w:space="0" w:color="auto"/>
            <w:bottom w:val="none" w:sz="0" w:space="0" w:color="auto"/>
            <w:right w:val="none" w:sz="0" w:space="0" w:color="auto"/>
          </w:divBdr>
        </w:div>
        <w:div w:id="107241395">
          <w:marLeft w:val="0"/>
          <w:marRight w:val="0"/>
          <w:marTop w:val="0"/>
          <w:marBottom w:val="0"/>
          <w:divBdr>
            <w:top w:val="none" w:sz="0" w:space="0" w:color="auto"/>
            <w:left w:val="none" w:sz="0" w:space="0" w:color="auto"/>
            <w:bottom w:val="none" w:sz="0" w:space="0" w:color="auto"/>
            <w:right w:val="none" w:sz="0" w:space="0" w:color="auto"/>
          </w:divBdr>
        </w:div>
        <w:div w:id="118036628">
          <w:marLeft w:val="0"/>
          <w:marRight w:val="0"/>
          <w:marTop w:val="0"/>
          <w:marBottom w:val="0"/>
          <w:divBdr>
            <w:top w:val="none" w:sz="0" w:space="0" w:color="auto"/>
            <w:left w:val="none" w:sz="0" w:space="0" w:color="auto"/>
            <w:bottom w:val="none" w:sz="0" w:space="0" w:color="auto"/>
            <w:right w:val="none" w:sz="0" w:space="0" w:color="auto"/>
          </w:divBdr>
        </w:div>
        <w:div w:id="135875973">
          <w:marLeft w:val="0"/>
          <w:marRight w:val="0"/>
          <w:marTop w:val="0"/>
          <w:marBottom w:val="0"/>
          <w:divBdr>
            <w:top w:val="none" w:sz="0" w:space="0" w:color="auto"/>
            <w:left w:val="none" w:sz="0" w:space="0" w:color="auto"/>
            <w:bottom w:val="none" w:sz="0" w:space="0" w:color="auto"/>
            <w:right w:val="none" w:sz="0" w:space="0" w:color="auto"/>
          </w:divBdr>
        </w:div>
        <w:div w:id="136143469">
          <w:marLeft w:val="0"/>
          <w:marRight w:val="0"/>
          <w:marTop w:val="0"/>
          <w:marBottom w:val="0"/>
          <w:divBdr>
            <w:top w:val="none" w:sz="0" w:space="0" w:color="auto"/>
            <w:left w:val="none" w:sz="0" w:space="0" w:color="auto"/>
            <w:bottom w:val="none" w:sz="0" w:space="0" w:color="auto"/>
            <w:right w:val="none" w:sz="0" w:space="0" w:color="auto"/>
          </w:divBdr>
        </w:div>
        <w:div w:id="145560184">
          <w:marLeft w:val="0"/>
          <w:marRight w:val="0"/>
          <w:marTop w:val="0"/>
          <w:marBottom w:val="0"/>
          <w:divBdr>
            <w:top w:val="none" w:sz="0" w:space="0" w:color="auto"/>
            <w:left w:val="none" w:sz="0" w:space="0" w:color="auto"/>
            <w:bottom w:val="none" w:sz="0" w:space="0" w:color="auto"/>
            <w:right w:val="none" w:sz="0" w:space="0" w:color="auto"/>
          </w:divBdr>
        </w:div>
        <w:div w:id="153106591">
          <w:marLeft w:val="0"/>
          <w:marRight w:val="0"/>
          <w:marTop w:val="0"/>
          <w:marBottom w:val="0"/>
          <w:divBdr>
            <w:top w:val="none" w:sz="0" w:space="0" w:color="auto"/>
            <w:left w:val="none" w:sz="0" w:space="0" w:color="auto"/>
            <w:bottom w:val="none" w:sz="0" w:space="0" w:color="auto"/>
            <w:right w:val="none" w:sz="0" w:space="0" w:color="auto"/>
          </w:divBdr>
        </w:div>
        <w:div w:id="154298614">
          <w:marLeft w:val="0"/>
          <w:marRight w:val="0"/>
          <w:marTop w:val="0"/>
          <w:marBottom w:val="0"/>
          <w:divBdr>
            <w:top w:val="none" w:sz="0" w:space="0" w:color="auto"/>
            <w:left w:val="none" w:sz="0" w:space="0" w:color="auto"/>
            <w:bottom w:val="none" w:sz="0" w:space="0" w:color="auto"/>
            <w:right w:val="none" w:sz="0" w:space="0" w:color="auto"/>
          </w:divBdr>
        </w:div>
        <w:div w:id="177237329">
          <w:marLeft w:val="0"/>
          <w:marRight w:val="0"/>
          <w:marTop w:val="0"/>
          <w:marBottom w:val="0"/>
          <w:divBdr>
            <w:top w:val="none" w:sz="0" w:space="0" w:color="auto"/>
            <w:left w:val="none" w:sz="0" w:space="0" w:color="auto"/>
            <w:bottom w:val="none" w:sz="0" w:space="0" w:color="auto"/>
            <w:right w:val="none" w:sz="0" w:space="0" w:color="auto"/>
          </w:divBdr>
        </w:div>
        <w:div w:id="179392981">
          <w:marLeft w:val="0"/>
          <w:marRight w:val="0"/>
          <w:marTop w:val="0"/>
          <w:marBottom w:val="0"/>
          <w:divBdr>
            <w:top w:val="none" w:sz="0" w:space="0" w:color="auto"/>
            <w:left w:val="none" w:sz="0" w:space="0" w:color="auto"/>
            <w:bottom w:val="none" w:sz="0" w:space="0" w:color="auto"/>
            <w:right w:val="none" w:sz="0" w:space="0" w:color="auto"/>
          </w:divBdr>
        </w:div>
        <w:div w:id="185102008">
          <w:marLeft w:val="0"/>
          <w:marRight w:val="0"/>
          <w:marTop w:val="0"/>
          <w:marBottom w:val="0"/>
          <w:divBdr>
            <w:top w:val="none" w:sz="0" w:space="0" w:color="auto"/>
            <w:left w:val="none" w:sz="0" w:space="0" w:color="auto"/>
            <w:bottom w:val="none" w:sz="0" w:space="0" w:color="auto"/>
            <w:right w:val="none" w:sz="0" w:space="0" w:color="auto"/>
          </w:divBdr>
        </w:div>
        <w:div w:id="187530528">
          <w:marLeft w:val="0"/>
          <w:marRight w:val="0"/>
          <w:marTop w:val="0"/>
          <w:marBottom w:val="0"/>
          <w:divBdr>
            <w:top w:val="none" w:sz="0" w:space="0" w:color="auto"/>
            <w:left w:val="none" w:sz="0" w:space="0" w:color="auto"/>
            <w:bottom w:val="none" w:sz="0" w:space="0" w:color="auto"/>
            <w:right w:val="none" w:sz="0" w:space="0" w:color="auto"/>
          </w:divBdr>
        </w:div>
        <w:div w:id="191769711">
          <w:marLeft w:val="0"/>
          <w:marRight w:val="0"/>
          <w:marTop w:val="0"/>
          <w:marBottom w:val="0"/>
          <w:divBdr>
            <w:top w:val="none" w:sz="0" w:space="0" w:color="auto"/>
            <w:left w:val="none" w:sz="0" w:space="0" w:color="auto"/>
            <w:bottom w:val="none" w:sz="0" w:space="0" w:color="auto"/>
            <w:right w:val="none" w:sz="0" w:space="0" w:color="auto"/>
          </w:divBdr>
        </w:div>
        <w:div w:id="194343805">
          <w:marLeft w:val="0"/>
          <w:marRight w:val="0"/>
          <w:marTop w:val="0"/>
          <w:marBottom w:val="0"/>
          <w:divBdr>
            <w:top w:val="none" w:sz="0" w:space="0" w:color="auto"/>
            <w:left w:val="none" w:sz="0" w:space="0" w:color="auto"/>
            <w:bottom w:val="none" w:sz="0" w:space="0" w:color="auto"/>
            <w:right w:val="none" w:sz="0" w:space="0" w:color="auto"/>
          </w:divBdr>
        </w:div>
        <w:div w:id="202985886">
          <w:marLeft w:val="0"/>
          <w:marRight w:val="0"/>
          <w:marTop w:val="0"/>
          <w:marBottom w:val="0"/>
          <w:divBdr>
            <w:top w:val="none" w:sz="0" w:space="0" w:color="auto"/>
            <w:left w:val="none" w:sz="0" w:space="0" w:color="auto"/>
            <w:bottom w:val="none" w:sz="0" w:space="0" w:color="auto"/>
            <w:right w:val="none" w:sz="0" w:space="0" w:color="auto"/>
          </w:divBdr>
        </w:div>
        <w:div w:id="206458570">
          <w:marLeft w:val="0"/>
          <w:marRight w:val="0"/>
          <w:marTop w:val="0"/>
          <w:marBottom w:val="0"/>
          <w:divBdr>
            <w:top w:val="none" w:sz="0" w:space="0" w:color="auto"/>
            <w:left w:val="none" w:sz="0" w:space="0" w:color="auto"/>
            <w:bottom w:val="none" w:sz="0" w:space="0" w:color="auto"/>
            <w:right w:val="none" w:sz="0" w:space="0" w:color="auto"/>
          </w:divBdr>
        </w:div>
        <w:div w:id="252202328">
          <w:marLeft w:val="0"/>
          <w:marRight w:val="0"/>
          <w:marTop w:val="0"/>
          <w:marBottom w:val="0"/>
          <w:divBdr>
            <w:top w:val="none" w:sz="0" w:space="0" w:color="auto"/>
            <w:left w:val="none" w:sz="0" w:space="0" w:color="auto"/>
            <w:bottom w:val="none" w:sz="0" w:space="0" w:color="auto"/>
            <w:right w:val="none" w:sz="0" w:space="0" w:color="auto"/>
          </w:divBdr>
        </w:div>
        <w:div w:id="260333562">
          <w:marLeft w:val="0"/>
          <w:marRight w:val="0"/>
          <w:marTop w:val="0"/>
          <w:marBottom w:val="0"/>
          <w:divBdr>
            <w:top w:val="none" w:sz="0" w:space="0" w:color="auto"/>
            <w:left w:val="none" w:sz="0" w:space="0" w:color="auto"/>
            <w:bottom w:val="none" w:sz="0" w:space="0" w:color="auto"/>
            <w:right w:val="none" w:sz="0" w:space="0" w:color="auto"/>
          </w:divBdr>
        </w:div>
        <w:div w:id="260339054">
          <w:marLeft w:val="0"/>
          <w:marRight w:val="0"/>
          <w:marTop w:val="0"/>
          <w:marBottom w:val="0"/>
          <w:divBdr>
            <w:top w:val="none" w:sz="0" w:space="0" w:color="auto"/>
            <w:left w:val="none" w:sz="0" w:space="0" w:color="auto"/>
            <w:bottom w:val="none" w:sz="0" w:space="0" w:color="auto"/>
            <w:right w:val="none" w:sz="0" w:space="0" w:color="auto"/>
          </w:divBdr>
        </w:div>
        <w:div w:id="268977634">
          <w:marLeft w:val="0"/>
          <w:marRight w:val="0"/>
          <w:marTop w:val="0"/>
          <w:marBottom w:val="0"/>
          <w:divBdr>
            <w:top w:val="none" w:sz="0" w:space="0" w:color="auto"/>
            <w:left w:val="none" w:sz="0" w:space="0" w:color="auto"/>
            <w:bottom w:val="none" w:sz="0" w:space="0" w:color="auto"/>
            <w:right w:val="none" w:sz="0" w:space="0" w:color="auto"/>
          </w:divBdr>
        </w:div>
        <w:div w:id="272639117">
          <w:marLeft w:val="0"/>
          <w:marRight w:val="0"/>
          <w:marTop w:val="0"/>
          <w:marBottom w:val="0"/>
          <w:divBdr>
            <w:top w:val="none" w:sz="0" w:space="0" w:color="auto"/>
            <w:left w:val="none" w:sz="0" w:space="0" w:color="auto"/>
            <w:bottom w:val="none" w:sz="0" w:space="0" w:color="auto"/>
            <w:right w:val="none" w:sz="0" w:space="0" w:color="auto"/>
          </w:divBdr>
        </w:div>
        <w:div w:id="278223889">
          <w:marLeft w:val="0"/>
          <w:marRight w:val="0"/>
          <w:marTop w:val="0"/>
          <w:marBottom w:val="0"/>
          <w:divBdr>
            <w:top w:val="none" w:sz="0" w:space="0" w:color="auto"/>
            <w:left w:val="none" w:sz="0" w:space="0" w:color="auto"/>
            <w:bottom w:val="none" w:sz="0" w:space="0" w:color="auto"/>
            <w:right w:val="none" w:sz="0" w:space="0" w:color="auto"/>
          </w:divBdr>
        </w:div>
        <w:div w:id="280383111">
          <w:marLeft w:val="0"/>
          <w:marRight w:val="0"/>
          <w:marTop w:val="0"/>
          <w:marBottom w:val="0"/>
          <w:divBdr>
            <w:top w:val="none" w:sz="0" w:space="0" w:color="auto"/>
            <w:left w:val="none" w:sz="0" w:space="0" w:color="auto"/>
            <w:bottom w:val="none" w:sz="0" w:space="0" w:color="auto"/>
            <w:right w:val="none" w:sz="0" w:space="0" w:color="auto"/>
          </w:divBdr>
        </w:div>
        <w:div w:id="287132173">
          <w:marLeft w:val="0"/>
          <w:marRight w:val="0"/>
          <w:marTop w:val="0"/>
          <w:marBottom w:val="0"/>
          <w:divBdr>
            <w:top w:val="none" w:sz="0" w:space="0" w:color="auto"/>
            <w:left w:val="none" w:sz="0" w:space="0" w:color="auto"/>
            <w:bottom w:val="none" w:sz="0" w:space="0" w:color="auto"/>
            <w:right w:val="none" w:sz="0" w:space="0" w:color="auto"/>
          </w:divBdr>
        </w:div>
        <w:div w:id="289089256">
          <w:marLeft w:val="0"/>
          <w:marRight w:val="0"/>
          <w:marTop w:val="0"/>
          <w:marBottom w:val="0"/>
          <w:divBdr>
            <w:top w:val="none" w:sz="0" w:space="0" w:color="auto"/>
            <w:left w:val="none" w:sz="0" w:space="0" w:color="auto"/>
            <w:bottom w:val="none" w:sz="0" w:space="0" w:color="auto"/>
            <w:right w:val="none" w:sz="0" w:space="0" w:color="auto"/>
          </w:divBdr>
        </w:div>
        <w:div w:id="302738606">
          <w:marLeft w:val="0"/>
          <w:marRight w:val="0"/>
          <w:marTop w:val="0"/>
          <w:marBottom w:val="0"/>
          <w:divBdr>
            <w:top w:val="none" w:sz="0" w:space="0" w:color="auto"/>
            <w:left w:val="none" w:sz="0" w:space="0" w:color="auto"/>
            <w:bottom w:val="none" w:sz="0" w:space="0" w:color="auto"/>
            <w:right w:val="none" w:sz="0" w:space="0" w:color="auto"/>
          </w:divBdr>
        </w:div>
        <w:div w:id="303896468">
          <w:marLeft w:val="0"/>
          <w:marRight w:val="0"/>
          <w:marTop w:val="0"/>
          <w:marBottom w:val="0"/>
          <w:divBdr>
            <w:top w:val="none" w:sz="0" w:space="0" w:color="auto"/>
            <w:left w:val="none" w:sz="0" w:space="0" w:color="auto"/>
            <w:bottom w:val="none" w:sz="0" w:space="0" w:color="auto"/>
            <w:right w:val="none" w:sz="0" w:space="0" w:color="auto"/>
          </w:divBdr>
        </w:div>
        <w:div w:id="306017136">
          <w:marLeft w:val="0"/>
          <w:marRight w:val="0"/>
          <w:marTop w:val="0"/>
          <w:marBottom w:val="0"/>
          <w:divBdr>
            <w:top w:val="none" w:sz="0" w:space="0" w:color="auto"/>
            <w:left w:val="none" w:sz="0" w:space="0" w:color="auto"/>
            <w:bottom w:val="none" w:sz="0" w:space="0" w:color="auto"/>
            <w:right w:val="none" w:sz="0" w:space="0" w:color="auto"/>
          </w:divBdr>
        </w:div>
        <w:div w:id="312563657">
          <w:marLeft w:val="0"/>
          <w:marRight w:val="0"/>
          <w:marTop w:val="0"/>
          <w:marBottom w:val="0"/>
          <w:divBdr>
            <w:top w:val="none" w:sz="0" w:space="0" w:color="auto"/>
            <w:left w:val="none" w:sz="0" w:space="0" w:color="auto"/>
            <w:bottom w:val="none" w:sz="0" w:space="0" w:color="auto"/>
            <w:right w:val="none" w:sz="0" w:space="0" w:color="auto"/>
          </w:divBdr>
        </w:div>
        <w:div w:id="313610570">
          <w:marLeft w:val="0"/>
          <w:marRight w:val="0"/>
          <w:marTop w:val="0"/>
          <w:marBottom w:val="0"/>
          <w:divBdr>
            <w:top w:val="none" w:sz="0" w:space="0" w:color="auto"/>
            <w:left w:val="none" w:sz="0" w:space="0" w:color="auto"/>
            <w:bottom w:val="none" w:sz="0" w:space="0" w:color="auto"/>
            <w:right w:val="none" w:sz="0" w:space="0" w:color="auto"/>
          </w:divBdr>
        </w:div>
        <w:div w:id="324288035">
          <w:marLeft w:val="0"/>
          <w:marRight w:val="0"/>
          <w:marTop w:val="0"/>
          <w:marBottom w:val="0"/>
          <w:divBdr>
            <w:top w:val="none" w:sz="0" w:space="0" w:color="auto"/>
            <w:left w:val="none" w:sz="0" w:space="0" w:color="auto"/>
            <w:bottom w:val="none" w:sz="0" w:space="0" w:color="auto"/>
            <w:right w:val="none" w:sz="0" w:space="0" w:color="auto"/>
          </w:divBdr>
        </w:div>
        <w:div w:id="325403175">
          <w:marLeft w:val="0"/>
          <w:marRight w:val="0"/>
          <w:marTop w:val="0"/>
          <w:marBottom w:val="0"/>
          <w:divBdr>
            <w:top w:val="none" w:sz="0" w:space="0" w:color="auto"/>
            <w:left w:val="none" w:sz="0" w:space="0" w:color="auto"/>
            <w:bottom w:val="none" w:sz="0" w:space="0" w:color="auto"/>
            <w:right w:val="none" w:sz="0" w:space="0" w:color="auto"/>
          </w:divBdr>
        </w:div>
        <w:div w:id="334190925">
          <w:marLeft w:val="0"/>
          <w:marRight w:val="0"/>
          <w:marTop w:val="0"/>
          <w:marBottom w:val="0"/>
          <w:divBdr>
            <w:top w:val="none" w:sz="0" w:space="0" w:color="auto"/>
            <w:left w:val="none" w:sz="0" w:space="0" w:color="auto"/>
            <w:bottom w:val="none" w:sz="0" w:space="0" w:color="auto"/>
            <w:right w:val="none" w:sz="0" w:space="0" w:color="auto"/>
          </w:divBdr>
        </w:div>
        <w:div w:id="339746445">
          <w:marLeft w:val="0"/>
          <w:marRight w:val="0"/>
          <w:marTop w:val="0"/>
          <w:marBottom w:val="0"/>
          <w:divBdr>
            <w:top w:val="none" w:sz="0" w:space="0" w:color="auto"/>
            <w:left w:val="none" w:sz="0" w:space="0" w:color="auto"/>
            <w:bottom w:val="none" w:sz="0" w:space="0" w:color="auto"/>
            <w:right w:val="none" w:sz="0" w:space="0" w:color="auto"/>
          </w:divBdr>
        </w:div>
        <w:div w:id="346717434">
          <w:marLeft w:val="0"/>
          <w:marRight w:val="0"/>
          <w:marTop w:val="0"/>
          <w:marBottom w:val="0"/>
          <w:divBdr>
            <w:top w:val="none" w:sz="0" w:space="0" w:color="auto"/>
            <w:left w:val="none" w:sz="0" w:space="0" w:color="auto"/>
            <w:bottom w:val="none" w:sz="0" w:space="0" w:color="auto"/>
            <w:right w:val="none" w:sz="0" w:space="0" w:color="auto"/>
          </w:divBdr>
        </w:div>
        <w:div w:id="347952661">
          <w:marLeft w:val="0"/>
          <w:marRight w:val="0"/>
          <w:marTop w:val="0"/>
          <w:marBottom w:val="0"/>
          <w:divBdr>
            <w:top w:val="none" w:sz="0" w:space="0" w:color="auto"/>
            <w:left w:val="none" w:sz="0" w:space="0" w:color="auto"/>
            <w:bottom w:val="none" w:sz="0" w:space="0" w:color="auto"/>
            <w:right w:val="none" w:sz="0" w:space="0" w:color="auto"/>
          </w:divBdr>
        </w:div>
        <w:div w:id="350839198">
          <w:marLeft w:val="0"/>
          <w:marRight w:val="0"/>
          <w:marTop w:val="0"/>
          <w:marBottom w:val="0"/>
          <w:divBdr>
            <w:top w:val="none" w:sz="0" w:space="0" w:color="auto"/>
            <w:left w:val="none" w:sz="0" w:space="0" w:color="auto"/>
            <w:bottom w:val="none" w:sz="0" w:space="0" w:color="auto"/>
            <w:right w:val="none" w:sz="0" w:space="0" w:color="auto"/>
          </w:divBdr>
        </w:div>
        <w:div w:id="359863871">
          <w:marLeft w:val="0"/>
          <w:marRight w:val="0"/>
          <w:marTop w:val="0"/>
          <w:marBottom w:val="0"/>
          <w:divBdr>
            <w:top w:val="none" w:sz="0" w:space="0" w:color="auto"/>
            <w:left w:val="none" w:sz="0" w:space="0" w:color="auto"/>
            <w:bottom w:val="none" w:sz="0" w:space="0" w:color="auto"/>
            <w:right w:val="none" w:sz="0" w:space="0" w:color="auto"/>
          </w:divBdr>
        </w:div>
        <w:div w:id="363216049">
          <w:marLeft w:val="0"/>
          <w:marRight w:val="0"/>
          <w:marTop w:val="0"/>
          <w:marBottom w:val="0"/>
          <w:divBdr>
            <w:top w:val="none" w:sz="0" w:space="0" w:color="auto"/>
            <w:left w:val="none" w:sz="0" w:space="0" w:color="auto"/>
            <w:bottom w:val="none" w:sz="0" w:space="0" w:color="auto"/>
            <w:right w:val="none" w:sz="0" w:space="0" w:color="auto"/>
          </w:divBdr>
        </w:div>
        <w:div w:id="364646107">
          <w:marLeft w:val="0"/>
          <w:marRight w:val="0"/>
          <w:marTop w:val="0"/>
          <w:marBottom w:val="0"/>
          <w:divBdr>
            <w:top w:val="none" w:sz="0" w:space="0" w:color="auto"/>
            <w:left w:val="none" w:sz="0" w:space="0" w:color="auto"/>
            <w:bottom w:val="none" w:sz="0" w:space="0" w:color="auto"/>
            <w:right w:val="none" w:sz="0" w:space="0" w:color="auto"/>
          </w:divBdr>
        </w:div>
        <w:div w:id="370767423">
          <w:marLeft w:val="0"/>
          <w:marRight w:val="0"/>
          <w:marTop w:val="0"/>
          <w:marBottom w:val="0"/>
          <w:divBdr>
            <w:top w:val="none" w:sz="0" w:space="0" w:color="auto"/>
            <w:left w:val="none" w:sz="0" w:space="0" w:color="auto"/>
            <w:bottom w:val="none" w:sz="0" w:space="0" w:color="auto"/>
            <w:right w:val="none" w:sz="0" w:space="0" w:color="auto"/>
          </w:divBdr>
        </w:div>
        <w:div w:id="383212847">
          <w:marLeft w:val="0"/>
          <w:marRight w:val="0"/>
          <w:marTop w:val="0"/>
          <w:marBottom w:val="0"/>
          <w:divBdr>
            <w:top w:val="none" w:sz="0" w:space="0" w:color="auto"/>
            <w:left w:val="none" w:sz="0" w:space="0" w:color="auto"/>
            <w:bottom w:val="none" w:sz="0" w:space="0" w:color="auto"/>
            <w:right w:val="none" w:sz="0" w:space="0" w:color="auto"/>
          </w:divBdr>
        </w:div>
        <w:div w:id="385953135">
          <w:marLeft w:val="0"/>
          <w:marRight w:val="0"/>
          <w:marTop w:val="0"/>
          <w:marBottom w:val="0"/>
          <w:divBdr>
            <w:top w:val="none" w:sz="0" w:space="0" w:color="auto"/>
            <w:left w:val="none" w:sz="0" w:space="0" w:color="auto"/>
            <w:bottom w:val="none" w:sz="0" w:space="0" w:color="auto"/>
            <w:right w:val="none" w:sz="0" w:space="0" w:color="auto"/>
          </w:divBdr>
        </w:div>
        <w:div w:id="392897731">
          <w:marLeft w:val="0"/>
          <w:marRight w:val="0"/>
          <w:marTop w:val="0"/>
          <w:marBottom w:val="0"/>
          <w:divBdr>
            <w:top w:val="none" w:sz="0" w:space="0" w:color="auto"/>
            <w:left w:val="none" w:sz="0" w:space="0" w:color="auto"/>
            <w:bottom w:val="none" w:sz="0" w:space="0" w:color="auto"/>
            <w:right w:val="none" w:sz="0" w:space="0" w:color="auto"/>
          </w:divBdr>
        </w:div>
        <w:div w:id="392970979">
          <w:marLeft w:val="0"/>
          <w:marRight w:val="0"/>
          <w:marTop w:val="0"/>
          <w:marBottom w:val="0"/>
          <w:divBdr>
            <w:top w:val="none" w:sz="0" w:space="0" w:color="auto"/>
            <w:left w:val="none" w:sz="0" w:space="0" w:color="auto"/>
            <w:bottom w:val="none" w:sz="0" w:space="0" w:color="auto"/>
            <w:right w:val="none" w:sz="0" w:space="0" w:color="auto"/>
          </w:divBdr>
        </w:div>
        <w:div w:id="393090768">
          <w:marLeft w:val="0"/>
          <w:marRight w:val="0"/>
          <w:marTop w:val="0"/>
          <w:marBottom w:val="0"/>
          <w:divBdr>
            <w:top w:val="none" w:sz="0" w:space="0" w:color="auto"/>
            <w:left w:val="none" w:sz="0" w:space="0" w:color="auto"/>
            <w:bottom w:val="none" w:sz="0" w:space="0" w:color="auto"/>
            <w:right w:val="none" w:sz="0" w:space="0" w:color="auto"/>
          </w:divBdr>
        </w:div>
        <w:div w:id="394469252">
          <w:marLeft w:val="0"/>
          <w:marRight w:val="0"/>
          <w:marTop w:val="0"/>
          <w:marBottom w:val="0"/>
          <w:divBdr>
            <w:top w:val="none" w:sz="0" w:space="0" w:color="auto"/>
            <w:left w:val="none" w:sz="0" w:space="0" w:color="auto"/>
            <w:bottom w:val="none" w:sz="0" w:space="0" w:color="auto"/>
            <w:right w:val="none" w:sz="0" w:space="0" w:color="auto"/>
          </w:divBdr>
        </w:div>
        <w:div w:id="394743056">
          <w:marLeft w:val="0"/>
          <w:marRight w:val="0"/>
          <w:marTop w:val="0"/>
          <w:marBottom w:val="0"/>
          <w:divBdr>
            <w:top w:val="none" w:sz="0" w:space="0" w:color="auto"/>
            <w:left w:val="none" w:sz="0" w:space="0" w:color="auto"/>
            <w:bottom w:val="none" w:sz="0" w:space="0" w:color="auto"/>
            <w:right w:val="none" w:sz="0" w:space="0" w:color="auto"/>
          </w:divBdr>
        </w:div>
        <w:div w:id="410083265">
          <w:marLeft w:val="0"/>
          <w:marRight w:val="0"/>
          <w:marTop w:val="0"/>
          <w:marBottom w:val="0"/>
          <w:divBdr>
            <w:top w:val="none" w:sz="0" w:space="0" w:color="auto"/>
            <w:left w:val="none" w:sz="0" w:space="0" w:color="auto"/>
            <w:bottom w:val="none" w:sz="0" w:space="0" w:color="auto"/>
            <w:right w:val="none" w:sz="0" w:space="0" w:color="auto"/>
          </w:divBdr>
        </w:div>
        <w:div w:id="413867840">
          <w:marLeft w:val="0"/>
          <w:marRight w:val="0"/>
          <w:marTop w:val="0"/>
          <w:marBottom w:val="0"/>
          <w:divBdr>
            <w:top w:val="none" w:sz="0" w:space="0" w:color="auto"/>
            <w:left w:val="none" w:sz="0" w:space="0" w:color="auto"/>
            <w:bottom w:val="none" w:sz="0" w:space="0" w:color="auto"/>
            <w:right w:val="none" w:sz="0" w:space="0" w:color="auto"/>
          </w:divBdr>
        </w:div>
        <w:div w:id="418872982">
          <w:marLeft w:val="0"/>
          <w:marRight w:val="0"/>
          <w:marTop w:val="0"/>
          <w:marBottom w:val="0"/>
          <w:divBdr>
            <w:top w:val="none" w:sz="0" w:space="0" w:color="auto"/>
            <w:left w:val="none" w:sz="0" w:space="0" w:color="auto"/>
            <w:bottom w:val="none" w:sz="0" w:space="0" w:color="auto"/>
            <w:right w:val="none" w:sz="0" w:space="0" w:color="auto"/>
          </w:divBdr>
        </w:div>
        <w:div w:id="425272702">
          <w:marLeft w:val="0"/>
          <w:marRight w:val="0"/>
          <w:marTop w:val="0"/>
          <w:marBottom w:val="0"/>
          <w:divBdr>
            <w:top w:val="none" w:sz="0" w:space="0" w:color="auto"/>
            <w:left w:val="none" w:sz="0" w:space="0" w:color="auto"/>
            <w:bottom w:val="none" w:sz="0" w:space="0" w:color="auto"/>
            <w:right w:val="none" w:sz="0" w:space="0" w:color="auto"/>
          </w:divBdr>
        </w:div>
        <w:div w:id="440540959">
          <w:marLeft w:val="0"/>
          <w:marRight w:val="0"/>
          <w:marTop w:val="0"/>
          <w:marBottom w:val="0"/>
          <w:divBdr>
            <w:top w:val="none" w:sz="0" w:space="0" w:color="auto"/>
            <w:left w:val="none" w:sz="0" w:space="0" w:color="auto"/>
            <w:bottom w:val="none" w:sz="0" w:space="0" w:color="auto"/>
            <w:right w:val="none" w:sz="0" w:space="0" w:color="auto"/>
          </w:divBdr>
        </w:div>
        <w:div w:id="445007616">
          <w:marLeft w:val="0"/>
          <w:marRight w:val="0"/>
          <w:marTop w:val="0"/>
          <w:marBottom w:val="0"/>
          <w:divBdr>
            <w:top w:val="none" w:sz="0" w:space="0" w:color="auto"/>
            <w:left w:val="none" w:sz="0" w:space="0" w:color="auto"/>
            <w:bottom w:val="none" w:sz="0" w:space="0" w:color="auto"/>
            <w:right w:val="none" w:sz="0" w:space="0" w:color="auto"/>
          </w:divBdr>
        </w:div>
        <w:div w:id="445084153">
          <w:marLeft w:val="0"/>
          <w:marRight w:val="0"/>
          <w:marTop w:val="0"/>
          <w:marBottom w:val="0"/>
          <w:divBdr>
            <w:top w:val="none" w:sz="0" w:space="0" w:color="auto"/>
            <w:left w:val="none" w:sz="0" w:space="0" w:color="auto"/>
            <w:bottom w:val="none" w:sz="0" w:space="0" w:color="auto"/>
            <w:right w:val="none" w:sz="0" w:space="0" w:color="auto"/>
          </w:divBdr>
        </w:div>
        <w:div w:id="477649653">
          <w:marLeft w:val="0"/>
          <w:marRight w:val="0"/>
          <w:marTop w:val="0"/>
          <w:marBottom w:val="0"/>
          <w:divBdr>
            <w:top w:val="none" w:sz="0" w:space="0" w:color="auto"/>
            <w:left w:val="none" w:sz="0" w:space="0" w:color="auto"/>
            <w:bottom w:val="none" w:sz="0" w:space="0" w:color="auto"/>
            <w:right w:val="none" w:sz="0" w:space="0" w:color="auto"/>
          </w:divBdr>
        </w:div>
        <w:div w:id="479736012">
          <w:marLeft w:val="0"/>
          <w:marRight w:val="0"/>
          <w:marTop w:val="0"/>
          <w:marBottom w:val="0"/>
          <w:divBdr>
            <w:top w:val="none" w:sz="0" w:space="0" w:color="auto"/>
            <w:left w:val="none" w:sz="0" w:space="0" w:color="auto"/>
            <w:bottom w:val="none" w:sz="0" w:space="0" w:color="auto"/>
            <w:right w:val="none" w:sz="0" w:space="0" w:color="auto"/>
          </w:divBdr>
        </w:div>
        <w:div w:id="483737409">
          <w:marLeft w:val="0"/>
          <w:marRight w:val="0"/>
          <w:marTop w:val="0"/>
          <w:marBottom w:val="0"/>
          <w:divBdr>
            <w:top w:val="none" w:sz="0" w:space="0" w:color="auto"/>
            <w:left w:val="none" w:sz="0" w:space="0" w:color="auto"/>
            <w:bottom w:val="none" w:sz="0" w:space="0" w:color="auto"/>
            <w:right w:val="none" w:sz="0" w:space="0" w:color="auto"/>
          </w:divBdr>
        </w:div>
        <w:div w:id="517472520">
          <w:marLeft w:val="0"/>
          <w:marRight w:val="0"/>
          <w:marTop w:val="0"/>
          <w:marBottom w:val="0"/>
          <w:divBdr>
            <w:top w:val="none" w:sz="0" w:space="0" w:color="auto"/>
            <w:left w:val="none" w:sz="0" w:space="0" w:color="auto"/>
            <w:bottom w:val="none" w:sz="0" w:space="0" w:color="auto"/>
            <w:right w:val="none" w:sz="0" w:space="0" w:color="auto"/>
          </w:divBdr>
        </w:div>
        <w:div w:id="529224088">
          <w:marLeft w:val="0"/>
          <w:marRight w:val="0"/>
          <w:marTop w:val="0"/>
          <w:marBottom w:val="0"/>
          <w:divBdr>
            <w:top w:val="none" w:sz="0" w:space="0" w:color="auto"/>
            <w:left w:val="none" w:sz="0" w:space="0" w:color="auto"/>
            <w:bottom w:val="none" w:sz="0" w:space="0" w:color="auto"/>
            <w:right w:val="none" w:sz="0" w:space="0" w:color="auto"/>
          </w:divBdr>
        </w:div>
        <w:div w:id="536506794">
          <w:marLeft w:val="0"/>
          <w:marRight w:val="0"/>
          <w:marTop w:val="0"/>
          <w:marBottom w:val="0"/>
          <w:divBdr>
            <w:top w:val="none" w:sz="0" w:space="0" w:color="auto"/>
            <w:left w:val="none" w:sz="0" w:space="0" w:color="auto"/>
            <w:bottom w:val="none" w:sz="0" w:space="0" w:color="auto"/>
            <w:right w:val="none" w:sz="0" w:space="0" w:color="auto"/>
          </w:divBdr>
        </w:div>
        <w:div w:id="538323879">
          <w:marLeft w:val="0"/>
          <w:marRight w:val="0"/>
          <w:marTop w:val="0"/>
          <w:marBottom w:val="0"/>
          <w:divBdr>
            <w:top w:val="none" w:sz="0" w:space="0" w:color="auto"/>
            <w:left w:val="none" w:sz="0" w:space="0" w:color="auto"/>
            <w:bottom w:val="none" w:sz="0" w:space="0" w:color="auto"/>
            <w:right w:val="none" w:sz="0" w:space="0" w:color="auto"/>
          </w:divBdr>
        </w:div>
        <w:div w:id="550920069">
          <w:marLeft w:val="0"/>
          <w:marRight w:val="0"/>
          <w:marTop w:val="0"/>
          <w:marBottom w:val="0"/>
          <w:divBdr>
            <w:top w:val="none" w:sz="0" w:space="0" w:color="auto"/>
            <w:left w:val="none" w:sz="0" w:space="0" w:color="auto"/>
            <w:bottom w:val="none" w:sz="0" w:space="0" w:color="auto"/>
            <w:right w:val="none" w:sz="0" w:space="0" w:color="auto"/>
          </w:divBdr>
        </w:div>
        <w:div w:id="551581758">
          <w:marLeft w:val="0"/>
          <w:marRight w:val="0"/>
          <w:marTop w:val="0"/>
          <w:marBottom w:val="0"/>
          <w:divBdr>
            <w:top w:val="none" w:sz="0" w:space="0" w:color="auto"/>
            <w:left w:val="none" w:sz="0" w:space="0" w:color="auto"/>
            <w:bottom w:val="none" w:sz="0" w:space="0" w:color="auto"/>
            <w:right w:val="none" w:sz="0" w:space="0" w:color="auto"/>
          </w:divBdr>
        </w:div>
        <w:div w:id="557667576">
          <w:marLeft w:val="0"/>
          <w:marRight w:val="0"/>
          <w:marTop w:val="0"/>
          <w:marBottom w:val="0"/>
          <w:divBdr>
            <w:top w:val="none" w:sz="0" w:space="0" w:color="auto"/>
            <w:left w:val="none" w:sz="0" w:space="0" w:color="auto"/>
            <w:bottom w:val="none" w:sz="0" w:space="0" w:color="auto"/>
            <w:right w:val="none" w:sz="0" w:space="0" w:color="auto"/>
          </w:divBdr>
        </w:div>
        <w:div w:id="559556463">
          <w:marLeft w:val="0"/>
          <w:marRight w:val="0"/>
          <w:marTop w:val="0"/>
          <w:marBottom w:val="0"/>
          <w:divBdr>
            <w:top w:val="none" w:sz="0" w:space="0" w:color="auto"/>
            <w:left w:val="none" w:sz="0" w:space="0" w:color="auto"/>
            <w:bottom w:val="none" w:sz="0" w:space="0" w:color="auto"/>
            <w:right w:val="none" w:sz="0" w:space="0" w:color="auto"/>
          </w:divBdr>
        </w:div>
        <w:div w:id="572814166">
          <w:marLeft w:val="0"/>
          <w:marRight w:val="0"/>
          <w:marTop w:val="0"/>
          <w:marBottom w:val="0"/>
          <w:divBdr>
            <w:top w:val="none" w:sz="0" w:space="0" w:color="auto"/>
            <w:left w:val="none" w:sz="0" w:space="0" w:color="auto"/>
            <w:bottom w:val="none" w:sz="0" w:space="0" w:color="auto"/>
            <w:right w:val="none" w:sz="0" w:space="0" w:color="auto"/>
          </w:divBdr>
        </w:div>
        <w:div w:id="573011371">
          <w:marLeft w:val="0"/>
          <w:marRight w:val="0"/>
          <w:marTop w:val="0"/>
          <w:marBottom w:val="0"/>
          <w:divBdr>
            <w:top w:val="none" w:sz="0" w:space="0" w:color="auto"/>
            <w:left w:val="none" w:sz="0" w:space="0" w:color="auto"/>
            <w:bottom w:val="none" w:sz="0" w:space="0" w:color="auto"/>
            <w:right w:val="none" w:sz="0" w:space="0" w:color="auto"/>
          </w:divBdr>
        </w:div>
        <w:div w:id="574363679">
          <w:marLeft w:val="0"/>
          <w:marRight w:val="0"/>
          <w:marTop w:val="0"/>
          <w:marBottom w:val="0"/>
          <w:divBdr>
            <w:top w:val="none" w:sz="0" w:space="0" w:color="auto"/>
            <w:left w:val="none" w:sz="0" w:space="0" w:color="auto"/>
            <w:bottom w:val="none" w:sz="0" w:space="0" w:color="auto"/>
            <w:right w:val="none" w:sz="0" w:space="0" w:color="auto"/>
          </w:divBdr>
        </w:div>
        <w:div w:id="602151708">
          <w:marLeft w:val="0"/>
          <w:marRight w:val="0"/>
          <w:marTop w:val="0"/>
          <w:marBottom w:val="0"/>
          <w:divBdr>
            <w:top w:val="none" w:sz="0" w:space="0" w:color="auto"/>
            <w:left w:val="none" w:sz="0" w:space="0" w:color="auto"/>
            <w:bottom w:val="none" w:sz="0" w:space="0" w:color="auto"/>
            <w:right w:val="none" w:sz="0" w:space="0" w:color="auto"/>
          </w:divBdr>
        </w:div>
        <w:div w:id="635335161">
          <w:marLeft w:val="0"/>
          <w:marRight w:val="0"/>
          <w:marTop w:val="0"/>
          <w:marBottom w:val="0"/>
          <w:divBdr>
            <w:top w:val="none" w:sz="0" w:space="0" w:color="auto"/>
            <w:left w:val="none" w:sz="0" w:space="0" w:color="auto"/>
            <w:bottom w:val="none" w:sz="0" w:space="0" w:color="auto"/>
            <w:right w:val="none" w:sz="0" w:space="0" w:color="auto"/>
          </w:divBdr>
        </w:div>
        <w:div w:id="654528727">
          <w:marLeft w:val="0"/>
          <w:marRight w:val="0"/>
          <w:marTop w:val="0"/>
          <w:marBottom w:val="0"/>
          <w:divBdr>
            <w:top w:val="none" w:sz="0" w:space="0" w:color="auto"/>
            <w:left w:val="none" w:sz="0" w:space="0" w:color="auto"/>
            <w:bottom w:val="none" w:sz="0" w:space="0" w:color="auto"/>
            <w:right w:val="none" w:sz="0" w:space="0" w:color="auto"/>
          </w:divBdr>
        </w:div>
        <w:div w:id="656614663">
          <w:marLeft w:val="0"/>
          <w:marRight w:val="0"/>
          <w:marTop w:val="0"/>
          <w:marBottom w:val="0"/>
          <w:divBdr>
            <w:top w:val="none" w:sz="0" w:space="0" w:color="auto"/>
            <w:left w:val="none" w:sz="0" w:space="0" w:color="auto"/>
            <w:bottom w:val="none" w:sz="0" w:space="0" w:color="auto"/>
            <w:right w:val="none" w:sz="0" w:space="0" w:color="auto"/>
          </w:divBdr>
        </w:div>
        <w:div w:id="682054006">
          <w:marLeft w:val="0"/>
          <w:marRight w:val="0"/>
          <w:marTop w:val="0"/>
          <w:marBottom w:val="0"/>
          <w:divBdr>
            <w:top w:val="none" w:sz="0" w:space="0" w:color="auto"/>
            <w:left w:val="none" w:sz="0" w:space="0" w:color="auto"/>
            <w:bottom w:val="none" w:sz="0" w:space="0" w:color="auto"/>
            <w:right w:val="none" w:sz="0" w:space="0" w:color="auto"/>
          </w:divBdr>
        </w:div>
        <w:div w:id="683214934">
          <w:marLeft w:val="0"/>
          <w:marRight w:val="0"/>
          <w:marTop w:val="0"/>
          <w:marBottom w:val="0"/>
          <w:divBdr>
            <w:top w:val="none" w:sz="0" w:space="0" w:color="auto"/>
            <w:left w:val="none" w:sz="0" w:space="0" w:color="auto"/>
            <w:bottom w:val="none" w:sz="0" w:space="0" w:color="auto"/>
            <w:right w:val="none" w:sz="0" w:space="0" w:color="auto"/>
          </w:divBdr>
        </w:div>
        <w:div w:id="709918337">
          <w:marLeft w:val="0"/>
          <w:marRight w:val="0"/>
          <w:marTop w:val="0"/>
          <w:marBottom w:val="0"/>
          <w:divBdr>
            <w:top w:val="none" w:sz="0" w:space="0" w:color="auto"/>
            <w:left w:val="none" w:sz="0" w:space="0" w:color="auto"/>
            <w:bottom w:val="none" w:sz="0" w:space="0" w:color="auto"/>
            <w:right w:val="none" w:sz="0" w:space="0" w:color="auto"/>
          </w:divBdr>
        </w:div>
        <w:div w:id="714037413">
          <w:marLeft w:val="0"/>
          <w:marRight w:val="0"/>
          <w:marTop w:val="0"/>
          <w:marBottom w:val="0"/>
          <w:divBdr>
            <w:top w:val="none" w:sz="0" w:space="0" w:color="auto"/>
            <w:left w:val="none" w:sz="0" w:space="0" w:color="auto"/>
            <w:bottom w:val="none" w:sz="0" w:space="0" w:color="auto"/>
            <w:right w:val="none" w:sz="0" w:space="0" w:color="auto"/>
          </w:divBdr>
        </w:div>
        <w:div w:id="725568654">
          <w:marLeft w:val="0"/>
          <w:marRight w:val="0"/>
          <w:marTop w:val="0"/>
          <w:marBottom w:val="0"/>
          <w:divBdr>
            <w:top w:val="none" w:sz="0" w:space="0" w:color="auto"/>
            <w:left w:val="none" w:sz="0" w:space="0" w:color="auto"/>
            <w:bottom w:val="none" w:sz="0" w:space="0" w:color="auto"/>
            <w:right w:val="none" w:sz="0" w:space="0" w:color="auto"/>
          </w:divBdr>
        </w:div>
        <w:div w:id="728724575">
          <w:marLeft w:val="0"/>
          <w:marRight w:val="0"/>
          <w:marTop w:val="0"/>
          <w:marBottom w:val="0"/>
          <w:divBdr>
            <w:top w:val="none" w:sz="0" w:space="0" w:color="auto"/>
            <w:left w:val="none" w:sz="0" w:space="0" w:color="auto"/>
            <w:bottom w:val="none" w:sz="0" w:space="0" w:color="auto"/>
            <w:right w:val="none" w:sz="0" w:space="0" w:color="auto"/>
          </w:divBdr>
        </w:div>
        <w:div w:id="729691021">
          <w:marLeft w:val="0"/>
          <w:marRight w:val="0"/>
          <w:marTop w:val="0"/>
          <w:marBottom w:val="0"/>
          <w:divBdr>
            <w:top w:val="none" w:sz="0" w:space="0" w:color="auto"/>
            <w:left w:val="none" w:sz="0" w:space="0" w:color="auto"/>
            <w:bottom w:val="none" w:sz="0" w:space="0" w:color="auto"/>
            <w:right w:val="none" w:sz="0" w:space="0" w:color="auto"/>
          </w:divBdr>
        </w:div>
        <w:div w:id="733309467">
          <w:marLeft w:val="0"/>
          <w:marRight w:val="0"/>
          <w:marTop w:val="0"/>
          <w:marBottom w:val="0"/>
          <w:divBdr>
            <w:top w:val="none" w:sz="0" w:space="0" w:color="auto"/>
            <w:left w:val="none" w:sz="0" w:space="0" w:color="auto"/>
            <w:bottom w:val="none" w:sz="0" w:space="0" w:color="auto"/>
            <w:right w:val="none" w:sz="0" w:space="0" w:color="auto"/>
          </w:divBdr>
        </w:div>
        <w:div w:id="733360654">
          <w:marLeft w:val="0"/>
          <w:marRight w:val="0"/>
          <w:marTop w:val="0"/>
          <w:marBottom w:val="0"/>
          <w:divBdr>
            <w:top w:val="none" w:sz="0" w:space="0" w:color="auto"/>
            <w:left w:val="none" w:sz="0" w:space="0" w:color="auto"/>
            <w:bottom w:val="none" w:sz="0" w:space="0" w:color="auto"/>
            <w:right w:val="none" w:sz="0" w:space="0" w:color="auto"/>
          </w:divBdr>
        </w:div>
        <w:div w:id="743331455">
          <w:marLeft w:val="0"/>
          <w:marRight w:val="0"/>
          <w:marTop w:val="0"/>
          <w:marBottom w:val="0"/>
          <w:divBdr>
            <w:top w:val="none" w:sz="0" w:space="0" w:color="auto"/>
            <w:left w:val="none" w:sz="0" w:space="0" w:color="auto"/>
            <w:bottom w:val="none" w:sz="0" w:space="0" w:color="auto"/>
            <w:right w:val="none" w:sz="0" w:space="0" w:color="auto"/>
          </w:divBdr>
        </w:div>
        <w:div w:id="744185091">
          <w:marLeft w:val="0"/>
          <w:marRight w:val="0"/>
          <w:marTop w:val="0"/>
          <w:marBottom w:val="0"/>
          <w:divBdr>
            <w:top w:val="none" w:sz="0" w:space="0" w:color="auto"/>
            <w:left w:val="none" w:sz="0" w:space="0" w:color="auto"/>
            <w:bottom w:val="none" w:sz="0" w:space="0" w:color="auto"/>
            <w:right w:val="none" w:sz="0" w:space="0" w:color="auto"/>
          </w:divBdr>
        </w:div>
        <w:div w:id="746077746">
          <w:marLeft w:val="0"/>
          <w:marRight w:val="0"/>
          <w:marTop w:val="0"/>
          <w:marBottom w:val="0"/>
          <w:divBdr>
            <w:top w:val="none" w:sz="0" w:space="0" w:color="auto"/>
            <w:left w:val="none" w:sz="0" w:space="0" w:color="auto"/>
            <w:bottom w:val="none" w:sz="0" w:space="0" w:color="auto"/>
            <w:right w:val="none" w:sz="0" w:space="0" w:color="auto"/>
          </w:divBdr>
        </w:div>
        <w:div w:id="755369233">
          <w:marLeft w:val="0"/>
          <w:marRight w:val="0"/>
          <w:marTop w:val="0"/>
          <w:marBottom w:val="0"/>
          <w:divBdr>
            <w:top w:val="none" w:sz="0" w:space="0" w:color="auto"/>
            <w:left w:val="none" w:sz="0" w:space="0" w:color="auto"/>
            <w:bottom w:val="none" w:sz="0" w:space="0" w:color="auto"/>
            <w:right w:val="none" w:sz="0" w:space="0" w:color="auto"/>
          </w:divBdr>
        </w:div>
        <w:div w:id="766660348">
          <w:marLeft w:val="0"/>
          <w:marRight w:val="0"/>
          <w:marTop w:val="0"/>
          <w:marBottom w:val="0"/>
          <w:divBdr>
            <w:top w:val="none" w:sz="0" w:space="0" w:color="auto"/>
            <w:left w:val="none" w:sz="0" w:space="0" w:color="auto"/>
            <w:bottom w:val="none" w:sz="0" w:space="0" w:color="auto"/>
            <w:right w:val="none" w:sz="0" w:space="0" w:color="auto"/>
          </w:divBdr>
        </w:div>
        <w:div w:id="768819862">
          <w:marLeft w:val="0"/>
          <w:marRight w:val="0"/>
          <w:marTop w:val="0"/>
          <w:marBottom w:val="0"/>
          <w:divBdr>
            <w:top w:val="none" w:sz="0" w:space="0" w:color="auto"/>
            <w:left w:val="none" w:sz="0" w:space="0" w:color="auto"/>
            <w:bottom w:val="none" w:sz="0" w:space="0" w:color="auto"/>
            <w:right w:val="none" w:sz="0" w:space="0" w:color="auto"/>
          </w:divBdr>
        </w:div>
        <w:div w:id="784154580">
          <w:marLeft w:val="0"/>
          <w:marRight w:val="0"/>
          <w:marTop w:val="0"/>
          <w:marBottom w:val="0"/>
          <w:divBdr>
            <w:top w:val="none" w:sz="0" w:space="0" w:color="auto"/>
            <w:left w:val="none" w:sz="0" w:space="0" w:color="auto"/>
            <w:bottom w:val="none" w:sz="0" w:space="0" w:color="auto"/>
            <w:right w:val="none" w:sz="0" w:space="0" w:color="auto"/>
          </w:divBdr>
        </w:div>
        <w:div w:id="787773683">
          <w:marLeft w:val="0"/>
          <w:marRight w:val="0"/>
          <w:marTop w:val="0"/>
          <w:marBottom w:val="0"/>
          <w:divBdr>
            <w:top w:val="none" w:sz="0" w:space="0" w:color="auto"/>
            <w:left w:val="none" w:sz="0" w:space="0" w:color="auto"/>
            <w:bottom w:val="none" w:sz="0" w:space="0" w:color="auto"/>
            <w:right w:val="none" w:sz="0" w:space="0" w:color="auto"/>
          </w:divBdr>
        </w:div>
        <w:div w:id="802188212">
          <w:marLeft w:val="0"/>
          <w:marRight w:val="0"/>
          <w:marTop w:val="0"/>
          <w:marBottom w:val="0"/>
          <w:divBdr>
            <w:top w:val="none" w:sz="0" w:space="0" w:color="auto"/>
            <w:left w:val="none" w:sz="0" w:space="0" w:color="auto"/>
            <w:bottom w:val="none" w:sz="0" w:space="0" w:color="auto"/>
            <w:right w:val="none" w:sz="0" w:space="0" w:color="auto"/>
          </w:divBdr>
        </w:div>
        <w:div w:id="804930584">
          <w:marLeft w:val="0"/>
          <w:marRight w:val="0"/>
          <w:marTop w:val="0"/>
          <w:marBottom w:val="0"/>
          <w:divBdr>
            <w:top w:val="none" w:sz="0" w:space="0" w:color="auto"/>
            <w:left w:val="none" w:sz="0" w:space="0" w:color="auto"/>
            <w:bottom w:val="none" w:sz="0" w:space="0" w:color="auto"/>
            <w:right w:val="none" w:sz="0" w:space="0" w:color="auto"/>
          </w:divBdr>
        </w:div>
        <w:div w:id="808862954">
          <w:marLeft w:val="0"/>
          <w:marRight w:val="0"/>
          <w:marTop w:val="0"/>
          <w:marBottom w:val="0"/>
          <w:divBdr>
            <w:top w:val="none" w:sz="0" w:space="0" w:color="auto"/>
            <w:left w:val="none" w:sz="0" w:space="0" w:color="auto"/>
            <w:bottom w:val="none" w:sz="0" w:space="0" w:color="auto"/>
            <w:right w:val="none" w:sz="0" w:space="0" w:color="auto"/>
          </w:divBdr>
        </w:div>
        <w:div w:id="816846882">
          <w:marLeft w:val="0"/>
          <w:marRight w:val="0"/>
          <w:marTop w:val="0"/>
          <w:marBottom w:val="0"/>
          <w:divBdr>
            <w:top w:val="none" w:sz="0" w:space="0" w:color="auto"/>
            <w:left w:val="none" w:sz="0" w:space="0" w:color="auto"/>
            <w:bottom w:val="none" w:sz="0" w:space="0" w:color="auto"/>
            <w:right w:val="none" w:sz="0" w:space="0" w:color="auto"/>
          </w:divBdr>
        </w:div>
        <w:div w:id="831406210">
          <w:marLeft w:val="0"/>
          <w:marRight w:val="0"/>
          <w:marTop w:val="0"/>
          <w:marBottom w:val="0"/>
          <w:divBdr>
            <w:top w:val="none" w:sz="0" w:space="0" w:color="auto"/>
            <w:left w:val="none" w:sz="0" w:space="0" w:color="auto"/>
            <w:bottom w:val="none" w:sz="0" w:space="0" w:color="auto"/>
            <w:right w:val="none" w:sz="0" w:space="0" w:color="auto"/>
          </w:divBdr>
        </w:div>
        <w:div w:id="848102836">
          <w:marLeft w:val="0"/>
          <w:marRight w:val="0"/>
          <w:marTop w:val="0"/>
          <w:marBottom w:val="0"/>
          <w:divBdr>
            <w:top w:val="none" w:sz="0" w:space="0" w:color="auto"/>
            <w:left w:val="none" w:sz="0" w:space="0" w:color="auto"/>
            <w:bottom w:val="none" w:sz="0" w:space="0" w:color="auto"/>
            <w:right w:val="none" w:sz="0" w:space="0" w:color="auto"/>
          </w:divBdr>
        </w:div>
        <w:div w:id="860624626">
          <w:marLeft w:val="0"/>
          <w:marRight w:val="0"/>
          <w:marTop w:val="0"/>
          <w:marBottom w:val="0"/>
          <w:divBdr>
            <w:top w:val="none" w:sz="0" w:space="0" w:color="auto"/>
            <w:left w:val="none" w:sz="0" w:space="0" w:color="auto"/>
            <w:bottom w:val="none" w:sz="0" w:space="0" w:color="auto"/>
            <w:right w:val="none" w:sz="0" w:space="0" w:color="auto"/>
          </w:divBdr>
        </w:div>
        <w:div w:id="877858009">
          <w:marLeft w:val="0"/>
          <w:marRight w:val="0"/>
          <w:marTop w:val="0"/>
          <w:marBottom w:val="0"/>
          <w:divBdr>
            <w:top w:val="none" w:sz="0" w:space="0" w:color="auto"/>
            <w:left w:val="none" w:sz="0" w:space="0" w:color="auto"/>
            <w:bottom w:val="none" w:sz="0" w:space="0" w:color="auto"/>
            <w:right w:val="none" w:sz="0" w:space="0" w:color="auto"/>
          </w:divBdr>
        </w:div>
        <w:div w:id="908807062">
          <w:marLeft w:val="0"/>
          <w:marRight w:val="0"/>
          <w:marTop w:val="0"/>
          <w:marBottom w:val="0"/>
          <w:divBdr>
            <w:top w:val="none" w:sz="0" w:space="0" w:color="auto"/>
            <w:left w:val="none" w:sz="0" w:space="0" w:color="auto"/>
            <w:bottom w:val="none" w:sz="0" w:space="0" w:color="auto"/>
            <w:right w:val="none" w:sz="0" w:space="0" w:color="auto"/>
          </w:divBdr>
        </w:div>
        <w:div w:id="923416009">
          <w:marLeft w:val="0"/>
          <w:marRight w:val="0"/>
          <w:marTop w:val="0"/>
          <w:marBottom w:val="0"/>
          <w:divBdr>
            <w:top w:val="none" w:sz="0" w:space="0" w:color="auto"/>
            <w:left w:val="none" w:sz="0" w:space="0" w:color="auto"/>
            <w:bottom w:val="none" w:sz="0" w:space="0" w:color="auto"/>
            <w:right w:val="none" w:sz="0" w:space="0" w:color="auto"/>
          </w:divBdr>
        </w:div>
        <w:div w:id="928126237">
          <w:marLeft w:val="0"/>
          <w:marRight w:val="0"/>
          <w:marTop w:val="0"/>
          <w:marBottom w:val="0"/>
          <w:divBdr>
            <w:top w:val="none" w:sz="0" w:space="0" w:color="auto"/>
            <w:left w:val="none" w:sz="0" w:space="0" w:color="auto"/>
            <w:bottom w:val="none" w:sz="0" w:space="0" w:color="auto"/>
            <w:right w:val="none" w:sz="0" w:space="0" w:color="auto"/>
          </w:divBdr>
        </w:div>
        <w:div w:id="930159504">
          <w:marLeft w:val="0"/>
          <w:marRight w:val="0"/>
          <w:marTop w:val="0"/>
          <w:marBottom w:val="0"/>
          <w:divBdr>
            <w:top w:val="none" w:sz="0" w:space="0" w:color="auto"/>
            <w:left w:val="none" w:sz="0" w:space="0" w:color="auto"/>
            <w:bottom w:val="none" w:sz="0" w:space="0" w:color="auto"/>
            <w:right w:val="none" w:sz="0" w:space="0" w:color="auto"/>
          </w:divBdr>
        </w:div>
        <w:div w:id="932665195">
          <w:marLeft w:val="0"/>
          <w:marRight w:val="0"/>
          <w:marTop w:val="0"/>
          <w:marBottom w:val="0"/>
          <w:divBdr>
            <w:top w:val="none" w:sz="0" w:space="0" w:color="auto"/>
            <w:left w:val="none" w:sz="0" w:space="0" w:color="auto"/>
            <w:bottom w:val="none" w:sz="0" w:space="0" w:color="auto"/>
            <w:right w:val="none" w:sz="0" w:space="0" w:color="auto"/>
          </w:divBdr>
        </w:div>
        <w:div w:id="942034773">
          <w:marLeft w:val="0"/>
          <w:marRight w:val="0"/>
          <w:marTop w:val="0"/>
          <w:marBottom w:val="0"/>
          <w:divBdr>
            <w:top w:val="none" w:sz="0" w:space="0" w:color="auto"/>
            <w:left w:val="none" w:sz="0" w:space="0" w:color="auto"/>
            <w:bottom w:val="none" w:sz="0" w:space="0" w:color="auto"/>
            <w:right w:val="none" w:sz="0" w:space="0" w:color="auto"/>
          </w:divBdr>
        </w:div>
        <w:div w:id="945503601">
          <w:marLeft w:val="0"/>
          <w:marRight w:val="0"/>
          <w:marTop w:val="0"/>
          <w:marBottom w:val="0"/>
          <w:divBdr>
            <w:top w:val="none" w:sz="0" w:space="0" w:color="auto"/>
            <w:left w:val="none" w:sz="0" w:space="0" w:color="auto"/>
            <w:bottom w:val="none" w:sz="0" w:space="0" w:color="auto"/>
            <w:right w:val="none" w:sz="0" w:space="0" w:color="auto"/>
          </w:divBdr>
        </w:div>
        <w:div w:id="950479254">
          <w:marLeft w:val="0"/>
          <w:marRight w:val="0"/>
          <w:marTop w:val="0"/>
          <w:marBottom w:val="0"/>
          <w:divBdr>
            <w:top w:val="none" w:sz="0" w:space="0" w:color="auto"/>
            <w:left w:val="none" w:sz="0" w:space="0" w:color="auto"/>
            <w:bottom w:val="none" w:sz="0" w:space="0" w:color="auto"/>
            <w:right w:val="none" w:sz="0" w:space="0" w:color="auto"/>
          </w:divBdr>
        </w:div>
        <w:div w:id="956453212">
          <w:marLeft w:val="0"/>
          <w:marRight w:val="0"/>
          <w:marTop w:val="0"/>
          <w:marBottom w:val="0"/>
          <w:divBdr>
            <w:top w:val="none" w:sz="0" w:space="0" w:color="auto"/>
            <w:left w:val="none" w:sz="0" w:space="0" w:color="auto"/>
            <w:bottom w:val="none" w:sz="0" w:space="0" w:color="auto"/>
            <w:right w:val="none" w:sz="0" w:space="0" w:color="auto"/>
          </w:divBdr>
        </w:div>
        <w:div w:id="957954634">
          <w:marLeft w:val="0"/>
          <w:marRight w:val="0"/>
          <w:marTop w:val="0"/>
          <w:marBottom w:val="0"/>
          <w:divBdr>
            <w:top w:val="none" w:sz="0" w:space="0" w:color="auto"/>
            <w:left w:val="none" w:sz="0" w:space="0" w:color="auto"/>
            <w:bottom w:val="none" w:sz="0" w:space="0" w:color="auto"/>
            <w:right w:val="none" w:sz="0" w:space="0" w:color="auto"/>
          </w:divBdr>
        </w:div>
        <w:div w:id="968629530">
          <w:marLeft w:val="0"/>
          <w:marRight w:val="0"/>
          <w:marTop w:val="0"/>
          <w:marBottom w:val="0"/>
          <w:divBdr>
            <w:top w:val="none" w:sz="0" w:space="0" w:color="auto"/>
            <w:left w:val="none" w:sz="0" w:space="0" w:color="auto"/>
            <w:bottom w:val="none" w:sz="0" w:space="0" w:color="auto"/>
            <w:right w:val="none" w:sz="0" w:space="0" w:color="auto"/>
          </w:divBdr>
        </w:div>
        <w:div w:id="973097990">
          <w:marLeft w:val="0"/>
          <w:marRight w:val="0"/>
          <w:marTop w:val="0"/>
          <w:marBottom w:val="0"/>
          <w:divBdr>
            <w:top w:val="none" w:sz="0" w:space="0" w:color="auto"/>
            <w:left w:val="none" w:sz="0" w:space="0" w:color="auto"/>
            <w:bottom w:val="none" w:sz="0" w:space="0" w:color="auto"/>
            <w:right w:val="none" w:sz="0" w:space="0" w:color="auto"/>
          </w:divBdr>
        </w:div>
        <w:div w:id="982737376">
          <w:marLeft w:val="0"/>
          <w:marRight w:val="0"/>
          <w:marTop w:val="0"/>
          <w:marBottom w:val="0"/>
          <w:divBdr>
            <w:top w:val="none" w:sz="0" w:space="0" w:color="auto"/>
            <w:left w:val="none" w:sz="0" w:space="0" w:color="auto"/>
            <w:bottom w:val="none" w:sz="0" w:space="0" w:color="auto"/>
            <w:right w:val="none" w:sz="0" w:space="0" w:color="auto"/>
          </w:divBdr>
        </w:div>
        <w:div w:id="991325040">
          <w:marLeft w:val="0"/>
          <w:marRight w:val="0"/>
          <w:marTop w:val="0"/>
          <w:marBottom w:val="0"/>
          <w:divBdr>
            <w:top w:val="none" w:sz="0" w:space="0" w:color="auto"/>
            <w:left w:val="none" w:sz="0" w:space="0" w:color="auto"/>
            <w:bottom w:val="none" w:sz="0" w:space="0" w:color="auto"/>
            <w:right w:val="none" w:sz="0" w:space="0" w:color="auto"/>
          </w:divBdr>
        </w:div>
        <w:div w:id="994996025">
          <w:marLeft w:val="0"/>
          <w:marRight w:val="0"/>
          <w:marTop w:val="0"/>
          <w:marBottom w:val="0"/>
          <w:divBdr>
            <w:top w:val="none" w:sz="0" w:space="0" w:color="auto"/>
            <w:left w:val="none" w:sz="0" w:space="0" w:color="auto"/>
            <w:bottom w:val="none" w:sz="0" w:space="0" w:color="auto"/>
            <w:right w:val="none" w:sz="0" w:space="0" w:color="auto"/>
          </w:divBdr>
        </w:div>
        <w:div w:id="1007975476">
          <w:marLeft w:val="0"/>
          <w:marRight w:val="0"/>
          <w:marTop w:val="0"/>
          <w:marBottom w:val="0"/>
          <w:divBdr>
            <w:top w:val="none" w:sz="0" w:space="0" w:color="auto"/>
            <w:left w:val="none" w:sz="0" w:space="0" w:color="auto"/>
            <w:bottom w:val="none" w:sz="0" w:space="0" w:color="auto"/>
            <w:right w:val="none" w:sz="0" w:space="0" w:color="auto"/>
          </w:divBdr>
        </w:div>
        <w:div w:id="1008603039">
          <w:marLeft w:val="0"/>
          <w:marRight w:val="0"/>
          <w:marTop w:val="0"/>
          <w:marBottom w:val="0"/>
          <w:divBdr>
            <w:top w:val="none" w:sz="0" w:space="0" w:color="auto"/>
            <w:left w:val="none" w:sz="0" w:space="0" w:color="auto"/>
            <w:bottom w:val="none" w:sz="0" w:space="0" w:color="auto"/>
            <w:right w:val="none" w:sz="0" w:space="0" w:color="auto"/>
          </w:divBdr>
        </w:div>
        <w:div w:id="1026635615">
          <w:marLeft w:val="0"/>
          <w:marRight w:val="0"/>
          <w:marTop w:val="0"/>
          <w:marBottom w:val="0"/>
          <w:divBdr>
            <w:top w:val="none" w:sz="0" w:space="0" w:color="auto"/>
            <w:left w:val="none" w:sz="0" w:space="0" w:color="auto"/>
            <w:bottom w:val="none" w:sz="0" w:space="0" w:color="auto"/>
            <w:right w:val="none" w:sz="0" w:space="0" w:color="auto"/>
          </w:divBdr>
        </w:div>
        <w:div w:id="1031227290">
          <w:marLeft w:val="0"/>
          <w:marRight w:val="0"/>
          <w:marTop w:val="0"/>
          <w:marBottom w:val="0"/>
          <w:divBdr>
            <w:top w:val="none" w:sz="0" w:space="0" w:color="auto"/>
            <w:left w:val="none" w:sz="0" w:space="0" w:color="auto"/>
            <w:bottom w:val="none" w:sz="0" w:space="0" w:color="auto"/>
            <w:right w:val="none" w:sz="0" w:space="0" w:color="auto"/>
          </w:divBdr>
        </w:div>
        <w:div w:id="1053038156">
          <w:marLeft w:val="0"/>
          <w:marRight w:val="0"/>
          <w:marTop w:val="0"/>
          <w:marBottom w:val="0"/>
          <w:divBdr>
            <w:top w:val="none" w:sz="0" w:space="0" w:color="auto"/>
            <w:left w:val="none" w:sz="0" w:space="0" w:color="auto"/>
            <w:bottom w:val="none" w:sz="0" w:space="0" w:color="auto"/>
            <w:right w:val="none" w:sz="0" w:space="0" w:color="auto"/>
          </w:divBdr>
        </w:div>
        <w:div w:id="1053889150">
          <w:marLeft w:val="0"/>
          <w:marRight w:val="0"/>
          <w:marTop w:val="0"/>
          <w:marBottom w:val="0"/>
          <w:divBdr>
            <w:top w:val="none" w:sz="0" w:space="0" w:color="auto"/>
            <w:left w:val="none" w:sz="0" w:space="0" w:color="auto"/>
            <w:bottom w:val="none" w:sz="0" w:space="0" w:color="auto"/>
            <w:right w:val="none" w:sz="0" w:space="0" w:color="auto"/>
          </w:divBdr>
        </w:div>
        <w:div w:id="1068725445">
          <w:marLeft w:val="0"/>
          <w:marRight w:val="0"/>
          <w:marTop w:val="0"/>
          <w:marBottom w:val="0"/>
          <w:divBdr>
            <w:top w:val="none" w:sz="0" w:space="0" w:color="auto"/>
            <w:left w:val="none" w:sz="0" w:space="0" w:color="auto"/>
            <w:bottom w:val="none" w:sz="0" w:space="0" w:color="auto"/>
            <w:right w:val="none" w:sz="0" w:space="0" w:color="auto"/>
          </w:divBdr>
        </w:div>
        <w:div w:id="1099059372">
          <w:marLeft w:val="0"/>
          <w:marRight w:val="0"/>
          <w:marTop w:val="0"/>
          <w:marBottom w:val="0"/>
          <w:divBdr>
            <w:top w:val="none" w:sz="0" w:space="0" w:color="auto"/>
            <w:left w:val="none" w:sz="0" w:space="0" w:color="auto"/>
            <w:bottom w:val="none" w:sz="0" w:space="0" w:color="auto"/>
            <w:right w:val="none" w:sz="0" w:space="0" w:color="auto"/>
          </w:divBdr>
        </w:div>
        <w:div w:id="1100415120">
          <w:marLeft w:val="0"/>
          <w:marRight w:val="0"/>
          <w:marTop w:val="0"/>
          <w:marBottom w:val="0"/>
          <w:divBdr>
            <w:top w:val="none" w:sz="0" w:space="0" w:color="auto"/>
            <w:left w:val="none" w:sz="0" w:space="0" w:color="auto"/>
            <w:bottom w:val="none" w:sz="0" w:space="0" w:color="auto"/>
            <w:right w:val="none" w:sz="0" w:space="0" w:color="auto"/>
          </w:divBdr>
        </w:div>
        <w:div w:id="1102146993">
          <w:marLeft w:val="0"/>
          <w:marRight w:val="0"/>
          <w:marTop w:val="0"/>
          <w:marBottom w:val="0"/>
          <w:divBdr>
            <w:top w:val="none" w:sz="0" w:space="0" w:color="auto"/>
            <w:left w:val="none" w:sz="0" w:space="0" w:color="auto"/>
            <w:bottom w:val="none" w:sz="0" w:space="0" w:color="auto"/>
            <w:right w:val="none" w:sz="0" w:space="0" w:color="auto"/>
          </w:divBdr>
        </w:div>
        <w:div w:id="1114134733">
          <w:marLeft w:val="0"/>
          <w:marRight w:val="0"/>
          <w:marTop w:val="0"/>
          <w:marBottom w:val="0"/>
          <w:divBdr>
            <w:top w:val="none" w:sz="0" w:space="0" w:color="auto"/>
            <w:left w:val="none" w:sz="0" w:space="0" w:color="auto"/>
            <w:bottom w:val="none" w:sz="0" w:space="0" w:color="auto"/>
            <w:right w:val="none" w:sz="0" w:space="0" w:color="auto"/>
          </w:divBdr>
        </w:div>
        <w:div w:id="1119646391">
          <w:marLeft w:val="0"/>
          <w:marRight w:val="0"/>
          <w:marTop w:val="0"/>
          <w:marBottom w:val="0"/>
          <w:divBdr>
            <w:top w:val="none" w:sz="0" w:space="0" w:color="auto"/>
            <w:left w:val="none" w:sz="0" w:space="0" w:color="auto"/>
            <w:bottom w:val="none" w:sz="0" w:space="0" w:color="auto"/>
            <w:right w:val="none" w:sz="0" w:space="0" w:color="auto"/>
          </w:divBdr>
        </w:div>
        <w:div w:id="1130633937">
          <w:marLeft w:val="0"/>
          <w:marRight w:val="0"/>
          <w:marTop w:val="0"/>
          <w:marBottom w:val="0"/>
          <w:divBdr>
            <w:top w:val="none" w:sz="0" w:space="0" w:color="auto"/>
            <w:left w:val="none" w:sz="0" w:space="0" w:color="auto"/>
            <w:bottom w:val="none" w:sz="0" w:space="0" w:color="auto"/>
            <w:right w:val="none" w:sz="0" w:space="0" w:color="auto"/>
          </w:divBdr>
        </w:div>
        <w:div w:id="1132944294">
          <w:marLeft w:val="0"/>
          <w:marRight w:val="0"/>
          <w:marTop w:val="0"/>
          <w:marBottom w:val="0"/>
          <w:divBdr>
            <w:top w:val="none" w:sz="0" w:space="0" w:color="auto"/>
            <w:left w:val="none" w:sz="0" w:space="0" w:color="auto"/>
            <w:bottom w:val="none" w:sz="0" w:space="0" w:color="auto"/>
            <w:right w:val="none" w:sz="0" w:space="0" w:color="auto"/>
          </w:divBdr>
        </w:div>
        <w:div w:id="1139221662">
          <w:marLeft w:val="0"/>
          <w:marRight w:val="0"/>
          <w:marTop w:val="0"/>
          <w:marBottom w:val="0"/>
          <w:divBdr>
            <w:top w:val="none" w:sz="0" w:space="0" w:color="auto"/>
            <w:left w:val="none" w:sz="0" w:space="0" w:color="auto"/>
            <w:bottom w:val="none" w:sz="0" w:space="0" w:color="auto"/>
            <w:right w:val="none" w:sz="0" w:space="0" w:color="auto"/>
          </w:divBdr>
        </w:div>
        <w:div w:id="1145968237">
          <w:marLeft w:val="0"/>
          <w:marRight w:val="0"/>
          <w:marTop w:val="0"/>
          <w:marBottom w:val="0"/>
          <w:divBdr>
            <w:top w:val="none" w:sz="0" w:space="0" w:color="auto"/>
            <w:left w:val="none" w:sz="0" w:space="0" w:color="auto"/>
            <w:bottom w:val="none" w:sz="0" w:space="0" w:color="auto"/>
            <w:right w:val="none" w:sz="0" w:space="0" w:color="auto"/>
          </w:divBdr>
        </w:div>
        <w:div w:id="1148747045">
          <w:marLeft w:val="0"/>
          <w:marRight w:val="0"/>
          <w:marTop w:val="0"/>
          <w:marBottom w:val="0"/>
          <w:divBdr>
            <w:top w:val="none" w:sz="0" w:space="0" w:color="auto"/>
            <w:left w:val="none" w:sz="0" w:space="0" w:color="auto"/>
            <w:bottom w:val="none" w:sz="0" w:space="0" w:color="auto"/>
            <w:right w:val="none" w:sz="0" w:space="0" w:color="auto"/>
          </w:divBdr>
        </w:div>
        <w:div w:id="1165167995">
          <w:marLeft w:val="0"/>
          <w:marRight w:val="0"/>
          <w:marTop w:val="0"/>
          <w:marBottom w:val="0"/>
          <w:divBdr>
            <w:top w:val="none" w:sz="0" w:space="0" w:color="auto"/>
            <w:left w:val="none" w:sz="0" w:space="0" w:color="auto"/>
            <w:bottom w:val="none" w:sz="0" w:space="0" w:color="auto"/>
            <w:right w:val="none" w:sz="0" w:space="0" w:color="auto"/>
          </w:divBdr>
        </w:div>
        <w:div w:id="1165823870">
          <w:marLeft w:val="0"/>
          <w:marRight w:val="0"/>
          <w:marTop w:val="0"/>
          <w:marBottom w:val="0"/>
          <w:divBdr>
            <w:top w:val="none" w:sz="0" w:space="0" w:color="auto"/>
            <w:left w:val="none" w:sz="0" w:space="0" w:color="auto"/>
            <w:bottom w:val="none" w:sz="0" w:space="0" w:color="auto"/>
            <w:right w:val="none" w:sz="0" w:space="0" w:color="auto"/>
          </w:divBdr>
        </w:div>
        <w:div w:id="1172599880">
          <w:marLeft w:val="0"/>
          <w:marRight w:val="0"/>
          <w:marTop w:val="0"/>
          <w:marBottom w:val="0"/>
          <w:divBdr>
            <w:top w:val="none" w:sz="0" w:space="0" w:color="auto"/>
            <w:left w:val="none" w:sz="0" w:space="0" w:color="auto"/>
            <w:bottom w:val="none" w:sz="0" w:space="0" w:color="auto"/>
            <w:right w:val="none" w:sz="0" w:space="0" w:color="auto"/>
          </w:divBdr>
        </w:div>
        <w:div w:id="1178927716">
          <w:marLeft w:val="0"/>
          <w:marRight w:val="0"/>
          <w:marTop w:val="0"/>
          <w:marBottom w:val="0"/>
          <w:divBdr>
            <w:top w:val="none" w:sz="0" w:space="0" w:color="auto"/>
            <w:left w:val="none" w:sz="0" w:space="0" w:color="auto"/>
            <w:bottom w:val="none" w:sz="0" w:space="0" w:color="auto"/>
            <w:right w:val="none" w:sz="0" w:space="0" w:color="auto"/>
          </w:divBdr>
        </w:div>
        <w:div w:id="1202282064">
          <w:marLeft w:val="0"/>
          <w:marRight w:val="0"/>
          <w:marTop w:val="0"/>
          <w:marBottom w:val="0"/>
          <w:divBdr>
            <w:top w:val="none" w:sz="0" w:space="0" w:color="auto"/>
            <w:left w:val="none" w:sz="0" w:space="0" w:color="auto"/>
            <w:bottom w:val="none" w:sz="0" w:space="0" w:color="auto"/>
            <w:right w:val="none" w:sz="0" w:space="0" w:color="auto"/>
          </w:divBdr>
        </w:div>
        <w:div w:id="1217474078">
          <w:marLeft w:val="0"/>
          <w:marRight w:val="0"/>
          <w:marTop w:val="0"/>
          <w:marBottom w:val="0"/>
          <w:divBdr>
            <w:top w:val="none" w:sz="0" w:space="0" w:color="auto"/>
            <w:left w:val="none" w:sz="0" w:space="0" w:color="auto"/>
            <w:bottom w:val="none" w:sz="0" w:space="0" w:color="auto"/>
            <w:right w:val="none" w:sz="0" w:space="0" w:color="auto"/>
          </w:divBdr>
        </w:div>
        <w:div w:id="1229806838">
          <w:marLeft w:val="0"/>
          <w:marRight w:val="0"/>
          <w:marTop w:val="0"/>
          <w:marBottom w:val="0"/>
          <w:divBdr>
            <w:top w:val="none" w:sz="0" w:space="0" w:color="auto"/>
            <w:left w:val="none" w:sz="0" w:space="0" w:color="auto"/>
            <w:bottom w:val="none" w:sz="0" w:space="0" w:color="auto"/>
            <w:right w:val="none" w:sz="0" w:space="0" w:color="auto"/>
          </w:divBdr>
        </w:div>
        <w:div w:id="1234897445">
          <w:marLeft w:val="0"/>
          <w:marRight w:val="0"/>
          <w:marTop w:val="0"/>
          <w:marBottom w:val="0"/>
          <w:divBdr>
            <w:top w:val="none" w:sz="0" w:space="0" w:color="auto"/>
            <w:left w:val="none" w:sz="0" w:space="0" w:color="auto"/>
            <w:bottom w:val="none" w:sz="0" w:space="0" w:color="auto"/>
            <w:right w:val="none" w:sz="0" w:space="0" w:color="auto"/>
          </w:divBdr>
        </w:div>
        <w:div w:id="1234969267">
          <w:marLeft w:val="0"/>
          <w:marRight w:val="0"/>
          <w:marTop w:val="0"/>
          <w:marBottom w:val="0"/>
          <w:divBdr>
            <w:top w:val="none" w:sz="0" w:space="0" w:color="auto"/>
            <w:left w:val="none" w:sz="0" w:space="0" w:color="auto"/>
            <w:bottom w:val="none" w:sz="0" w:space="0" w:color="auto"/>
            <w:right w:val="none" w:sz="0" w:space="0" w:color="auto"/>
          </w:divBdr>
        </w:div>
        <w:div w:id="1242179148">
          <w:marLeft w:val="0"/>
          <w:marRight w:val="0"/>
          <w:marTop w:val="0"/>
          <w:marBottom w:val="0"/>
          <w:divBdr>
            <w:top w:val="none" w:sz="0" w:space="0" w:color="auto"/>
            <w:left w:val="none" w:sz="0" w:space="0" w:color="auto"/>
            <w:bottom w:val="none" w:sz="0" w:space="0" w:color="auto"/>
            <w:right w:val="none" w:sz="0" w:space="0" w:color="auto"/>
          </w:divBdr>
        </w:div>
        <w:div w:id="1254777862">
          <w:marLeft w:val="0"/>
          <w:marRight w:val="0"/>
          <w:marTop w:val="0"/>
          <w:marBottom w:val="0"/>
          <w:divBdr>
            <w:top w:val="none" w:sz="0" w:space="0" w:color="auto"/>
            <w:left w:val="none" w:sz="0" w:space="0" w:color="auto"/>
            <w:bottom w:val="none" w:sz="0" w:space="0" w:color="auto"/>
            <w:right w:val="none" w:sz="0" w:space="0" w:color="auto"/>
          </w:divBdr>
        </w:div>
        <w:div w:id="1258558588">
          <w:marLeft w:val="0"/>
          <w:marRight w:val="0"/>
          <w:marTop w:val="0"/>
          <w:marBottom w:val="0"/>
          <w:divBdr>
            <w:top w:val="none" w:sz="0" w:space="0" w:color="auto"/>
            <w:left w:val="none" w:sz="0" w:space="0" w:color="auto"/>
            <w:bottom w:val="none" w:sz="0" w:space="0" w:color="auto"/>
            <w:right w:val="none" w:sz="0" w:space="0" w:color="auto"/>
          </w:divBdr>
        </w:div>
        <w:div w:id="1262952512">
          <w:marLeft w:val="0"/>
          <w:marRight w:val="0"/>
          <w:marTop w:val="0"/>
          <w:marBottom w:val="0"/>
          <w:divBdr>
            <w:top w:val="none" w:sz="0" w:space="0" w:color="auto"/>
            <w:left w:val="none" w:sz="0" w:space="0" w:color="auto"/>
            <w:bottom w:val="none" w:sz="0" w:space="0" w:color="auto"/>
            <w:right w:val="none" w:sz="0" w:space="0" w:color="auto"/>
          </w:divBdr>
        </w:div>
        <w:div w:id="1267929166">
          <w:marLeft w:val="0"/>
          <w:marRight w:val="0"/>
          <w:marTop w:val="0"/>
          <w:marBottom w:val="0"/>
          <w:divBdr>
            <w:top w:val="none" w:sz="0" w:space="0" w:color="auto"/>
            <w:left w:val="none" w:sz="0" w:space="0" w:color="auto"/>
            <w:bottom w:val="none" w:sz="0" w:space="0" w:color="auto"/>
            <w:right w:val="none" w:sz="0" w:space="0" w:color="auto"/>
          </w:divBdr>
        </w:div>
        <w:div w:id="1267957246">
          <w:marLeft w:val="0"/>
          <w:marRight w:val="0"/>
          <w:marTop w:val="0"/>
          <w:marBottom w:val="0"/>
          <w:divBdr>
            <w:top w:val="none" w:sz="0" w:space="0" w:color="auto"/>
            <w:left w:val="none" w:sz="0" w:space="0" w:color="auto"/>
            <w:bottom w:val="none" w:sz="0" w:space="0" w:color="auto"/>
            <w:right w:val="none" w:sz="0" w:space="0" w:color="auto"/>
          </w:divBdr>
        </w:div>
        <w:div w:id="1270315087">
          <w:marLeft w:val="0"/>
          <w:marRight w:val="0"/>
          <w:marTop w:val="0"/>
          <w:marBottom w:val="0"/>
          <w:divBdr>
            <w:top w:val="none" w:sz="0" w:space="0" w:color="auto"/>
            <w:left w:val="none" w:sz="0" w:space="0" w:color="auto"/>
            <w:bottom w:val="none" w:sz="0" w:space="0" w:color="auto"/>
            <w:right w:val="none" w:sz="0" w:space="0" w:color="auto"/>
          </w:divBdr>
        </w:div>
        <w:div w:id="1273777873">
          <w:marLeft w:val="0"/>
          <w:marRight w:val="0"/>
          <w:marTop w:val="0"/>
          <w:marBottom w:val="0"/>
          <w:divBdr>
            <w:top w:val="none" w:sz="0" w:space="0" w:color="auto"/>
            <w:left w:val="none" w:sz="0" w:space="0" w:color="auto"/>
            <w:bottom w:val="none" w:sz="0" w:space="0" w:color="auto"/>
            <w:right w:val="none" w:sz="0" w:space="0" w:color="auto"/>
          </w:divBdr>
        </w:div>
        <w:div w:id="1274052303">
          <w:marLeft w:val="0"/>
          <w:marRight w:val="0"/>
          <w:marTop w:val="0"/>
          <w:marBottom w:val="0"/>
          <w:divBdr>
            <w:top w:val="none" w:sz="0" w:space="0" w:color="auto"/>
            <w:left w:val="none" w:sz="0" w:space="0" w:color="auto"/>
            <w:bottom w:val="none" w:sz="0" w:space="0" w:color="auto"/>
            <w:right w:val="none" w:sz="0" w:space="0" w:color="auto"/>
          </w:divBdr>
        </w:div>
        <w:div w:id="1274510411">
          <w:marLeft w:val="0"/>
          <w:marRight w:val="0"/>
          <w:marTop w:val="0"/>
          <w:marBottom w:val="0"/>
          <w:divBdr>
            <w:top w:val="none" w:sz="0" w:space="0" w:color="auto"/>
            <w:left w:val="none" w:sz="0" w:space="0" w:color="auto"/>
            <w:bottom w:val="none" w:sz="0" w:space="0" w:color="auto"/>
            <w:right w:val="none" w:sz="0" w:space="0" w:color="auto"/>
          </w:divBdr>
        </w:div>
        <w:div w:id="1276673193">
          <w:marLeft w:val="0"/>
          <w:marRight w:val="0"/>
          <w:marTop w:val="0"/>
          <w:marBottom w:val="0"/>
          <w:divBdr>
            <w:top w:val="none" w:sz="0" w:space="0" w:color="auto"/>
            <w:left w:val="none" w:sz="0" w:space="0" w:color="auto"/>
            <w:bottom w:val="none" w:sz="0" w:space="0" w:color="auto"/>
            <w:right w:val="none" w:sz="0" w:space="0" w:color="auto"/>
          </w:divBdr>
        </w:div>
        <w:div w:id="1281108193">
          <w:marLeft w:val="0"/>
          <w:marRight w:val="0"/>
          <w:marTop w:val="0"/>
          <w:marBottom w:val="0"/>
          <w:divBdr>
            <w:top w:val="none" w:sz="0" w:space="0" w:color="auto"/>
            <w:left w:val="none" w:sz="0" w:space="0" w:color="auto"/>
            <w:bottom w:val="none" w:sz="0" w:space="0" w:color="auto"/>
            <w:right w:val="none" w:sz="0" w:space="0" w:color="auto"/>
          </w:divBdr>
        </w:div>
        <w:div w:id="1281180859">
          <w:marLeft w:val="0"/>
          <w:marRight w:val="0"/>
          <w:marTop w:val="0"/>
          <w:marBottom w:val="0"/>
          <w:divBdr>
            <w:top w:val="none" w:sz="0" w:space="0" w:color="auto"/>
            <w:left w:val="none" w:sz="0" w:space="0" w:color="auto"/>
            <w:bottom w:val="none" w:sz="0" w:space="0" w:color="auto"/>
            <w:right w:val="none" w:sz="0" w:space="0" w:color="auto"/>
          </w:divBdr>
        </w:div>
        <w:div w:id="1309626759">
          <w:marLeft w:val="0"/>
          <w:marRight w:val="0"/>
          <w:marTop w:val="0"/>
          <w:marBottom w:val="0"/>
          <w:divBdr>
            <w:top w:val="none" w:sz="0" w:space="0" w:color="auto"/>
            <w:left w:val="none" w:sz="0" w:space="0" w:color="auto"/>
            <w:bottom w:val="none" w:sz="0" w:space="0" w:color="auto"/>
            <w:right w:val="none" w:sz="0" w:space="0" w:color="auto"/>
          </w:divBdr>
        </w:div>
        <w:div w:id="1315525936">
          <w:marLeft w:val="0"/>
          <w:marRight w:val="0"/>
          <w:marTop w:val="0"/>
          <w:marBottom w:val="0"/>
          <w:divBdr>
            <w:top w:val="none" w:sz="0" w:space="0" w:color="auto"/>
            <w:left w:val="none" w:sz="0" w:space="0" w:color="auto"/>
            <w:bottom w:val="none" w:sz="0" w:space="0" w:color="auto"/>
            <w:right w:val="none" w:sz="0" w:space="0" w:color="auto"/>
          </w:divBdr>
        </w:div>
        <w:div w:id="1318461720">
          <w:marLeft w:val="0"/>
          <w:marRight w:val="0"/>
          <w:marTop w:val="0"/>
          <w:marBottom w:val="0"/>
          <w:divBdr>
            <w:top w:val="none" w:sz="0" w:space="0" w:color="auto"/>
            <w:left w:val="none" w:sz="0" w:space="0" w:color="auto"/>
            <w:bottom w:val="none" w:sz="0" w:space="0" w:color="auto"/>
            <w:right w:val="none" w:sz="0" w:space="0" w:color="auto"/>
          </w:divBdr>
        </w:div>
        <w:div w:id="1321038033">
          <w:marLeft w:val="0"/>
          <w:marRight w:val="0"/>
          <w:marTop w:val="0"/>
          <w:marBottom w:val="0"/>
          <w:divBdr>
            <w:top w:val="none" w:sz="0" w:space="0" w:color="auto"/>
            <w:left w:val="none" w:sz="0" w:space="0" w:color="auto"/>
            <w:bottom w:val="none" w:sz="0" w:space="0" w:color="auto"/>
            <w:right w:val="none" w:sz="0" w:space="0" w:color="auto"/>
          </w:divBdr>
        </w:div>
        <w:div w:id="1330600859">
          <w:marLeft w:val="0"/>
          <w:marRight w:val="0"/>
          <w:marTop w:val="0"/>
          <w:marBottom w:val="0"/>
          <w:divBdr>
            <w:top w:val="none" w:sz="0" w:space="0" w:color="auto"/>
            <w:left w:val="none" w:sz="0" w:space="0" w:color="auto"/>
            <w:bottom w:val="none" w:sz="0" w:space="0" w:color="auto"/>
            <w:right w:val="none" w:sz="0" w:space="0" w:color="auto"/>
          </w:divBdr>
        </w:div>
        <w:div w:id="1343585442">
          <w:marLeft w:val="0"/>
          <w:marRight w:val="0"/>
          <w:marTop w:val="0"/>
          <w:marBottom w:val="0"/>
          <w:divBdr>
            <w:top w:val="none" w:sz="0" w:space="0" w:color="auto"/>
            <w:left w:val="none" w:sz="0" w:space="0" w:color="auto"/>
            <w:bottom w:val="none" w:sz="0" w:space="0" w:color="auto"/>
            <w:right w:val="none" w:sz="0" w:space="0" w:color="auto"/>
          </w:divBdr>
        </w:div>
        <w:div w:id="1362168453">
          <w:marLeft w:val="0"/>
          <w:marRight w:val="0"/>
          <w:marTop w:val="0"/>
          <w:marBottom w:val="0"/>
          <w:divBdr>
            <w:top w:val="none" w:sz="0" w:space="0" w:color="auto"/>
            <w:left w:val="none" w:sz="0" w:space="0" w:color="auto"/>
            <w:bottom w:val="none" w:sz="0" w:space="0" w:color="auto"/>
            <w:right w:val="none" w:sz="0" w:space="0" w:color="auto"/>
          </w:divBdr>
        </w:div>
        <w:div w:id="1368068668">
          <w:marLeft w:val="0"/>
          <w:marRight w:val="0"/>
          <w:marTop w:val="0"/>
          <w:marBottom w:val="0"/>
          <w:divBdr>
            <w:top w:val="none" w:sz="0" w:space="0" w:color="auto"/>
            <w:left w:val="none" w:sz="0" w:space="0" w:color="auto"/>
            <w:bottom w:val="none" w:sz="0" w:space="0" w:color="auto"/>
            <w:right w:val="none" w:sz="0" w:space="0" w:color="auto"/>
          </w:divBdr>
        </w:div>
        <w:div w:id="1376928830">
          <w:marLeft w:val="0"/>
          <w:marRight w:val="0"/>
          <w:marTop w:val="0"/>
          <w:marBottom w:val="0"/>
          <w:divBdr>
            <w:top w:val="none" w:sz="0" w:space="0" w:color="auto"/>
            <w:left w:val="none" w:sz="0" w:space="0" w:color="auto"/>
            <w:bottom w:val="none" w:sz="0" w:space="0" w:color="auto"/>
            <w:right w:val="none" w:sz="0" w:space="0" w:color="auto"/>
          </w:divBdr>
        </w:div>
        <w:div w:id="1383406094">
          <w:marLeft w:val="0"/>
          <w:marRight w:val="0"/>
          <w:marTop w:val="0"/>
          <w:marBottom w:val="0"/>
          <w:divBdr>
            <w:top w:val="none" w:sz="0" w:space="0" w:color="auto"/>
            <w:left w:val="none" w:sz="0" w:space="0" w:color="auto"/>
            <w:bottom w:val="none" w:sz="0" w:space="0" w:color="auto"/>
            <w:right w:val="none" w:sz="0" w:space="0" w:color="auto"/>
          </w:divBdr>
        </w:div>
        <w:div w:id="1390114008">
          <w:marLeft w:val="0"/>
          <w:marRight w:val="0"/>
          <w:marTop w:val="0"/>
          <w:marBottom w:val="0"/>
          <w:divBdr>
            <w:top w:val="none" w:sz="0" w:space="0" w:color="auto"/>
            <w:left w:val="none" w:sz="0" w:space="0" w:color="auto"/>
            <w:bottom w:val="none" w:sz="0" w:space="0" w:color="auto"/>
            <w:right w:val="none" w:sz="0" w:space="0" w:color="auto"/>
          </w:divBdr>
        </w:div>
        <w:div w:id="1391802691">
          <w:marLeft w:val="0"/>
          <w:marRight w:val="0"/>
          <w:marTop w:val="0"/>
          <w:marBottom w:val="0"/>
          <w:divBdr>
            <w:top w:val="none" w:sz="0" w:space="0" w:color="auto"/>
            <w:left w:val="none" w:sz="0" w:space="0" w:color="auto"/>
            <w:bottom w:val="none" w:sz="0" w:space="0" w:color="auto"/>
            <w:right w:val="none" w:sz="0" w:space="0" w:color="auto"/>
          </w:divBdr>
        </w:div>
        <w:div w:id="1404454027">
          <w:marLeft w:val="0"/>
          <w:marRight w:val="0"/>
          <w:marTop w:val="0"/>
          <w:marBottom w:val="0"/>
          <w:divBdr>
            <w:top w:val="none" w:sz="0" w:space="0" w:color="auto"/>
            <w:left w:val="none" w:sz="0" w:space="0" w:color="auto"/>
            <w:bottom w:val="none" w:sz="0" w:space="0" w:color="auto"/>
            <w:right w:val="none" w:sz="0" w:space="0" w:color="auto"/>
          </w:divBdr>
        </w:div>
        <w:div w:id="1411274414">
          <w:marLeft w:val="0"/>
          <w:marRight w:val="0"/>
          <w:marTop w:val="0"/>
          <w:marBottom w:val="0"/>
          <w:divBdr>
            <w:top w:val="none" w:sz="0" w:space="0" w:color="auto"/>
            <w:left w:val="none" w:sz="0" w:space="0" w:color="auto"/>
            <w:bottom w:val="none" w:sz="0" w:space="0" w:color="auto"/>
            <w:right w:val="none" w:sz="0" w:space="0" w:color="auto"/>
          </w:divBdr>
        </w:div>
        <w:div w:id="1413703651">
          <w:marLeft w:val="0"/>
          <w:marRight w:val="0"/>
          <w:marTop w:val="0"/>
          <w:marBottom w:val="0"/>
          <w:divBdr>
            <w:top w:val="none" w:sz="0" w:space="0" w:color="auto"/>
            <w:left w:val="none" w:sz="0" w:space="0" w:color="auto"/>
            <w:bottom w:val="none" w:sz="0" w:space="0" w:color="auto"/>
            <w:right w:val="none" w:sz="0" w:space="0" w:color="auto"/>
          </w:divBdr>
        </w:div>
        <w:div w:id="1415007552">
          <w:marLeft w:val="0"/>
          <w:marRight w:val="0"/>
          <w:marTop w:val="0"/>
          <w:marBottom w:val="0"/>
          <w:divBdr>
            <w:top w:val="none" w:sz="0" w:space="0" w:color="auto"/>
            <w:left w:val="none" w:sz="0" w:space="0" w:color="auto"/>
            <w:bottom w:val="none" w:sz="0" w:space="0" w:color="auto"/>
            <w:right w:val="none" w:sz="0" w:space="0" w:color="auto"/>
          </w:divBdr>
        </w:div>
        <w:div w:id="1425883544">
          <w:marLeft w:val="0"/>
          <w:marRight w:val="0"/>
          <w:marTop w:val="0"/>
          <w:marBottom w:val="0"/>
          <w:divBdr>
            <w:top w:val="none" w:sz="0" w:space="0" w:color="auto"/>
            <w:left w:val="none" w:sz="0" w:space="0" w:color="auto"/>
            <w:bottom w:val="none" w:sz="0" w:space="0" w:color="auto"/>
            <w:right w:val="none" w:sz="0" w:space="0" w:color="auto"/>
          </w:divBdr>
        </w:div>
        <w:div w:id="1427269159">
          <w:marLeft w:val="0"/>
          <w:marRight w:val="0"/>
          <w:marTop w:val="0"/>
          <w:marBottom w:val="0"/>
          <w:divBdr>
            <w:top w:val="none" w:sz="0" w:space="0" w:color="auto"/>
            <w:left w:val="none" w:sz="0" w:space="0" w:color="auto"/>
            <w:bottom w:val="none" w:sz="0" w:space="0" w:color="auto"/>
            <w:right w:val="none" w:sz="0" w:space="0" w:color="auto"/>
          </w:divBdr>
        </w:div>
        <w:div w:id="1429228354">
          <w:marLeft w:val="0"/>
          <w:marRight w:val="0"/>
          <w:marTop w:val="0"/>
          <w:marBottom w:val="0"/>
          <w:divBdr>
            <w:top w:val="none" w:sz="0" w:space="0" w:color="auto"/>
            <w:left w:val="none" w:sz="0" w:space="0" w:color="auto"/>
            <w:bottom w:val="none" w:sz="0" w:space="0" w:color="auto"/>
            <w:right w:val="none" w:sz="0" w:space="0" w:color="auto"/>
          </w:divBdr>
        </w:div>
        <w:div w:id="1429421478">
          <w:marLeft w:val="0"/>
          <w:marRight w:val="0"/>
          <w:marTop w:val="0"/>
          <w:marBottom w:val="0"/>
          <w:divBdr>
            <w:top w:val="none" w:sz="0" w:space="0" w:color="auto"/>
            <w:left w:val="none" w:sz="0" w:space="0" w:color="auto"/>
            <w:bottom w:val="none" w:sz="0" w:space="0" w:color="auto"/>
            <w:right w:val="none" w:sz="0" w:space="0" w:color="auto"/>
          </w:divBdr>
        </w:div>
        <w:div w:id="1436825015">
          <w:marLeft w:val="0"/>
          <w:marRight w:val="0"/>
          <w:marTop w:val="0"/>
          <w:marBottom w:val="0"/>
          <w:divBdr>
            <w:top w:val="none" w:sz="0" w:space="0" w:color="auto"/>
            <w:left w:val="none" w:sz="0" w:space="0" w:color="auto"/>
            <w:bottom w:val="none" w:sz="0" w:space="0" w:color="auto"/>
            <w:right w:val="none" w:sz="0" w:space="0" w:color="auto"/>
          </w:divBdr>
        </w:div>
        <w:div w:id="1444112960">
          <w:marLeft w:val="0"/>
          <w:marRight w:val="0"/>
          <w:marTop w:val="0"/>
          <w:marBottom w:val="0"/>
          <w:divBdr>
            <w:top w:val="none" w:sz="0" w:space="0" w:color="auto"/>
            <w:left w:val="none" w:sz="0" w:space="0" w:color="auto"/>
            <w:bottom w:val="none" w:sz="0" w:space="0" w:color="auto"/>
            <w:right w:val="none" w:sz="0" w:space="0" w:color="auto"/>
          </w:divBdr>
        </w:div>
        <w:div w:id="1455323047">
          <w:marLeft w:val="0"/>
          <w:marRight w:val="0"/>
          <w:marTop w:val="0"/>
          <w:marBottom w:val="0"/>
          <w:divBdr>
            <w:top w:val="none" w:sz="0" w:space="0" w:color="auto"/>
            <w:left w:val="none" w:sz="0" w:space="0" w:color="auto"/>
            <w:bottom w:val="none" w:sz="0" w:space="0" w:color="auto"/>
            <w:right w:val="none" w:sz="0" w:space="0" w:color="auto"/>
          </w:divBdr>
        </w:div>
        <w:div w:id="1455834323">
          <w:marLeft w:val="0"/>
          <w:marRight w:val="0"/>
          <w:marTop w:val="0"/>
          <w:marBottom w:val="0"/>
          <w:divBdr>
            <w:top w:val="none" w:sz="0" w:space="0" w:color="auto"/>
            <w:left w:val="none" w:sz="0" w:space="0" w:color="auto"/>
            <w:bottom w:val="none" w:sz="0" w:space="0" w:color="auto"/>
            <w:right w:val="none" w:sz="0" w:space="0" w:color="auto"/>
          </w:divBdr>
        </w:div>
        <w:div w:id="1461269228">
          <w:marLeft w:val="0"/>
          <w:marRight w:val="0"/>
          <w:marTop w:val="0"/>
          <w:marBottom w:val="0"/>
          <w:divBdr>
            <w:top w:val="none" w:sz="0" w:space="0" w:color="auto"/>
            <w:left w:val="none" w:sz="0" w:space="0" w:color="auto"/>
            <w:bottom w:val="none" w:sz="0" w:space="0" w:color="auto"/>
            <w:right w:val="none" w:sz="0" w:space="0" w:color="auto"/>
          </w:divBdr>
        </w:div>
        <w:div w:id="1470129389">
          <w:marLeft w:val="0"/>
          <w:marRight w:val="0"/>
          <w:marTop w:val="0"/>
          <w:marBottom w:val="0"/>
          <w:divBdr>
            <w:top w:val="none" w:sz="0" w:space="0" w:color="auto"/>
            <w:left w:val="none" w:sz="0" w:space="0" w:color="auto"/>
            <w:bottom w:val="none" w:sz="0" w:space="0" w:color="auto"/>
            <w:right w:val="none" w:sz="0" w:space="0" w:color="auto"/>
          </w:divBdr>
        </w:div>
        <w:div w:id="1472484727">
          <w:marLeft w:val="0"/>
          <w:marRight w:val="0"/>
          <w:marTop w:val="0"/>
          <w:marBottom w:val="0"/>
          <w:divBdr>
            <w:top w:val="none" w:sz="0" w:space="0" w:color="auto"/>
            <w:left w:val="none" w:sz="0" w:space="0" w:color="auto"/>
            <w:bottom w:val="none" w:sz="0" w:space="0" w:color="auto"/>
            <w:right w:val="none" w:sz="0" w:space="0" w:color="auto"/>
          </w:divBdr>
        </w:div>
        <w:div w:id="1477601507">
          <w:marLeft w:val="0"/>
          <w:marRight w:val="0"/>
          <w:marTop w:val="0"/>
          <w:marBottom w:val="0"/>
          <w:divBdr>
            <w:top w:val="none" w:sz="0" w:space="0" w:color="auto"/>
            <w:left w:val="none" w:sz="0" w:space="0" w:color="auto"/>
            <w:bottom w:val="none" w:sz="0" w:space="0" w:color="auto"/>
            <w:right w:val="none" w:sz="0" w:space="0" w:color="auto"/>
          </w:divBdr>
        </w:div>
        <w:div w:id="1477651468">
          <w:marLeft w:val="0"/>
          <w:marRight w:val="0"/>
          <w:marTop w:val="0"/>
          <w:marBottom w:val="0"/>
          <w:divBdr>
            <w:top w:val="none" w:sz="0" w:space="0" w:color="auto"/>
            <w:left w:val="none" w:sz="0" w:space="0" w:color="auto"/>
            <w:bottom w:val="none" w:sz="0" w:space="0" w:color="auto"/>
            <w:right w:val="none" w:sz="0" w:space="0" w:color="auto"/>
          </w:divBdr>
        </w:div>
        <w:div w:id="1481000672">
          <w:marLeft w:val="0"/>
          <w:marRight w:val="0"/>
          <w:marTop w:val="0"/>
          <w:marBottom w:val="0"/>
          <w:divBdr>
            <w:top w:val="none" w:sz="0" w:space="0" w:color="auto"/>
            <w:left w:val="none" w:sz="0" w:space="0" w:color="auto"/>
            <w:bottom w:val="none" w:sz="0" w:space="0" w:color="auto"/>
            <w:right w:val="none" w:sz="0" w:space="0" w:color="auto"/>
          </w:divBdr>
        </w:div>
        <w:div w:id="1486513989">
          <w:marLeft w:val="0"/>
          <w:marRight w:val="0"/>
          <w:marTop w:val="0"/>
          <w:marBottom w:val="0"/>
          <w:divBdr>
            <w:top w:val="none" w:sz="0" w:space="0" w:color="auto"/>
            <w:left w:val="none" w:sz="0" w:space="0" w:color="auto"/>
            <w:bottom w:val="none" w:sz="0" w:space="0" w:color="auto"/>
            <w:right w:val="none" w:sz="0" w:space="0" w:color="auto"/>
          </w:divBdr>
        </w:div>
        <w:div w:id="1487089087">
          <w:marLeft w:val="0"/>
          <w:marRight w:val="0"/>
          <w:marTop w:val="0"/>
          <w:marBottom w:val="0"/>
          <w:divBdr>
            <w:top w:val="none" w:sz="0" w:space="0" w:color="auto"/>
            <w:left w:val="none" w:sz="0" w:space="0" w:color="auto"/>
            <w:bottom w:val="none" w:sz="0" w:space="0" w:color="auto"/>
            <w:right w:val="none" w:sz="0" w:space="0" w:color="auto"/>
          </w:divBdr>
        </w:div>
        <w:div w:id="1487476336">
          <w:marLeft w:val="0"/>
          <w:marRight w:val="0"/>
          <w:marTop w:val="0"/>
          <w:marBottom w:val="0"/>
          <w:divBdr>
            <w:top w:val="none" w:sz="0" w:space="0" w:color="auto"/>
            <w:left w:val="none" w:sz="0" w:space="0" w:color="auto"/>
            <w:bottom w:val="none" w:sz="0" w:space="0" w:color="auto"/>
            <w:right w:val="none" w:sz="0" w:space="0" w:color="auto"/>
          </w:divBdr>
        </w:div>
        <w:div w:id="1492021411">
          <w:marLeft w:val="0"/>
          <w:marRight w:val="0"/>
          <w:marTop w:val="0"/>
          <w:marBottom w:val="0"/>
          <w:divBdr>
            <w:top w:val="none" w:sz="0" w:space="0" w:color="auto"/>
            <w:left w:val="none" w:sz="0" w:space="0" w:color="auto"/>
            <w:bottom w:val="none" w:sz="0" w:space="0" w:color="auto"/>
            <w:right w:val="none" w:sz="0" w:space="0" w:color="auto"/>
          </w:divBdr>
        </w:div>
        <w:div w:id="1493834559">
          <w:marLeft w:val="0"/>
          <w:marRight w:val="0"/>
          <w:marTop w:val="0"/>
          <w:marBottom w:val="0"/>
          <w:divBdr>
            <w:top w:val="none" w:sz="0" w:space="0" w:color="auto"/>
            <w:left w:val="none" w:sz="0" w:space="0" w:color="auto"/>
            <w:bottom w:val="none" w:sz="0" w:space="0" w:color="auto"/>
            <w:right w:val="none" w:sz="0" w:space="0" w:color="auto"/>
          </w:divBdr>
        </w:div>
        <w:div w:id="1495996544">
          <w:marLeft w:val="0"/>
          <w:marRight w:val="0"/>
          <w:marTop w:val="0"/>
          <w:marBottom w:val="0"/>
          <w:divBdr>
            <w:top w:val="none" w:sz="0" w:space="0" w:color="auto"/>
            <w:left w:val="none" w:sz="0" w:space="0" w:color="auto"/>
            <w:bottom w:val="none" w:sz="0" w:space="0" w:color="auto"/>
            <w:right w:val="none" w:sz="0" w:space="0" w:color="auto"/>
          </w:divBdr>
        </w:div>
        <w:div w:id="1506894631">
          <w:marLeft w:val="0"/>
          <w:marRight w:val="0"/>
          <w:marTop w:val="0"/>
          <w:marBottom w:val="0"/>
          <w:divBdr>
            <w:top w:val="none" w:sz="0" w:space="0" w:color="auto"/>
            <w:left w:val="none" w:sz="0" w:space="0" w:color="auto"/>
            <w:bottom w:val="none" w:sz="0" w:space="0" w:color="auto"/>
            <w:right w:val="none" w:sz="0" w:space="0" w:color="auto"/>
          </w:divBdr>
        </w:div>
        <w:div w:id="1528103830">
          <w:marLeft w:val="0"/>
          <w:marRight w:val="0"/>
          <w:marTop w:val="0"/>
          <w:marBottom w:val="0"/>
          <w:divBdr>
            <w:top w:val="none" w:sz="0" w:space="0" w:color="auto"/>
            <w:left w:val="none" w:sz="0" w:space="0" w:color="auto"/>
            <w:bottom w:val="none" w:sz="0" w:space="0" w:color="auto"/>
            <w:right w:val="none" w:sz="0" w:space="0" w:color="auto"/>
          </w:divBdr>
        </w:div>
        <w:div w:id="1528716169">
          <w:marLeft w:val="0"/>
          <w:marRight w:val="0"/>
          <w:marTop w:val="0"/>
          <w:marBottom w:val="0"/>
          <w:divBdr>
            <w:top w:val="none" w:sz="0" w:space="0" w:color="auto"/>
            <w:left w:val="none" w:sz="0" w:space="0" w:color="auto"/>
            <w:bottom w:val="none" w:sz="0" w:space="0" w:color="auto"/>
            <w:right w:val="none" w:sz="0" w:space="0" w:color="auto"/>
          </w:divBdr>
        </w:div>
        <w:div w:id="1534882833">
          <w:marLeft w:val="0"/>
          <w:marRight w:val="0"/>
          <w:marTop w:val="0"/>
          <w:marBottom w:val="0"/>
          <w:divBdr>
            <w:top w:val="none" w:sz="0" w:space="0" w:color="auto"/>
            <w:left w:val="none" w:sz="0" w:space="0" w:color="auto"/>
            <w:bottom w:val="none" w:sz="0" w:space="0" w:color="auto"/>
            <w:right w:val="none" w:sz="0" w:space="0" w:color="auto"/>
          </w:divBdr>
        </w:div>
        <w:div w:id="1535846509">
          <w:marLeft w:val="0"/>
          <w:marRight w:val="0"/>
          <w:marTop w:val="0"/>
          <w:marBottom w:val="0"/>
          <w:divBdr>
            <w:top w:val="none" w:sz="0" w:space="0" w:color="auto"/>
            <w:left w:val="none" w:sz="0" w:space="0" w:color="auto"/>
            <w:bottom w:val="none" w:sz="0" w:space="0" w:color="auto"/>
            <w:right w:val="none" w:sz="0" w:space="0" w:color="auto"/>
          </w:divBdr>
        </w:div>
        <w:div w:id="1546091609">
          <w:marLeft w:val="0"/>
          <w:marRight w:val="0"/>
          <w:marTop w:val="0"/>
          <w:marBottom w:val="0"/>
          <w:divBdr>
            <w:top w:val="none" w:sz="0" w:space="0" w:color="auto"/>
            <w:left w:val="none" w:sz="0" w:space="0" w:color="auto"/>
            <w:bottom w:val="none" w:sz="0" w:space="0" w:color="auto"/>
            <w:right w:val="none" w:sz="0" w:space="0" w:color="auto"/>
          </w:divBdr>
        </w:div>
        <w:div w:id="1554852037">
          <w:marLeft w:val="0"/>
          <w:marRight w:val="0"/>
          <w:marTop w:val="0"/>
          <w:marBottom w:val="0"/>
          <w:divBdr>
            <w:top w:val="none" w:sz="0" w:space="0" w:color="auto"/>
            <w:left w:val="none" w:sz="0" w:space="0" w:color="auto"/>
            <w:bottom w:val="none" w:sz="0" w:space="0" w:color="auto"/>
            <w:right w:val="none" w:sz="0" w:space="0" w:color="auto"/>
          </w:divBdr>
        </w:div>
        <w:div w:id="1582248993">
          <w:marLeft w:val="0"/>
          <w:marRight w:val="0"/>
          <w:marTop w:val="0"/>
          <w:marBottom w:val="0"/>
          <w:divBdr>
            <w:top w:val="none" w:sz="0" w:space="0" w:color="auto"/>
            <w:left w:val="none" w:sz="0" w:space="0" w:color="auto"/>
            <w:bottom w:val="none" w:sz="0" w:space="0" w:color="auto"/>
            <w:right w:val="none" w:sz="0" w:space="0" w:color="auto"/>
          </w:divBdr>
        </w:div>
        <w:div w:id="1594319734">
          <w:marLeft w:val="0"/>
          <w:marRight w:val="0"/>
          <w:marTop w:val="0"/>
          <w:marBottom w:val="0"/>
          <w:divBdr>
            <w:top w:val="none" w:sz="0" w:space="0" w:color="auto"/>
            <w:left w:val="none" w:sz="0" w:space="0" w:color="auto"/>
            <w:bottom w:val="none" w:sz="0" w:space="0" w:color="auto"/>
            <w:right w:val="none" w:sz="0" w:space="0" w:color="auto"/>
          </w:divBdr>
        </w:div>
        <w:div w:id="1608778079">
          <w:marLeft w:val="0"/>
          <w:marRight w:val="0"/>
          <w:marTop w:val="0"/>
          <w:marBottom w:val="0"/>
          <w:divBdr>
            <w:top w:val="none" w:sz="0" w:space="0" w:color="auto"/>
            <w:left w:val="none" w:sz="0" w:space="0" w:color="auto"/>
            <w:bottom w:val="none" w:sz="0" w:space="0" w:color="auto"/>
            <w:right w:val="none" w:sz="0" w:space="0" w:color="auto"/>
          </w:divBdr>
        </w:div>
        <w:div w:id="1610895322">
          <w:marLeft w:val="0"/>
          <w:marRight w:val="0"/>
          <w:marTop w:val="0"/>
          <w:marBottom w:val="0"/>
          <w:divBdr>
            <w:top w:val="none" w:sz="0" w:space="0" w:color="auto"/>
            <w:left w:val="none" w:sz="0" w:space="0" w:color="auto"/>
            <w:bottom w:val="none" w:sz="0" w:space="0" w:color="auto"/>
            <w:right w:val="none" w:sz="0" w:space="0" w:color="auto"/>
          </w:divBdr>
        </w:div>
        <w:div w:id="1618028977">
          <w:marLeft w:val="0"/>
          <w:marRight w:val="0"/>
          <w:marTop w:val="0"/>
          <w:marBottom w:val="0"/>
          <w:divBdr>
            <w:top w:val="none" w:sz="0" w:space="0" w:color="auto"/>
            <w:left w:val="none" w:sz="0" w:space="0" w:color="auto"/>
            <w:bottom w:val="none" w:sz="0" w:space="0" w:color="auto"/>
            <w:right w:val="none" w:sz="0" w:space="0" w:color="auto"/>
          </w:divBdr>
        </w:div>
        <w:div w:id="1618295111">
          <w:marLeft w:val="0"/>
          <w:marRight w:val="0"/>
          <w:marTop w:val="0"/>
          <w:marBottom w:val="0"/>
          <w:divBdr>
            <w:top w:val="none" w:sz="0" w:space="0" w:color="auto"/>
            <w:left w:val="none" w:sz="0" w:space="0" w:color="auto"/>
            <w:bottom w:val="none" w:sz="0" w:space="0" w:color="auto"/>
            <w:right w:val="none" w:sz="0" w:space="0" w:color="auto"/>
          </w:divBdr>
        </w:div>
        <w:div w:id="1620988413">
          <w:marLeft w:val="0"/>
          <w:marRight w:val="0"/>
          <w:marTop w:val="0"/>
          <w:marBottom w:val="0"/>
          <w:divBdr>
            <w:top w:val="none" w:sz="0" w:space="0" w:color="auto"/>
            <w:left w:val="none" w:sz="0" w:space="0" w:color="auto"/>
            <w:bottom w:val="none" w:sz="0" w:space="0" w:color="auto"/>
            <w:right w:val="none" w:sz="0" w:space="0" w:color="auto"/>
          </w:divBdr>
        </w:div>
        <w:div w:id="1631210399">
          <w:marLeft w:val="0"/>
          <w:marRight w:val="0"/>
          <w:marTop w:val="0"/>
          <w:marBottom w:val="0"/>
          <w:divBdr>
            <w:top w:val="none" w:sz="0" w:space="0" w:color="auto"/>
            <w:left w:val="none" w:sz="0" w:space="0" w:color="auto"/>
            <w:bottom w:val="none" w:sz="0" w:space="0" w:color="auto"/>
            <w:right w:val="none" w:sz="0" w:space="0" w:color="auto"/>
          </w:divBdr>
        </w:div>
        <w:div w:id="1636642358">
          <w:marLeft w:val="0"/>
          <w:marRight w:val="0"/>
          <w:marTop w:val="0"/>
          <w:marBottom w:val="0"/>
          <w:divBdr>
            <w:top w:val="none" w:sz="0" w:space="0" w:color="auto"/>
            <w:left w:val="none" w:sz="0" w:space="0" w:color="auto"/>
            <w:bottom w:val="none" w:sz="0" w:space="0" w:color="auto"/>
            <w:right w:val="none" w:sz="0" w:space="0" w:color="auto"/>
          </w:divBdr>
        </w:div>
        <w:div w:id="1638561295">
          <w:marLeft w:val="0"/>
          <w:marRight w:val="0"/>
          <w:marTop w:val="0"/>
          <w:marBottom w:val="0"/>
          <w:divBdr>
            <w:top w:val="none" w:sz="0" w:space="0" w:color="auto"/>
            <w:left w:val="none" w:sz="0" w:space="0" w:color="auto"/>
            <w:bottom w:val="none" w:sz="0" w:space="0" w:color="auto"/>
            <w:right w:val="none" w:sz="0" w:space="0" w:color="auto"/>
          </w:divBdr>
        </w:div>
        <w:div w:id="1644891730">
          <w:marLeft w:val="0"/>
          <w:marRight w:val="0"/>
          <w:marTop w:val="0"/>
          <w:marBottom w:val="0"/>
          <w:divBdr>
            <w:top w:val="none" w:sz="0" w:space="0" w:color="auto"/>
            <w:left w:val="none" w:sz="0" w:space="0" w:color="auto"/>
            <w:bottom w:val="none" w:sz="0" w:space="0" w:color="auto"/>
            <w:right w:val="none" w:sz="0" w:space="0" w:color="auto"/>
          </w:divBdr>
        </w:div>
        <w:div w:id="1656255393">
          <w:marLeft w:val="0"/>
          <w:marRight w:val="0"/>
          <w:marTop w:val="0"/>
          <w:marBottom w:val="0"/>
          <w:divBdr>
            <w:top w:val="none" w:sz="0" w:space="0" w:color="auto"/>
            <w:left w:val="none" w:sz="0" w:space="0" w:color="auto"/>
            <w:bottom w:val="none" w:sz="0" w:space="0" w:color="auto"/>
            <w:right w:val="none" w:sz="0" w:space="0" w:color="auto"/>
          </w:divBdr>
        </w:div>
        <w:div w:id="1659577876">
          <w:marLeft w:val="0"/>
          <w:marRight w:val="0"/>
          <w:marTop w:val="0"/>
          <w:marBottom w:val="0"/>
          <w:divBdr>
            <w:top w:val="none" w:sz="0" w:space="0" w:color="auto"/>
            <w:left w:val="none" w:sz="0" w:space="0" w:color="auto"/>
            <w:bottom w:val="none" w:sz="0" w:space="0" w:color="auto"/>
            <w:right w:val="none" w:sz="0" w:space="0" w:color="auto"/>
          </w:divBdr>
        </w:div>
        <w:div w:id="1666321552">
          <w:marLeft w:val="0"/>
          <w:marRight w:val="0"/>
          <w:marTop w:val="0"/>
          <w:marBottom w:val="0"/>
          <w:divBdr>
            <w:top w:val="none" w:sz="0" w:space="0" w:color="auto"/>
            <w:left w:val="none" w:sz="0" w:space="0" w:color="auto"/>
            <w:bottom w:val="none" w:sz="0" w:space="0" w:color="auto"/>
            <w:right w:val="none" w:sz="0" w:space="0" w:color="auto"/>
          </w:divBdr>
        </w:div>
        <w:div w:id="1683119194">
          <w:marLeft w:val="0"/>
          <w:marRight w:val="0"/>
          <w:marTop w:val="0"/>
          <w:marBottom w:val="0"/>
          <w:divBdr>
            <w:top w:val="none" w:sz="0" w:space="0" w:color="auto"/>
            <w:left w:val="none" w:sz="0" w:space="0" w:color="auto"/>
            <w:bottom w:val="none" w:sz="0" w:space="0" w:color="auto"/>
            <w:right w:val="none" w:sz="0" w:space="0" w:color="auto"/>
          </w:divBdr>
        </w:div>
        <w:div w:id="1688867068">
          <w:marLeft w:val="0"/>
          <w:marRight w:val="0"/>
          <w:marTop w:val="0"/>
          <w:marBottom w:val="0"/>
          <w:divBdr>
            <w:top w:val="none" w:sz="0" w:space="0" w:color="auto"/>
            <w:left w:val="none" w:sz="0" w:space="0" w:color="auto"/>
            <w:bottom w:val="none" w:sz="0" w:space="0" w:color="auto"/>
            <w:right w:val="none" w:sz="0" w:space="0" w:color="auto"/>
          </w:divBdr>
        </w:div>
        <w:div w:id="1694963362">
          <w:marLeft w:val="0"/>
          <w:marRight w:val="0"/>
          <w:marTop w:val="0"/>
          <w:marBottom w:val="0"/>
          <w:divBdr>
            <w:top w:val="none" w:sz="0" w:space="0" w:color="auto"/>
            <w:left w:val="none" w:sz="0" w:space="0" w:color="auto"/>
            <w:bottom w:val="none" w:sz="0" w:space="0" w:color="auto"/>
            <w:right w:val="none" w:sz="0" w:space="0" w:color="auto"/>
          </w:divBdr>
        </w:div>
        <w:div w:id="1703827533">
          <w:marLeft w:val="0"/>
          <w:marRight w:val="0"/>
          <w:marTop w:val="0"/>
          <w:marBottom w:val="0"/>
          <w:divBdr>
            <w:top w:val="none" w:sz="0" w:space="0" w:color="auto"/>
            <w:left w:val="none" w:sz="0" w:space="0" w:color="auto"/>
            <w:bottom w:val="none" w:sz="0" w:space="0" w:color="auto"/>
            <w:right w:val="none" w:sz="0" w:space="0" w:color="auto"/>
          </w:divBdr>
        </w:div>
        <w:div w:id="1705060131">
          <w:marLeft w:val="0"/>
          <w:marRight w:val="0"/>
          <w:marTop w:val="0"/>
          <w:marBottom w:val="0"/>
          <w:divBdr>
            <w:top w:val="none" w:sz="0" w:space="0" w:color="auto"/>
            <w:left w:val="none" w:sz="0" w:space="0" w:color="auto"/>
            <w:bottom w:val="none" w:sz="0" w:space="0" w:color="auto"/>
            <w:right w:val="none" w:sz="0" w:space="0" w:color="auto"/>
          </w:divBdr>
        </w:div>
        <w:div w:id="1710299622">
          <w:marLeft w:val="0"/>
          <w:marRight w:val="0"/>
          <w:marTop w:val="0"/>
          <w:marBottom w:val="0"/>
          <w:divBdr>
            <w:top w:val="none" w:sz="0" w:space="0" w:color="auto"/>
            <w:left w:val="none" w:sz="0" w:space="0" w:color="auto"/>
            <w:bottom w:val="none" w:sz="0" w:space="0" w:color="auto"/>
            <w:right w:val="none" w:sz="0" w:space="0" w:color="auto"/>
          </w:divBdr>
        </w:div>
        <w:div w:id="1713768358">
          <w:marLeft w:val="0"/>
          <w:marRight w:val="0"/>
          <w:marTop w:val="0"/>
          <w:marBottom w:val="0"/>
          <w:divBdr>
            <w:top w:val="none" w:sz="0" w:space="0" w:color="auto"/>
            <w:left w:val="none" w:sz="0" w:space="0" w:color="auto"/>
            <w:bottom w:val="none" w:sz="0" w:space="0" w:color="auto"/>
            <w:right w:val="none" w:sz="0" w:space="0" w:color="auto"/>
          </w:divBdr>
        </w:div>
        <w:div w:id="1730421324">
          <w:marLeft w:val="0"/>
          <w:marRight w:val="0"/>
          <w:marTop w:val="0"/>
          <w:marBottom w:val="0"/>
          <w:divBdr>
            <w:top w:val="none" w:sz="0" w:space="0" w:color="auto"/>
            <w:left w:val="none" w:sz="0" w:space="0" w:color="auto"/>
            <w:bottom w:val="none" w:sz="0" w:space="0" w:color="auto"/>
            <w:right w:val="none" w:sz="0" w:space="0" w:color="auto"/>
          </w:divBdr>
        </w:div>
        <w:div w:id="1735544330">
          <w:marLeft w:val="0"/>
          <w:marRight w:val="0"/>
          <w:marTop w:val="0"/>
          <w:marBottom w:val="0"/>
          <w:divBdr>
            <w:top w:val="none" w:sz="0" w:space="0" w:color="auto"/>
            <w:left w:val="none" w:sz="0" w:space="0" w:color="auto"/>
            <w:bottom w:val="none" w:sz="0" w:space="0" w:color="auto"/>
            <w:right w:val="none" w:sz="0" w:space="0" w:color="auto"/>
          </w:divBdr>
        </w:div>
        <w:div w:id="1748385053">
          <w:marLeft w:val="0"/>
          <w:marRight w:val="0"/>
          <w:marTop w:val="0"/>
          <w:marBottom w:val="0"/>
          <w:divBdr>
            <w:top w:val="none" w:sz="0" w:space="0" w:color="auto"/>
            <w:left w:val="none" w:sz="0" w:space="0" w:color="auto"/>
            <w:bottom w:val="none" w:sz="0" w:space="0" w:color="auto"/>
            <w:right w:val="none" w:sz="0" w:space="0" w:color="auto"/>
          </w:divBdr>
        </w:div>
        <w:div w:id="1769815827">
          <w:marLeft w:val="0"/>
          <w:marRight w:val="0"/>
          <w:marTop w:val="0"/>
          <w:marBottom w:val="0"/>
          <w:divBdr>
            <w:top w:val="none" w:sz="0" w:space="0" w:color="auto"/>
            <w:left w:val="none" w:sz="0" w:space="0" w:color="auto"/>
            <w:bottom w:val="none" w:sz="0" w:space="0" w:color="auto"/>
            <w:right w:val="none" w:sz="0" w:space="0" w:color="auto"/>
          </w:divBdr>
        </w:div>
        <w:div w:id="1772047509">
          <w:marLeft w:val="0"/>
          <w:marRight w:val="0"/>
          <w:marTop w:val="0"/>
          <w:marBottom w:val="0"/>
          <w:divBdr>
            <w:top w:val="none" w:sz="0" w:space="0" w:color="auto"/>
            <w:left w:val="none" w:sz="0" w:space="0" w:color="auto"/>
            <w:bottom w:val="none" w:sz="0" w:space="0" w:color="auto"/>
            <w:right w:val="none" w:sz="0" w:space="0" w:color="auto"/>
          </w:divBdr>
        </w:div>
        <w:div w:id="1792431291">
          <w:marLeft w:val="0"/>
          <w:marRight w:val="0"/>
          <w:marTop w:val="0"/>
          <w:marBottom w:val="0"/>
          <w:divBdr>
            <w:top w:val="none" w:sz="0" w:space="0" w:color="auto"/>
            <w:left w:val="none" w:sz="0" w:space="0" w:color="auto"/>
            <w:bottom w:val="none" w:sz="0" w:space="0" w:color="auto"/>
            <w:right w:val="none" w:sz="0" w:space="0" w:color="auto"/>
          </w:divBdr>
        </w:div>
        <w:div w:id="1812552474">
          <w:marLeft w:val="0"/>
          <w:marRight w:val="0"/>
          <w:marTop w:val="0"/>
          <w:marBottom w:val="0"/>
          <w:divBdr>
            <w:top w:val="none" w:sz="0" w:space="0" w:color="auto"/>
            <w:left w:val="none" w:sz="0" w:space="0" w:color="auto"/>
            <w:bottom w:val="none" w:sz="0" w:space="0" w:color="auto"/>
            <w:right w:val="none" w:sz="0" w:space="0" w:color="auto"/>
          </w:divBdr>
        </w:div>
        <w:div w:id="1815490684">
          <w:marLeft w:val="0"/>
          <w:marRight w:val="0"/>
          <w:marTop w:val="0"/>
          <w:marBottom w:val="0"/>
          <w:divBdr>
            <w:top w:val="none" w:sz="0" w:space="0" w:color="auto"/>
            <w:left w:val="none" w:sz="0" w:space="0" w:color="auto"/>
            <w:bottom w:val="none" w:sz="0" w:space="0" w:color="auto"/>
            <w:right w:val="none" w:sz="0" w:space="0" w:color="auto"/>
          </w:divBdr>
        </w:div>
        <w:div w:id="1824809414">
          <w:marLeft w:val="0"/>
          <w:marRight w:val="0"/>
          <w:marTop w:val="0"/>
          <w:marBottom w:val="0"/>
          <w:divBdr>
            <w:top w:val="none" w:sz="0" w:space="0" w:color="auto"/>
            <w:left w:val="none" w:sz="0" w:space="0" w:color="auto"/>
            <w:bottom w:val="none" w:sz="0" w:space="0" w:color="auto"/>
            <w:right w:val="none" w:sz="0" w:space="0" w:color="auto"/>
          </w:divBdr>
        </w:div>
        <w:div w:id="1846163471">
          <w:marLeft w:val="0"/>
          <w:marRight w:val="0"/>
          <w:marTop w:val="0"/>
          <w:marBottom w:val="0"/>
          <w:divBdr>
            <w:top w:val="none" w:sz="0" w:space="0" w:color="auto"/>
            <w:left w:val="none" w:sz="0" w:space="0" w:color="auto"/>
            <w:bottom w:val="none" w:sz="0" w:space="0" w:color="auto"/>
            <w:right w:val="none" w:sz="0" w:space="0" w:color="auto"/>
          </w:divBdr>
        </w:div>
        <w:div w:id="1857885527">
          <w:marLeft w:val="0"/>
          <w:marRight w:val="0"/>
          <w:marTop w:val="0"/>
          <w:marBottom w:val="0"/>
          <w:divBdr>
            <w:top w:val="none" w:sz="0" w:space="0" w:color="auto"/>
            <w:left w:val="none" w:sz="0" w:space="0" w:color="auto"/>
            <w:bottom w:val="none" w:sz="0" w:space="0" w:color="auto"/>
            <w:right w:val="none" w:sz="0" w:space="0" w:color="auto"/>
          </w:divBdr>
        </w:div>
        <w:div w:id="1873879623">
          <w:marLeft w:val="0"/>
          <w:marRight w:val="0"/>
          <w:marTop w:val="0"/>
          <w:marBottom w:val="0"/>
          <w:divBdr>
            <w:top w:val="none" w:sz="0" w:space="0" w:color="auto"/>
            <w:left w:val="none" w:sz="0" w:space="0" w:color="auto"/>
            <w:bottom w:val="none" w:sz="0" w:space="0" w:color="auto"/>
            <w:right w:val="none" w:sz="0" w:space="0" w:color="auto"/>
          </w:divBdr>
        </w:div>
        <w:div w:id="1876692469">
          <w:marLeft w:val="0"/>
          <w:marRight w:val="0"/>
          <w:marTop w:val="0"/>
          <w:marBottom w:val="0"/>
          <w:divBdr>
            <w:top w:val="none" w:sz="0" w:space="0" w:color="auto"/>
            <w:left w:val="none" w:sz="0" w:space="0" w:color="auto"/>
            <w:bottom w:val="none" w:sz="0" w:space="0" w:color="auto"/>
            <w:right w:val="none" w:sz="0" w:space="0" w:color="auto"/>
          </w:divBdr>
        </w:div>
        <w:div w:id="1888567272">
          <w:marLeft w:val="0"/>
          <w:marRight w:val="0"/>
          <w:marTop w:val="0"/>
          <w:marBottom w:val="0"/>
          <w:divBdr>
            <w:top w:val="none" w:sz="0" w:space="0" w:color="auto"/>
            <w:left w:val="none" w:sz="0" w:space="0" w:color="auto"/>
            <w:bottom w:val="none" w:sz="0" w:space="0" w:color="auto"/>
            <w:right w:val="none" w:sz="0" w:space="0" w:color="auto"/>
          </w:divBdr>
        </w:div>
        <w:div w:id="1903976512">
          <w:marLeft w:val="0"/>
          <w:marRight w:val="0"/>
          <w:marTop w:val="0"/>
          <w:marBottom w:val="0"/>
          <w:divBdr>
            <w:top w:val="none" w:sz="0" w:space="0" w:color="auto"/>
            <w:left w:val="none" w:sz="0" w:space="0" w:color="auto"/>
            <w:bottom w:val="none" w:sz="0" w:space="0" w:color="auto"/>
            <w:right w:val="none" w:sz="0" w:space="0" w:color="auto"/>
          </w:divBdr>
        </w:div>
        <w:div w:id="1926063144">
          <w:marLeft w:val="0"/>
          <w:marRight w:val="0"/>
          <w:marTop w:val="0"/>
          <w:marBottom w:val="0"/>
          <w:divBdr>
            <w:top w:val="none" w:sz="0" w:space="0" w:color="auto"/>
            <w:left w:val="none" w:sz="0" w:space="0" w:color="auto"/>
            <w:bottom w:val="none" w:sz="0" w:space="0" w:color="auto"/>
            <w:right w:val="none" w:sz="0" w:space="0" w:color="auto"/>
          </w:divBdr>
        </w:div>
        <w:div w:id="1928229766">
          <w:marLeft w:val="0"/>
          <w:marRight w:val="0"/>
          <w:marTop w:val="0"/>
          <w:marBottom w:val="0"/>
          <w:divBdr>
            <w:top w:val="none" w:sz="0" w:space="0" w:color="auto"/>
            <w:left w:val="none" w:sz="0" w:space="0" w:color="auto"/>
            <w:bottom w:val="none" w:sz="0" w:space="0" w:color="auto"/>
            <w:right w:val="none" w:sz="0" w:space="0" w:color="auto"/>
          </w:divBdr>
        </w:div>
        <w:div w:id="1936399882">
          <w:marLeft w:val="0"/>
          <w:marRight w:val="0"/>
          <w:marTop w:val="0"/>
          <w:marBottom w:val="0"/>
          <w:divBdr>
            <w:top w:val="none" w:sz="0" w:space="0" w:color="auto"/>
            <w:left w:val="none" w:sz="0" w:space="0" w:color="auto"/>
            <w:bottom w:val="none" w:sz="0" w:space="0" w:color="auto"/>
            <w:right w:val="none" w:sz="0" w:space="0" w:color="auto"/>
          </w:divBdr>
        </w:div>
        <w:div w:id="1940673996">
          <w:marLeft w:val="0"/>
          <w:marRight w:val="0"/>
          <w:marTop w:val="0"/>
          <w:marBottom w:val="0"/>
          <w:divBdr>
            <w:top w:val="none" w:sz="0" w:space="0" w:color="auto"/>
            <w:left w:val="none" w:sz="0" w:space="0" w:color="auto"/>
            <w:bottom w:val="none" w:sz="0" w:space="0" w:color="auto"/>
            <w:right w:val="none" w:sz="0" w:space="0" w:color="auto"/>
          </w:divBdr>
        </w:div>
        <w:div w:id="1947350409">
          <w:marLeft w:val="0"/>
          <w:marRight w:val="0"/>
          <w:marTop w:val="0"/>
          <w:marBottom w:val="0"/>
          <w:divBdr>
            <w:top w:val="none" w:sz="0" w:space="0" w:color="auto"/>
            <w:left w:val="none" w:sz="0" w:space="0" w:color="auto"/>
            <w:bottom w:val="none" w:sz="0" w:space="0" w:color="auto"/>
            <w:right w:val="none" w:sz="0" w:space="0" w:color="auto"/>
          </w:divBdr>
        </w:div>
        <w:div w:id="1951431634">
          <w:marLeft w:val="0"/>
          <w:marRight w:val="0"/>
          <w:marTop w:val="0"/>
          <w:marBottom w:val="0"/>
          <w:divBdr>
            <w:top w:val="none" w:sz="0" w:space="0" w:color="auto"/>
            <w:left w:val="none" w:sz="0" w:space="0" w:color="auto"/>
            <w:bottom w:val="none" w:sz="0" w:space="0" w:color="auto"/>
            <w:right w:val="none" w:sz="0" w:space="0" w:color="auto"/>
          </w:divBdr>
        </w:div>
        <w:div w:id="1954896989">
          <w:marLeft w:val="0"/>
          <w:marRight w:val="0"/>
          <w:marTop w:val="0"/>
          <w:marBottom w:val="0"/>
          <w:divBdr>
            <w:top w:val="none" w:sz="0" w:space="0" w:color="auto"/>
            <w:left w:val="none" w:sz="0" w:space="0" w:color="auto"/>
            <w:bottom w:val="none" w:sz="0" w:space="0" w:color="auto"/>
            <w:right w:val="none" w:sz="0" w:space="0" w:color="auto"/>
          </w:divBdr>
        </w:div>
        <w:div w:id="1963996498">
          <w:marLeft w:val="0"/>
          <w:marRight w:val="0"/>
          <w:marTop w:val="0"/>
          <w:marBottom w:val="0"/>
          <w:divBdr>
            <w:top w:val="none" w:sz="0" w:space="0" w:color="auto"/>
            <w:left w:val="none" w:sz="0" w:space="0" w:color="auto"/>
            <w:bottom w:val="none" w:sz="0" w:space="0" w:color="auto"/>
            <w:right w:val="none" w:sz="0" w:space="0" w:color="auto"/>
          </w:divBdr>
        </w:div>
        <w:div w:id="1972206159">
          <w:marLeft w:val="0"/>
          <w:marRight w:val="0"/>
          <w:marTop w:val="0"/>
          <w:marBottom w:val="0"/>
          <w:divBdr>
            <w:top w:val="none" w:sz="0" w:space="0" w:color="auto"/>
            <w:left w:val="none" w:sz="0" w:space="0" w:color="auto"/>
            <w:bottom w:val="none" w:sz="0" w:space="0" w:color="auto"/>
            <w:right w:val="none" w:sz="0" w:space="0" w:color="auto"/>
          </w:divBdr>
        </w:div>
        <w:div w:id="1987121271">
          <w:marLeft w:val="0"/>
          <w:marRight w:val="0"/>
          <w:marTop w:val="0"/>
          <w:marBottom w:val="0"/>
          <w:divBdr>
            <w:top w:val="none" w:sz="0" w:space="0" w:color="auto"/>
            <w:left w:val="none" w:sz="0" w:space="0" w:color="auto"/>
            <w:bottom w:val="none" w:sz="0" w:space="0" w:color="auto"/>
            <w:right w:val="none" w:sz="0" w:space="0" w:color="auto"/>
          </w:divBdr>
        </w:div>
        <w:div w:id="1989165213">
          <w:marLeft w:val="0"/>
          <w:marRight w:val="0"/>
          <w:marTop w:val="0"/>
          <w:marBottom w:val="0"/>
          <w:divBdr>
            <w:top w:val="none" w:sz="0" w:space="0" w:color="auto"/>
            <w:left w:val="none" w:sz="0" w:space="0" w:color="auto"/>
            <w:bottom w:val="none" w:sz="0" w:space="0" w:color="auto"/>
            <w:right w:val="none" w:sz="0" w:space="0" w:color="auto"/>
          </w:divBdr>
        </w:div>
        <w:div w:id="1989942185">
          <w:marLeft w:val="0"/>
          <w:marRight w:val="0"/>
          <w:marTop w:val="0"/>
          <w:marBottom w:val="0"/>
          <w:divBdr>
            <w:top w:val="none" w:sz="0" w:space="0" w:color="auto"/>
            <w:left w:val="none" w:sz="0" w:space="0" w:color="auto"/>
            <w:bottom w:val="none" w:sz="0" w:space="0" w:color="auto"/>
            <w:right w:val="none" w:sz="0" w:space="0" w:color="auto"/>
          </w:divBdr>
        </w:div>
        <w:div w:id="1994984511">
          <w:marLeft w:val="0"/>
          <w:marRight w:val="0"/>
          <w:marTop w:val="0"/>
          <w:marBottom w:val="0"/>
          <w:divBdr>
            <w:top w:val="none" w:sz="0" w:space="0" w:color="auto"/>
            <w:left w:val="none" w:sz="0" w:space="0" w:color="auto"/>
            <w:bottom w:val="none" w:sz="0" w:space="0" w:color="auto"/>
            <w:right w:val="none" w:sz="0" w:space="0" w:color="auto"/>
          </w:divBdr>
        </w:div>
        <w:div w:id="1997763913">
          <w:marLeft w:val="0"/>
          <w:marRight w:val="0"/>
          <w:marTop w:val="0"/>
          <w:marBottom w:val="0"/>
          <w:divBdr>
            <w:top w:val="none" w:sz="0" w:space="0" w:color="auto"/>
            <w:left w:val="none" w:sz="0" w:space="0" w:color="auto"/>
            <w:bottom w:val="none" w:sz="0" w:space="0" w:color="auto"/>
            <w:right w:val="none" w:sz="0" w:space="0" w:color="auto"/>
          </w:divBdr>
        </w:div>
        <w:div w:id="1998147670">
          <w:marLeft w:val="0"/>
          <w:marRight w:val="0"/>
          <w:marTop w:val="0"/>
          <w:marBottom w:val="0"/>
          <w:divBdr>
            <w:top w:val="none" w:sz="0" w:space="0" w:color="auto"/>
            <w:left w:val="none" w:sz="0" w:space="0" w:color="auto"/>
            <w:bottom w:val="none" w:sz="0" w:space="0" w:color="auto"/>
            <w:right w:val="none" w:sz="0" w:space="0" w:color="auto"/>
          </w:divBdr>
        </w:div>
        <w:div w:id="1999268307">
          <w:marLeft w:val="0"/>
          <w:marRight w:val="0"/>
          <w:marTop w:val="0"/>
          <w:marBottom w:val="0"/>
          <w:divBdr>
            <w:top w:val="none" w:sz="0" w:space="0" w:color="auto"/>
            <w:left w:val="none" w:sz="0" w:space="0" w:color="auto"/>
            <w:bottom w:val="none" w:sz="0" w:space="0" w:color="auto"/>
            <w:right w:val="none" w:sz="0" w:space="0" w:color="auto"/>
          </w:divBdr>
        </w:div>
        <w:div w:id="2026445964">
          <w:marLeft w:val="0"/>
          <w:marRight w:val="0"/>
          <w:marTop w:val="0"/>
          <w:marBottom w:val="0"/>
          <w:divBdr>
            <w:top w:val="none" w:sz="0" w:space="0" w:color="auto"/>
            <w:left w:val="none" w:sz="0" w:space="0" w:color="auto"/>
            <w:bottom w:val="none" w:sz="0" w:space="0" w:color="auto"/>
            <w:right w:val="none" w:sz="0" w:space="0" w:color="auto"/>
          </w:divBdr>
        </w:div>
        <w:div w:id="2027057332">
          <w:marLeft w:val="0"/>
          <w:marRight w:val="0"/>
          <w:marTop w:val="0"/>
          <w:marBottom w:val="0"/>
          <w:divBdr>
            <w:top w:val="none" w:sz="0" w:space="0" w:color="auto"/>
            <w:left w:val="none" w:sz="0" w:space="0" w:color="auto"/>
            <w:bottom w:val="none" w:sz="0" w:space="0" w:color="auto"/>
            <w:right w:val="none" w:sz="0" w:space="0" w:color="auto"/>
          </w:divBdr>
        </w:div>
        <w:div w:id="2028090892">
          <w:marLeft w:val="0"/>
          <w:marRight w:val="0"/>
          <w:marTop w:val="0"/>
          <w:marBottom w:val="0"/>
          <w:divBdr>
            <w:top w:val="none" w:sz="0" w:space="0" w:color="auto"/>
            <w:left w:val="none" w:sz="0" w:space="0" w:color="auto"/>
            <w:bottom w:val="none" w:sz="0" w:space="0" w:color="auto"/>
            <w:right w:val="none" w:sz="0" w:space="0" w:color="auto"/>
          </w:divBdr>
        </w:div>
        <w:div w:id="2029942967">
          <w:marLeft w:val="0"/>
          <w:marRight w:val="0"/>
          <w:marTop w:val="0"/>
          <w:marBottom w:val="0"/>
          <w:divBdr>
            <w:top w:val="none" w:sz="0" w:space="0" w:color="auto"/>
            <w:left w:val="none" w:sz="0" w:space="0" w:color="auto"/>
            <w:bottom w:val="none" w:sz="0" w:space="0" w:color="auto"/>
            <w:right w:val="none" w:sz="0" w:space="0" w:color="auto"/>
          </w:divBdr>
        </w:div>
        <w:div w:id="2038968201">
          <w:marLeft w:val="0"/>
          <w:marRight w:val="0"/>
          <w:marTop w:val="0"/>
          <w:marBottom w:val="0"/>
          <w:divBdr>
            <w:top w:val="none" w:sz="0" w:space="0" w:color="auto"/>
            <w:left w:val="none" w:sz="0" w:space="0" w:color="auto"/>
            <w:bottom w:val="none" w:sz="0" w:space="0" w:color="auto"/>
            <w:right w:val="none" w:sz="0" w:space="0" w:color="auto"/>
          </w:divBdr>
        </w:div>
        <w:div w:id="2039814750">
          <w:marLeft w:val="0"/>
          <w:marRight w:val="0"/>
          <w:marTop w:val="0"/>
          <w:marBottom w:val="0"/>
          <w:divBdr>
            <w:top w:val="none" w:sz="0" w:space="0" w:color="auto"/>
            <w:left w:val="none" w:sz="0" w:space="0" w:color="auto"/>
            <w:bottom w:val="none" w:sz="0" w:space="0" w:color="auto"/>
            <w:right w:val="none" w:sz="0" w:space="0" w:color="auto"/>
          </w:divBdr>
        </w:div>
        <w:div w:id="2042628909">
          <w:marLeft w:val="0"/>
          <w:marRight w:val="0"/>
          <w:marTop w:val="0"/>
          <w:marBottom w:val="0"/>
          <w:divBdr>
            <w:top w:val="none" w:sz="0" w:space="0" w:color="auto"/>
            <w:left w:val="none" w:sz="0" w:space="0" w:color="auto"/>
            <w:bottom w:val="none" w:sz="0" w:space="0" w:color="auto"/>
            <w:right w:val="none" w:sz="0" w:space="0" w:color="auto"/>
          </w:divBdr>
        </w:div>
        <w:div w:id="2053381317">
          <w:marLeft w:val="0"/>
          <w:marRight w:val="0"/>
          <w:marTop w:val="0"/>
          <w:marBottom w:val="0"/>
          <w:divBdr>
            <w:top w:val="none" w:sz="0" w:space="0" w:color="auto"/>
            <w:left w:val="none" w:sz="0" w:space="0" w:color="auto"/>
            <w:bottom w:val="none" w:sz="0" w:space="0" w:color="auto"/>
            <w:right w:val="none" w:sz="0" w:space="0" w:color="auto"/>
          </w:divBdr>
        </w:div>
        <w:div w:id="2056193277">
          <w:marLeft w:val="0"/>
          <w:marRight w:val="0"/>
          <w:marTop w:val="0"/>
          <w:marBottom w:val="0"/>
          <w:divBdr>
            <w:top w:val="none" w:sz="0" w:space="0" w:color="auto"/>
            <w:left w:val="none" w:sz="0" w:space="0" w:color="auto"/>
            <w:bottom w:val="none" w:sz="0" w:space="0" w:color="auto"/>
            <w:right w:val="none" w:sz="0" w:space="0" w:color="auto"/>
          </w:divBdr>
        </w:div>
        <w:div w:id="2062096776">
          <w:marLeft w:val="0"/>
          <w:marRight w:val="0"/>
          <w:marTop w:val="0"/>
          <w:marBottom w:val="0"/>
          <w:divBdr>
            <w:top w:val="none" w:sz="0" w:space="0" w:color="auto"/>
            <w:left w:val="none" w:sz="0" w:space="0" w:color="auto"/>
            <w:bottom w:val="none" w:sz="0" w:space="0" w:color="auto"/>
            <w:right w:val="none" w:sz="0" w:space="0" w:color="auto"/>
          </w:divBdr>
        </w:div>
        <w:div w:id="2068186321">
          <w:marLeft w:val="0"/>
          <w:marRight w:val="0"/>
          <w:marTop w:val="0"/>
          <w:marBottom w:val="0"/>
          <w:divBdr>
            <w:top w:val="none" w:sz="0" w:space="0" w:color="auto"/>
            <w:left w:val="none" w:sz="0" w:space="0" w:color="auto"/>
            <w:bottom w:val="none" w:sz="0" w:space="0" w:color="auto"/>
            <w:right w:val="none" w:sz="0" w:space="0" w:color="auto"/>
          </w:divBdr>
        </w:div>
        <w:div w:id="2082016607">
          <w:marLeft w:val="0"/>
          <w:marRight w:val="0"/>
          <w:marTop w:val="0"/>
          <w:marBottom w:val="0"/>
          <w:divBdr>
            <w:top w:val="none" w:sz="0" w:space="0" w:color="auto"/>
            <w:left w:val="none" w:sz="0" w:space="0" w:color="auto"/>
            <w:bottom w:val="none" w:sz="0" w:space="0" w:color="auto"/>
            <w:right w:val="none" w:sz="0" w:space="0" w:color="auto"/>
          </w:divBdr>
        </w:div>
        <w:div w:id="2094430001">
          <w:marLeft w:val="0"/>
          <w:marRight w:val="0"/>
          <w:marTop w:val="0"/>
          <w:marBottom w:val="0"/>
          <w:divBdr>
            <w:top w:val="none" w:sz="0" w:space="0" w:color="auto"/>
            <w:left w:val="none" w:sz="0" w:space="0" w:color="auto"/>
            <w:bottom w:val="none" w:sz="0" w:space="0" w:color="auto"/>
            <w:right w:val="none" w:sz="0" w:space="0" w:color="auto"/>
          </w:divBdr>
        </w:div>
        <w:div w:id="2098092964">
          <w:marLeft w:val="0"/>
          <w:marRight w:val="0"/>
          <w:marTop w:val="0"/>
          <w:marBottom w:val="0"/>
          <w:divBdr>
            <w:top w:val="none" w:sz="0" w:space="0" w:color="auto"/>
            <w:left w:val="none" w:sz="0" w:space="0" w:color="auto"/>
            <w:bottom w:val="none" w:sz="0" w:space="0" w:color="auto"/>
            <w:right w:val="none" w:sz="0" w:space="0" w:color="auto"/>
          </w:divBdr>
        </w:div>
        <w:div w:id="2101096973">
          <w:marLeft w:val="0"/>
          <w:marRight w:val="0"/>
          <w:marTop w:val="0"/>
          <w:marBottom w:val="0"/>
          <w:divBdr>
            <w:top w:val="none" w:sz="0" w:space="0" w:color="auto"/>
            <w:left w:val="none" w:sz="0" w:space="0" w:color="auto"/>
            <w:bottom w:val="none" w:sz="0" w:space="0" w:color="auto"/>
            <w:right w:val="none" w:sz="0" w:space="0" w:color="auto"/>
          </w:divBdr>
        </w:div>
        <w:div w:id="2105682450">
          <w:marLeft w:val="0"/>
          <w:marRight w:val="0"/>
          <w:marTop w:val="0"/>
          <w:marBottom w:val="0"/>
          <w:divBdr>
            <w:top w:val="none" w:sz="0" w:space="0" w:color="auto"/>
            <w:left w:val="none" w:sz="0" w:space="0" w:color="auto"/>
            <w:bottom w:val="none" w:sz="0" w:space="0" w:color="auto"/>
            <w:right w:val="none" w:sz="0" w:space="0" w:color="auto"/>
          </w:divBdr>
        </w:div>
        <w:div w:id="2111269546">
          <w:marLeft w:val="0"/>
          <w:marRight w:val="0"/>
          <w:marTop w:val="0"/>
          <w:marBottom w:val="0"/>
          <w:divBdr>
            <w:top w:val="none" w:sz="0" w:space="0" w:color="auto"/>
            <w:left w:val="none" w:sz="0" w:space="0" w:color="auto"/>
            <w:bottom w:val="none" w:sz="0" w:space="0" w:color="auto"/>
            <w:right w:val="none" w:sz="0" w:space="0" w:color="auto"/>
          </w:divBdr>
        </w:div>
        <w:div w:id="2111386822">
          <w:marLeft w:val="0"/>
          <w:marRight w:val="0"/>
          <w:marTop w:val="0"/>
          <w:marBottom w:val="0"/>
          <w:divBdr>
            <w:top w:val="none" w:sz="0" w:space="0" w:color="auto"/>
            <w:left w:val="none" w:sz="0" w:space="0" w:color="auto"/>
            <w:bottom w:val="none" w:sz="0" w:space="0" w:color="auto"/>
            <w:right w:val="none" w:sz="0" w:space="0" w:color="auto"/>
          </w:divBdr>
        </w:div>
        <w:div w:id="2111969636">
          <w:marLeft w:val="0"/>
          <w:marRight w:val="0"/>
          <w:marTop w:val="0"/>
          <w:marBottom w:val="0"/>
          <w:divBdr>
            <w:top w:val="none" w:sz="0" w:space="0" w:color="auto"/>
            <w:left w:val="none" w:sz="0" w:space="0" w:color="auto"/>
            <w:bottom w:val="none" w:sz="0" w:space="0" w:color="auto"/>
            <w:right w:val="none" w:sz="0" w:space="0" w:color="auto"/>
          </w:divBdr>
        </w:div>
        <w:div w:id="2116510057">
          <w:marLeft w:val="0"/>
          <w:marRight w:val="0"/>
          <w:marTop w:val="0"/>
          <w:marBottom w:val="0"/>
          <w:divBdr>
            <w:top w:val="none" w:sz="0" w:space="0" w:color="auto"/>
            <w:left w:val="none" w:sz="0" w:space="0" w:color="auto"/>
            <w:bottom w:val="none" w:sz="0" w:space="0" w:color="auto"/>
            <w:right w:val="none" w:sz="0" w:space="0" w:color="auto"/>
          </w:divBdr>
        </w:div>
        <w:div w:id="2135638245">
          <w:marLeft w:val="0"/>
          <w:marRight w:val="0"/>
          <w:marTop w:val="0"/>
          <w:marBottom w:val="0"/>
          <w:divBdr>
            <w:top w:val="none" w:sz="0" w:space="0" w:color="auto"/>
            <w:left w:val="none" w:sz="0" w:space="0" w:color="auto"/>
            <w:bottom w:val="none" w:sz="0" w:space="0" w:color="auto"/>
            <w:right w:val="none" w:sz="0" w:space="0" w:color="auto"/>
          </w:divBdr>
        </w:div>
        <w:div w:id="2139714194">
          <w:marLeft w:val="0"/>
          <w:marRight w:val="0"/>
          <w:marTop w:val="0"/>
          <w:marBottom w:val="0"/>
          <w:divBdr>
            <w:top w:val="none" w:sz="0" w:space="0" w:color="auto"/>
            <w:left w:val="none" w:sz="0" w:space="0" w:color="auto"/>
            <w:bottom w:val="none" w:sz="0" w:space="0" w:color="auto"/>
            <w:right w:val="none" w:sz="0" w:space="0" w:color="auto"/>
          </w:divBdr>
        </w:div>
        <w:div w:id="2139762883">
          <w:marLeft w:val="0"/>
          <w:marRight w:val="0"/>
          <w:marTop w:val="0"/>
          <w:marBottom w:val="0"/>
          <w:divBdr>
            <w:top w:val="none" w:sz="0" w:space="0" w:color="auto"/>
            <w:left w:val="none" w:sz="0" w:space="0" w:color="auto"/>
            <w:bottom w:val="none" w:sz="0" w:space="0" w:color="auto"/>
            <w:right w:val="none" w:sz="0" w:space="0" w:color="auto"/>
          </w:divBdr>
        </w:div>
        <w:div w:id="2141219306">
          <w:marLeft w:val="0"/>
          <w:marRight w:val="0"/>
          <w:marTop w:val="0"/>
          <w:marBottom w:val="0"/>
          <w:divBdr>
            <w:top w:val="none" w:sz="0" w:space="0" w:color="auto"/>
            <w:left w:val="none" w:sz="0" w:space="0" w:color="auto"/>
            <w:bottom w:val="none" w:sz="0" w:space="0" w:color="auto"/>
            <w:right w:val="none" w:sz="0" w:space="0" w:color="auto"/>
          </w:divBdr>
        </w:div>
        <w:div w:id="2143383789">
          <w:marLeft w:val="0"/>
          <w:marRight w:val="0"/>
          <w:marTop w:val="0"/>
          <w:marBottom w:val="0"/>
          <w:divBdr>
            <w:top w:val="none" w:sz="0" w:space="0" w:color="auto"/>
            <w:left w:val="none" w:sz="0" w:space="0" w:color="auto"/>
            <w:bottom w:val="none" w:sz="0" w:space="0" w:color="auto"/>
            <w:right w:val="none" w:sz="0" w:space="0" w:color="auto"/>
          </w:divBdr>
        </w:div>
      </w:divsChild>
    </w:div>
    <w:div w:id="1937471334">
      <w:bodyDiv w:val="1"/>
      <w:marLeft w:val="0"/>
      <w:marRight w:val="0"/>
      <w:marTop w:val="0"/>
      <w:marBottom w:val="0"/>
      <w:divBdr>
        <w:top w:val="none" w:sz="0" w:space="0" w:color="auto"/>
        <w:left w:val="none" w:sz="0" w:space="0" w:color="auto"/>
        <w:bottom w:val="none" w:sz="0" w:space="0" w:color="auto"/>
        <w:right w:val="none" w:sz="0" w:space="0" w:color="auto"/>
      </w:divBdr>
      <w:divsChild>
        <w:div w:id="1509178088">
          <w:marLeft w:val="0"/>
          <w:marRight w:val="0"/>
          <w:marTop w:val="0"/>
          <w:marBottom w:val="0"/>
          <w:divBdr>
            <w:top w:val="none" w:sz="0" w:space="0" w:color="auto"/>
            <w:left w:val="none" w:sz="0" w:space="0" w:color="auto"/>
            <w:bottom w:val="none" w:sz="0" w:space="0" w:color="auto"/>
            <w:right w:val="none" w:sz="0" w:space="0" w:color="auto"/>
          </w:divBdr>
          <w:divsChild>
            <w:div w:id="256905743">
              <w:marLeft w:val="0"/>
              <w:marRight w:val="0"/>
              <w:marTop w:val="0"/>
              <w:marBottom w:val="0"/>
              <w:divBdr>
                <w:top w:val="none" w:sz="0" w:space="0" w:color="auto"/>
                <w:left w:val="none" w:sz="0" w:space="0" w:color="auto"/>
                <w:bottom w:val="none" w:sz="0" w:space="0" w:color="auto"/>
                <w:right w:val="none" w:sz="0" w:space="0" w:color="auto"/>
              </w:divBdr>
            </w:div>
            <w:div w:id="11888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226">
      <w:bodyDiv w:val="1"/>
      <w:marLeft w:val="0"/>
      <w:marRight w:val="0"/>
      <w:marTop w:val="0"/>
      <w:marBottom w:val="0"/>
      <w:divBdr>
        <w:top w:val="none" w:sz="0" w:space="0" w:color="auto"/>
        <w:left w:val="none" w:sz="0" w:space="0" w:color="auto"/>
        <w:bottom w:val="none" w:sz="0" w:space="0" w:color="auto"/>
        <w:right w:val="none" w:sz="0" w:space="0" w:color="auto"/>
      </w:divBdr>
      <w:divsChild>
        <w:div w:id="1712068382">
          <w:marLeft w:val="0"/>
          <w:marRight w:val="0"/>
          <w:marTop w:val="0"/>
          <w:marBottom w:val="0"/>
          <w:divBdr>
            <w:top w:val="none" w:sz="0" w:space="0" w:color="auto"/>
            <w:left w:val="none" w:sz="0" w:space="0" w:color="auto"/>
            <w:bottom w:val="none" w:sz="0" w:space="0" w:color="auto"/>
            <w:right w:val="none" w:sz="0" w:space="0" w:color="auto"/>
          </w:divBdr>
        </w:div>
      </w:divsChild>
    </w:div>
    <w:div w:id="1993409532">
      <w:bodyDiv w:val="1"/>
      <w:marLeft w:val="0"/>
      <w:marRight w:val="0"/>
      <w:marTop w:val="0"/>
      <w:marBottom w:val="0"/>
      <w:divBdr>
        <w:top w:val="none" w:sz="0" w:space="0" w:color="auto"/>
        <w:left w:val="none" w:sz="0" w:space="0" w:color="auto"/>
        <w:bottom w:val="none" w:sz="0" w:space="0" w:color="auto"/>
        <w:right w:val="none" w:sz="0" w:space="0" w:color="auto"/>
      </w:divBdr>
      <w:divsChild>
        <w:div w:id="606697243">
          <w:marLeft w:val="0"/>
          <w:marRight w:val="0"/>
          <w:marTop w:val="0"/>
          <w:marBottom w:val="0"/>
          <w:divBdr>
            <w:top w:val="none" w:sz="0" w:space="0" w:color="auto"/>
            <w:left w:val="none" w:sz="0" w:space="0" w:color="auto"/>
            <w:bottom w:val="none" w:sz="0" w:space="0" w:color="auto"/>
            <w:right w:val="none" w:sz="0" w:space="0" w:color="auto"/>
          </w:divBdr>
          <w:divsChild>
            <w:div w:id="900292450">
              <w:marLeft w:val="0"/>
              <w:marRight w:val="0"/>
              <w:marTop w:val="0"/>
              <w:marBottom w:val="0"/>
              <w:divBdr>
                <w:top w:val="none" w:sz="0" w:space="0" w:color="auto"/>
                <w:left w:val="none" w:sz="0" w:space="0" w:color="auto"/>
                <w:bottom w:val="none" w:sz="0" w:space="0" w:color="auto"/>
                <w:right w:val="none" w:sz="0" w:space="0" w:color="auto"/>
              </w:divBdr>
            </w:div>
            <w:div w:id="16435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6893">
      <w:bodyDiv w:val="1"/>
      <w:marLeft w:val="0"/>
      <w:marRight w:val="0"/>
      <w:marTop w:val="0"/>
      <w:marBottom w:val="0"/>
      <w:divBdr>
        <w:top w:val="none" w:sz="0" w:space="0" w:color="auto"/>
        <w:left w:val="none" w:sz="0" w:space="0" w:color="auto"/>
        <w:bottom w:val="none" w:sz="0" w:space="0" w:color="auto"/>
        <w:right w:val="none" w:sz="0" w:space="0" w:color="auto"/>
      </w:divBdr>
      <w:divsChild>
        <w:div w:id="2027751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36271208\AppData\Roaming\CM_Tools\Templates\WordTemplates\A4\RBCCM\Memo.dotx" TargetMode="External"/></Relationships>
</file>

<file path=word/theme/theme1.xml><?xml version="1.0" encoding="utf-8"?>
<a:theme xmlns:a="http://schemas.openxmlformats.org/drawingml/2006/main" name="NewRBCPresentationToolsThemeFileFromWord">
  <a:themeElements>
    <a:clrScheme name="Custom 1">
      <a:dk1>
        <a:srgbClr val="000000"/>
      </a:dk1>
      <a:lt1>
        <a:srgbClr val="FFFFFF"/>
      </a:lt1>
      <a:dk2>
        <a:srgbClr val="002750"/>
      </a:dk2>
      <a:lt2>
        <a:srgbClr val="ADC2D2"/>
      </a:lt2>
      <a:accent1>
        <a:srgbClr val="002750"/>
      </a:accent1>
      <a:accent2>
        <a:srgbClr val="0051A5"/>
      </a:accent2>
      <a:accent3>
        <a:srgbClr val="6AADE4"/>
      </a:accent3>
      <a:accent4>
        <a:srgbClr val="FFD200"/>
      </a:accent4>
      <a:accent5>
        <a:srgbClr val="8499A6"/>
      </a:accent5>
      <a:accent6>
        <a:srgbClr val="9D8954"/>
      </a:accent6>
      <a:hlink>
        <a:srgbClr val="0051A5"/>
      </a:hlink>
      <a:folHlink>
        <a:srgbClr val="008FFA"/>
      </a:folHlink>
    </a:clrScheme>
    <a:fontScheme name="RBCCM_2014_Landscape">
      <a:majorFont>
        <a:latin typeface="Arial"/>
        <a:ea typeface="Geneva"/>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EBF0F5"/>
        </a:solidFill>
        <a:ln>
          <a:noFill/>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marL="0" marR="0" indent="0" algn="l" defTabSz="511175" rtl="0" eaLnBrk="1" fontAlgn="base" latinLnBrk="0" hangingPunct="1">
          <a:lnSpc>
            <a:spcPct val="100000"/>
          </a:lnSpc>
          <a:spcBef>
            <a:spcPct val="0"/>
          </a:spcBef>
          <a:spcAft>
            <a:spcPct val="0"/>
          </a:spcAft>
          <a:buClrTx/>
          <a:buSzTx/>
          <a:buFontTx/>
          <a:buNone/>
          <a:tabLst/>
          <a:defRPr kumimoji="0" sz="1000" i="0" u="none" strike="noStrike" cap="none" normalizeH="0" baseline="0" smtClean="0">
            <a:ln>
              <a:noFill/>
            </a:ln>
            <a:solidFill>
              <a:srgbClr val="000000"/>
            </a:solidFill>
            <a:effectLst/>
            <a:latin typeface="Arial" panose="020B0604020202020204" pitchFamily="34" charset="0"/>
            <a:ea typeface="Geneva" pitchFamily="1" charset="-128"/>
          </a:defRPr>
        </a:defPPr>
      </a:lstStyle>
    </a:spDef>
    <a:lnDef>
      <a:spPr bwMode="auto">
        <a:noFill/>
        <a:ln w="9525" cap="flat" cmpd="sng" algn="ctr">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a:spPr>
      <a:bodyPr/>
      <a:lstStyle/>
    </a:lnDef>
    <a:txDef>
      <a:spPr>
        <a:noFill/>
        <a:extLst>
          <a:ext uri="{909E8E84-426E-40DD-AFC4-6F175D3DCCD1}">
            <a14:hiddenFill xmlns:a14="http://schemas.microsoft.com/office/drawing/2010/main">
              <a:solidFill>
                <a:srgbClr val="EBF0F5"/>
              </a:solidFill>
            </a14:hiddenFill>
          </a:ext>
        </a:extLst>
      </a:spPr>
      <a:bodyPr vert="horz" wrap="square" rtlCol="0">
        <a:noAutofit/>
      </a:bodyPr>
      <a:lstStyle>
        <a:defPPr algn="l">
          <a:defRPr sz="1000" dirty="0" smtClean="0">
            <a:solidFill>
              <a:srgbClr val="000000"/>
            </a:solidFill>
            <a:latin typeface="Arial" panose="020B0604020202020204" pitchFamily="34" charset="0"/>
          </a:defRPr>
        </a:defPPr>
      </a:lstStyle>
    </a:txDef>
  </a:objectDefaults>
  <a:extraClrSchemeLst>
    <a:extraClrScheme>
      <a:clrScheme name="RBCCM_2014_Landscape 1">
        <a:dk1>
          <a:srgbClr val="000000"/>
        </a:dk1>
        <a:lt1>
          <a:srgbClr val="FFFFFF"/>
        </a:lt1>
        <a:dk2>
          <a:srgbClr val="003263"/>
        </a:dk2>
        <a:lt2>
          <a:srgbClr val="FFD200"/>
        </a:lt2>
        <a:accent1>
          <a:srgbClr val="0060A9"/>
        </a:accent1>
        <a:accent2>
          <a:srgbClr val="6AADE4"/>
        </a:accent2>
        <a:accent3>
          <a:srgbClr val="FFFFFF"/>
        </a:accent3>
        <a:accent4>
          <a:srgbClr val="000000"/>
        </a:accent4>
        <a:accent5>
          <a:srgbClr val="AAB6D1"/>
        </a:accent5>
        <a:accent6>
          <a:srgbClr val="5F9CCF"/>
        </a:accent6>
        <a:hlink>
          <a:srgbClr val="6F6E6F"/>
        </a:hlink>
        <a:folHlink>
          <a:srgbClr val="8499A6"/>
        </a:folHlink>
      </a:clrScheme>
      <a:clrMap bg1="lt1" tx1="dk1" bg2="lt2" tx2="dk2" accent1="accent1" accent2="accent2" accent3="accent3" accent4="accent4" accent5="accent5" accent6="accent6" hlink="hlink" folHlink="folHlink"/>
    </a:extraClrScheme>
  </a:extraClrSchemeLst>
  <a:custClrLst>
    <a:custClr name="Dark Blue">
      <a:srgbClr val="002750"/>
    </a:custClr>
    <a:custClr name="Bright Blue">
      <a:srgbClr val="0051A5"/>
    </a:custClr>
    <a:custClr name="Light Blue">
      <a:srgbClr val="73B0E3"/>
    </a:custClr>
    <a:custClr name="Yellow">
      <a:srgbClr val="FEDF01"/>
    </a:custClr>
    <a:custClr name="Blue-Grey">
      <a:srgbClr val="8499A6"/>
    </a:custClr>
    <a:custClr name="Gold">
      <a:srgbClr val="E8CF00"/>
    </a:custClr>
    <a:custClr name="Orange">
      <a:srgbClr val="FCA311"/>
    </a:custClr>
    <a:custClr name="Red">
      <a:srgbClr val="9B301B"/>
    </a:custClr>
    <a:custClr name="Silver">
      <a:srgbClr val="700078"/>
    </a:custClr>
    <a:custClr name="Slate">
      <a:srgbClr val="6F6E6F"/>
    </a:custClr>
    <a:custClr name="Dark Blue Tint 1">
      <a:srgbClr val="74748E"/>
    </a:custClr>
    <a:custClr name="Bright Blue Tint 1">
      <a:srgbClr val="0800C3"/>
    </a:custClr>
    <a:custClr name="Light Blue Tint 2">
      <a:srgbClr val="E3F4FF"/>
    </a:custClr>
    <a:custClr name="Yellow Tint 1">
      <a:srgbClr val="FFE692"/>
    </a:custClr>
    <a:custClr name="Blue-Grey Tint 1">
      <a:srgbClr val="ADC2D2"/>
    </a:custClr>
    <a:custClr name="Gold Tint 1">
      <a:srgbClr val="F2E395"/>
    </a:custClr>
    <a:custClr name="Orange Tint 1">
      <a:srgbClr val="FDC16B"/>
    </a:custClr>
    <a:custClr name="Red Tint 1">
      <a:srgbClr val="BD695D"/>
    </a:custClr>
    <a:custClr name="Silver Tint 3">
      <a:srgbClr val="DCDDDE"/>
    </a:custClr>
    <a:custClr name="Slate Tint 1">
      <a:srgbClr val="9D9D9D"/>
    </a:custClr>
    <a:custClr name="Dark Blue Tint 2">
      <a:srgbClr val="BBBAC7"/>
    </a:custClr>
    <a:custClr name="Bright Blue Tint 2">
      <a:srgbClr val="C3E2FA"/>
    </a:custClr>
    <a:custClr name="Grey (table shading)">
      <a:srgbClr val="E6EBF0"/>
    </a:custClr>
    <a:custClr name="Yellow Tint 2">
      <a:srgbClr val="FFF3D5"/>
    </a:custClr>
    <a:custClr name="Blue-Grey Tint 2">
      <a:srgbClr val="D3DDE5"/>
    </a:custClr>
    <a:custClr name="Gold Tint 2">
      <a:srgbClr val="FBF7E6"/>
    </a:custClr>
    <a:custClr name="Orange Tint 2">
      <a:srgbClr val="FFE2BA"/>
    </a:custClr>
    <a:custClr name="Red Tint 2">
      <a:srgbClr val="DFB4AA"/>
    </a:custClr>
    <a:custClr name="Silver tint 4">
      <a:srgbClr val="F2F1F0"/>
    </a:custClr>
    <a:custClr name="Slate Tint 2">
      <a:srgbClr val="D7D7D7"/>
    </a:custClr>
    <a:custClr name="Light Grey">
      <a:srgbClr val="C1B5A5"/>
    </a:custClr>
    <a:custClr name="Beige">
      <a:srgbClr val="B8A970"/>
    </a:custClr>
    <a:custClr name="Brown">
      <a:srgbClr val="906646"/>
    </a:custClr>
    <a:custClr name="Apple">
      <a:srgbClr val="AABA0A"/>
    </a:custClr>
    <a:custClr name="Green">
      <a:srgbClr val="6B702B"/>
    </a:custClr>
    <a:custClr name="Warm red">
      <a:srgbClr val="F93F26"/>
    </a:custClr>
    <a:custClr name="Light Grey Tint 4">
      <a:srgbClr val="F4F2E8"/>
    </a:custClr>
    <a:custClr name="Beige Tint 4">
      <a:srgbClr val="F3F0E8"/>
    </a:custClr>
    <a:custClr name="Grey (map fill)">
      <a:srgbClr val="CDD1D0"/>
    </a:custClr>
    <a:custClr name="Warm red Tint 3">
      <a:srgbClr val="F4CEBB"/>
    </a:custClr>
    <a:custClr name="Light Grey Tint 2">
      <a:srgbClr val="E1DDD5"/>
    </a:custClr>
    <a:custClr name="Beige Tint 2">
      <a:srgbClr val="DFD8BF"/>
    </a:custClr>
    <a:custClr name="Brown Tint 2">
      <a:srgbClr val="D7BFAD"/>
    </a:custClr>
    <a:custClr name="Apple Tint 3">
      <a:srgbClr val="F2F3B9"/>
    </a:custClr>
    <a:custClr name="Green Tint 2">
      <a:srgbClr val="C8CE7C"/>
    </a:custClr>
  </a:custClrLst>
  <a:extLst>
    <a:ext uri="{05A4C25C-085E-4340-85A3-A5531E510DB2}">
      <thm15:themeFamily xmlns:thm15="http://schemas.microsoft.com/office/thememl/2012/main" name="NewRBCPresentationToolsThemeFileFromPowerPoint" id="{0F958595-073D-493C-A424-D79133AF84A0}" vid="{E88EAE35-7907-43BD-926C-094921D8B9C9}"/>
    </a:ext>
  </a:extLst>
</a:theme>
</file>

<file path=docProps/app.xml><?xml version="1.0" encoding="utf-8"?>
<Properties xmlns="http://schemas.openxmlformats.org/officeDocument/2006/extended-properties" xmlns:vt="http://schemas.openxmlformats.org/officeDocument/2006/docPropsVTypes">
  <Template>Memo</Template>
  <TotalTime>2</TotalTime>
  <Pages>1</Pages>
  <Words>14</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Supporting your Growth &amp; Profitability</vt:lpstr>
    </vt:vector>
  </TitlesOfParts>
  <Manager/>
  <Company>RBC Investor Services</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your Growth &amp; Profitability</dc:title>
  <dc:subject/>
  <dc:creator>Ian Sinclair</dc:creator>
  <cp:keywords/>
  <dc:description/>
  <cp:lastModifiedBy>Ian Sinclair</cp:lastModifiedBy>
  <cp:revision>3</cp:revision>
  <cp:lastPrinted>2026-02-01T17:46:00Z</cp:lastPrinted>
  <dcterms:created xsi:type="dcterms:W3CDTF">2026-03-09T12:37:00Z</dcterms:created>
  <dcterms:modified xsi:type="dcterms:W3CDTF">2026-03-09T12:38:00Z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Name">
    <vt:lpwstr>Word Template</vt:lpwstr>
  </property>
  <property fmtid="{D5CDD505-2E9C-101B-9397-08002B2CF9AE}" pid="3" name="Version">
    <vt:lpwstr>1.00</vt:lpwstr>
  </property>
  <property fmtid="{D5CDD505-2E9C-101B-9397-08002B2CF9AE}" pid="4" name="Developer">
    <vt:lpwstr>Dylan Curry, Creative Design Manager</vt:lpwstr>
  </property>
  <property fmtid="{D5CDD505-2E9C-101B-9397-08002B2CF9AE}" pid="5" name="Client">
    <vt:lpwstr>RBC Investor Services</vt:lpwstr>
  </property>
  <property fmtid="{D5CDD505-2E9C-101B-9397-08002B2CF9AE}" pid="6" name="Language">
    <vt:i4>44</vt:i4>
  </property>
  <property fmtid="{D5CDD505-2E9C-101B-9397-08002B2CF9AE}" pid="7" name="ListSeperator">
    <vt:lpwstr/>
  </property>
  <property fmtid="{D5CDD505-2E9C-101B-9397-08002B2CF9AE}" pid="8" name="RBCLogoUsed">
    <vt:lpwstr>RBCCM</vt:lpwstr>
  </property>
  <property fmtid="{D5CDD505-2E9C-101B-9397-08002B2CF9AE}" pid="9" name="RBCGroup">
    <vt:lpwstr>Capital Markets</vt:lpwstr>
  </property>
  <property fmtid="{D5CDD505-2E9C-101B-9397-08002B2CF9AE}" pid="10" name="MSIP_Label_f01692fd-22c0-4d57-8827-ca1b33aa058d_Enabled">
    <vt:lpwstr>true</vt:lpwstr>
  </property>
  <property fmtid="{D5CDD505-2E9C-101B-9397-08002B2CF9AE}" pid="11" name="MSIP_Label_f01692fd-22c0-4d57-8827-ca1b33aa058d_Method">
    <vt:lpwstr>Privileged</vt:lpwstr>
  </property>
  <property fmtid="{D5CDD505-2E9C-101B-9397-08002B2CF9AE}" pid="12" name="MSIP_Label_f01692fd-22c0-4d57-8827-ca1b33aa058d_SiteId">
    <vt:lpwstr>9323b596-236d-4890-bed3-60232a849027</vt:lpwstr>
  </property>
  <property fmtid="{D5CDD505-2E9C-101B-9397-08002B2CF9AE}" pid="13" name="Classification">
    <vt:lpwstr>TT_RBC_Internal</vt:lpwstr>
  </property>
</Properties>
</file>